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B747E1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rPr>
      </w:pPr>
      <w:bookmarkStart w:id="0" w:name="_Toc9643"/>
      <w:bookmarkStart w:id="1" w:name="_Toc21857"/>
      <w:bookmarkStart w:id="2" w:name="_Toc5663"/>
    </w:p>
    <w:p w14:paraId="3D26C8A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rPr>
      </w:pPr>
    </w:p>
    <w:p w14:paraId="3447EE55">
      <w:pPr>
        <w:jc w:val="center"/>
        <w:rPr>
          <w:rFonts w:hint="default" w:ascii="Times New Roman" w:hAnsi="Times New Roman" w:eastAsia="仿宋_GB2312" w:cs="Times New Roman"/>
          <w:color w:val="auto"/>
          <w:sz w:val="36"/>
          <w:szCs w:val="36"/>
        </w:rPr>
      </w:pPr>
    </w:p>
    <w:p w14:paraId="159FD735">
      <w:pPr>
        <w:adjustRightInd w:val="0"/>
        <w:snapToGrid w:val="0"/>
        <w:jc w:val="center"/>
        <w:rPr>
          <w:rFonts w:hint="default" w:ascii="Times New Roman" w:hAnsi="Times New Roman" w:eastAsia="方正小标宋_GBK" w:cs="Times New Roman"/>
          <w:bCs/>
          <w:color w:val="auto"/>
          <w:sz w:val="72"/>
          <w:szCs w:val="72"/>
        </w:rPr>
      </w:pPr>
      <w:r>
        <w:rPr>
          <w:rFonts w:hint="default" w:ascii="Times New Roman" w:hAnsi="Times New Roman" w:eastAsia="方正小标宋_GBK" w:cs="Times New Roman"/>
          <w:bCs/>
          <w:color w:val="auto"/>
          <w:sz w:val="72"/>
          <w:szCs w:val="72"/>
        </w:rPr>
        <w:t>建设项目环境影响报告表</w:t>
      </w:r>
    </w:p>
    <w:p w14:paraId="592F74B5">
      <w:pPr>
        <w:adjustRightInd w:val="0"/>
        <w:snapToGrid w:val="0"/>
        <w:spacing w:before="192" w:beforeLines="80"/>
        <w:jc w:val="center"/>
        <w:rPr>
          <w:rFonts w:hint="default" w:ascii="Times New Roman" w:hAnsi="Times New Roman" w:eastAsia="楷体_GB2312" w:cs="Times New Roman"/>
          <w:bCs/>
          <w:color w:val="auto"/>
          <w:sz w:val="48"/>
          <w:szCs w:val="48"/>
        </w:rPr>
      </w:pPr>
      <w:r>
        <w:rPr>
          <w:rFonts w:hint="default" w:ascii="Times New Roman" w:hAnsi="Times New Roman" w:eastAsia="楷体_GB2312" w:cs="Times New Roman"/>
          <w:bCs/>
          <w:color w:val="auto"/>
          <w:sz w:val="48"/>
          <w:szCs w:val="48"/>
        </w:rPr>
        <w:t>（污染影响类）</w:t>
      </w:r>
    </w:p>
    <w:p w14:paraId="6239B7F4">
      <w:pPr>
        <w:rPr>
          <w:rFonts w:hint="default" w:ascii="Times New Roman" w:hAnsi="Times New Roman" w:cs="Times New Roman"/>
          <w:color w:val="auto"/>
        </w:rPr>
      </w:pPr>
    </w:p>
    <w:p w14:paraId="44755B5F">
      <w:pPr>
        <w:spacing w:line="360" w:lineRule="auto"/>
        <w:jc w:val="center"/>
        <w:rPr>
          <w:rFonts w:hint="default" w:ascii="Times New Roman" w:hAnsi="Times New Roman" w:cs="Times New Roman"/>
          <w:color w:val="auto"/>
        </w:rPr>
      </w:pPr>
    </w:p>
    <w:p w14:paraId="0D1051F1">
      <w:pPr>
        <w:spacing w:line="360" w:lineRule="auto"/>
        <w:jc w:val="center"/>
        <w:rPr>
          <w:rFonts w:hint="default" w:ascii="Times New Roman" w:hAnsi="Times New Roman" w:cs="Times New Roman"/>
          <w:color w:val="auto"/>
        </w:rPr>
      </w:pPr>
    </w:p>
    <w:p w14:paraId="12927E0E">
      <w:pPr>
        <w:spacing w:before="120" w:beforeLines="50" w:line="360" w:lineRule="auto"/>
        <w:jc w:val="center"/>
        <w:rPr>
          <w:rFonts w:hint="default" w:ascii="Times New Roman" w:hAnsi="Times New Roman" w:cs="Times New Roman"/>
          <w:color w:val="auto"/>
        </w:rPr>
      </w:pPr>
    </w:p>
    <w:p w14:paraId="1A342545">
      <w:pPr>
        <w:spacing w:before="120" w:beforeLines="50" w:line="360" w:lineRule="auto"/>
        <w:jc w:val="center"/>
        <w:rPr>
          <w:rFonts w:hint="default" w:ascii="Times New Roman" w:hAnsi="Times New Roman" w:cs="Times New Roman"/>
          <w:color w:val="auto"/>
        </w:rPr>
      </w:pPr>
    </w:p>
    <w:p w14:paraId="69343BB6">
      <w:pPr>
        <w:spacing w:before="120" w:beforeLines="50" w:line="360" w:lineRule="auto"/>
        <w:jc w:val="center"/>
        <w:rPr>
          <w:rFonts w:hint="default" w:ascii="Times New Roman" w:hAnsi="Times New Roman" w:cs="Times New Roman"/>
          <w:color w:val="auto"/>
        </w:rPr>
      </w:pPr>
    </w:p>
    <w:p w14:paraId="000DB594">
      <w:pPr>
        <w:bidi w:val="0"/>
        <w:jc w:val="center"/>
        <w:rPr>
          <w:rFonts w:hint="default" w:ascii="Times New Roman" w:hAnsi="Times New Roman" w:cs="Times New Roman"/>
          <w:color w:val="auto"/>
        </w:rPr>
      </w:pPr>
    </w:p>
    <w:p w14:paraId="446664F3">
      <w:pPr>
        <w:bidi w:val="0"/>
        <w:jc w:val="center"/>
        <w:rPr>
          <w:rFonts w:hint="default"/>
          <w:color w:val="auto"/>
        </w:rPr>
      </w:pPr>
    </w:p>
    <w:p w14:paraId="2DF26AB4">
      <w:pPr>
        <w:bidi w:val="0"/>
        <w:jc w:val="center"/>
        <w:rPr>
          <w:rFonts w:hint="default"/>
          <w:color w:val="auto"/>
        </w:rPr>
      </w:pPr>
    </w:p>
    <w:p w14:paraId="7412530D">
      <w:pPr>
        <w:spacing w:line="360" w:lineRule="auto"/>
        <w:jc w:val="center"/>
        <w:rPr>
          <w:rFonts w:hint="default" w:ascii="Times New Roman" w:hAnsi="Times New Roman" w:cs="Times New Roman"/>
          <w:color w:val="auto"/>
        </w:rPr>
      </w:pPr>
    </w:p>
    <w:p w14:paraId="615206F3">
      <w:pPr>
        <w:spacing w:line="360" w:lineRule="auto"/>
        <w:jc w:val="center"/>
        <w:rPr>
          <w:rFonts w:hint="default" w:ascii="Times New Roman" w:hAnsi="Times New Roman" w:cs="Times New Roman"/>
          <w:color w:val="auto"/>
        </w:rPr>
      </w:pPr>
    </w:p>
    <w:p w14:paraId="4FFDD47D">
      <w:pPr>
        <w:spacing w:line="360" w:lineRule="auto"/>
        <w:jc w:val="center"/>
        <w:rPr>
          <w:rFonts w:hint="default" w:ascii="Times New Roman" w:hAnsi="Times New Roman" w:cs="Times New Roman"/>
          <w:color w:val="auto"/>
        </w:rPr>
      </w:pPr>
    </w:p>
    <w:p w14:paraId="212C6E44">
      <w:pPr>
        <w:adjustRightInd w:val="0"/>
        <w:snapToGrid w:val="0"/>
        <w:spacing w:before="120" w:beforeLines="50" w:after="120" w:afterLines="50" w:line="360" w:lineRule="auto"/>
        <w:ind w:firstLine="643" w:firstLineChars="200"/>
        <w:jc w:val="left"/>
        <w:rPr>
          <w:rFonts w:hint="default" w:ascii="Times New Roman" w:hAnsi="Times New Roman" w:eastAsia="仿宋_GB2312" w:cs="Times New Roman"/>
          <w:b/>
          <w:bCs/>
          <w:color w:val="auto"/>
          <w:sz w:val="32"/>
          <w:szCs w:val="32"/>
        </w:rPr>
      </w:pPr>
      <w:r>
        <w:rPr>
          <w:rFonts w:hint="default" w:ascii="Times New Roman" w:hAnsi="Times New Roman" w:eastAsia="仿宋_GB2312" w:cs="Times New Roman"/>
          <w:b/>
          <w:bCs/>
          <w:color w:val="auto"/>
          <w:sz w:val="32"/>
          <w:szCs w:val="32"/>
        </w:rPr>
        <w:t>项目名称：</w:t>
      </w:r>
      <w:r>
        <w:rPr>
          <w:rFonts w:hint="default" w:ascii="Times New Roman" w:hAnsi="Times New Roman" w:eastAsia="仿宋_GB2312" w:cs="Times New Roman"/>
          <w:b/>
          <w:bCs/>
          <w:color w:val="auto"/>
          <w:sz w:val="32"/>
          <w:szCs w:val="32"/>
          <w:u w:val="single"/>
        </w:rPr>
        <w:t xml:space="preserve"> </w:t>
      </w:r>
      <w:r>
        <w:rPr>
          <w:rFonts w:hint="default" w:ascii="Times New Roman" w:hAnsi="Times New Roman" w:eastAsia="仿宋_GB2312" w:cs="Times New Roman"/>
          <w:b/>
          <w:bCs/>
          <w:color w:val="auto"/>
          <w:sz w:val="32"/>
          <w:szCs w:val="32"/>
          <w:u w:val="single"/>
          <w:lang w:val="en-US" w:eastAsia="zh-CN"/>
        </w:rPr>
        <w:t xml:space="preserve">  </w:t>
      </w:r>
      <w:r>
        <w:rPr>
          <w:rFonts w:hint="default" w:ascii="Times New Roman" w:hAnsi="Times New Roman" w:eastAsia="仿宋_GB2312" w:cs="Times New Roman"/>
          <w:b/>
          <w:bCs/>
          <w:color w:val="auto"/>
          <w:sz w:val="32"/>
          <w:szCs w:val="32"/>
          <w:u w:val="single"/>
          <w:lang w:eastAsia="zh-CN"/>
        </w:rPr>
        <w:t>明光新材公司高端精线深加工项目</w:t>
      </w:r>
      <w:r>
        <w:rPr>
          <w:rFonts w:hint="default" w:ascii="Times New Roman" w:hAnsi="Times New Roman" w:eastAsia="仿宋_GB2312" w:cs="Times New Roman"/>
          <w:b/>
          <w:bCs/>
          <w:color w:val="auto"/>
          <w:sz w:val="32"/>
          <w:szCs w:val="32"/>
          <w:u w:val="single"/>
        </w:rPr>
        <w:t xml:space="preserve">       </w:t>
      </w:r>
      <w:r>
        <w:rPr>
          <w:rFonts w:hint="default" w:ascii="Times New Roman" w:hAnsi="Times New Roman" w:eastAsia="仿宋_GB2312" w:cs="Times New Roman"/>
          <w:b/>
          <w:bCs/>
          <w:color w:val="auto"/>
          <w:sz w:val="32"/>
          <w:szCs w:val="32"/>
          <w:u w:val="single"/>
          <w:lang w:val="en-US" w:eastAsia="zh-CN"/>
        </w:rPr>
        <w:t>.</w:t>
      </w:r>
      <w:r>
        <w:rPr>
          <w:rFonts w:hint="default" w:ascii="Times New Roman" w:hAnsi="Times New Roman" w:eastAsia="仿宋_GB2312" w:cs="Times New Roman"/>
          <w:b/>
          <w:bCs/>
          <w:color w:val="auto"/>
          <w:sz w:val="32"/>
          <w:szCs w:val="32"/>
        </w:rPr>
        <w:t xml:space="preserve">   </w:t>
      </w:r>
    </w:p>
    <w:p w14:paraId="247EF6B4">
      <w:pPr>
        <w:adjustRightInd w:val="0"/>
        <w:snapToGrid w:val="0"/>
        <w:spacing w:before="120" w:beforeLines="50" w:after="120" w:afterLines="50" w:line="360" w:lineRule="auto"/>
        <w:ind w:firstLine="643" w:firstLineChars="200"/>
        <w:jc w:val="left"/>
        <w:rPr>
          <w:rFonts w:hint="default" w:ascii="Times New Roman" w:hAnsi="Times New Roman" w:eastAsia="仿宋_GB2312" w:cs="Times New Roman"/>
          <w:b/>
          <w:bCs/>
          <w:color w:val="auto"/>
          <w:sz w:val="32"/>
          <w:szCs w:val="32"/>
          <w:u w:val="single"/>
        </w:rPr>
      </w:pPr>
      <w:r>
        <w:rPr>
          <w:rFonts w:hint="default" w:ascii="Times New Roman" w:hAnsi="Times New Roman" w:eastAsia="仿宋_GB2312" w:cs="Times New Roman"/>
          <w:b/>
          <w:bCs/>
          <w:color w:val="auto"/>
          <w:sz w:val="32"/>
          <w:szCs w:val="32"/>
        </w:rPr>
        <w:t>建设单位（盖章）：</w:t>
      </w:r>
      <w:r>
        <w:rPr>
          <w:rFonts w:hint="default" w:ascii="Times New Roman" w:hAnsi="Times New Roman" w:eastAsia="仿宋_GB2312" w:cs="Times New Roman"/>
          <w:b/>
          <w:bCs/>
          <w:color w:val="auto"/>
          <w:sz w:val="32"/>
          <w:szCs w:val="32"/>
          <w:u w:val="single"/>
        </w:rPr>
        <w:t>福建省明光新型材料有限公司      .</w:t>
      </w:r>
    </w:p>
    <w:p w14:paraId="68DC32A5">
      <w:pPr>
        <w:adjustRightInd w:val="0"/>
        <w:snapToGrid w:val="0"/>
        <w:spacing w:before="120" w:beforeLines="50" w:after="120" w:afterLines="50" w:line="360" w:lineRule="auto"/>
        <w:ind w:firstLine="643" w:firstLineChars="200"/>
        <w:jc w:val="left"/>
        <w:rPr>
          <w:rFonts w:hint="default" w:ascii="Times New Roman" w:hAnsi="Times New Roman" w:eastAsia="仿宋_GB2312" w:cs="Times New Roman"/>
          <w:b/>
          <w:bCs/>
          <w:color w:val="auto"/>
          <w:sz w:val="32"/>
          <w:szCs w:val="32"/>
          <w:u w:val="single"/>
        </w:rPr>
      </w:pPr>
      <w:r>
        <w:rPr>
          <w:rFonts w:hint="default" w:ascii="Times New Roman" w:hAnsi="Times New Roman" w:eastAsia="仿宋_GB2312" w:cs="Times New Roman"/>
          <w:b/>
          <w:bCs/>
          <w:color w:val="auto"/>
          <w:sz w:val="32"/>
          <w:szCs w:val="32"/>
        </w:rPr>
        <w:t>编制日期：</w:t>
      </w:r>
      <w:r>
        <w:rPr>
          <w:rFonts w:hint="default" w:ascii="Times New Roman" w:hAnsi="Times New Roman" w:eastAsia="仿宋_GB2312" w:cs="Times New Roman"/>
          <w:b/>
          <w:bCs/>
          <w:color w:val="auto"/>
          <w:sz w:val="32"/>
          <w:szCs w:val="32"/>
          <w:u w:val="single"/>
        </w:rPr>
        <w:t xml:space="preserve">         2026年5月28日                .</w:t>
      </w:r>
    </w:p>
    <w:p w14:paraId="52995DBC">
      <w:pPr>
        <w:adjustRightInd w:val="0"/>
        <w:snapToGrid w:val="0"/>
        <w:spacing w:line="288" w:lineRule="auto"/>
        <w:jc w:val="center"/>
        <w:rPr>
          <w:rFonts w:hint="default" w:ascii="Times New Roman" w:hAnsi="Times New Roman" w:eastAsia="仿宋_GB2312" w:cs="Times New Roman"/>
          <w:color w:val="auto"/>
          <w:sz w:val="36"/>
          <w:szCs w:val="36"/>
          <w:u w:val="single"/>
        </w:rPr>
      </w:pPr>
      <w:bookmarkStart w:id="3" w:name="_Hlk57884087"/>
    </w:p>
    <w:p w14:paraId="1BA08A77">
      <w:pPr>
        <w:adjustRightInd w:val="0"/>
        <w:snapToGrid w:val="0"/>
        <w:spacing w:line="288" w:lineRule="auto"/>
        <w:jc w:val="center"/>
        <w:rPr>
          <w:rFonts w:hint="default" w:ascii="Times New Roman" w:hAnsi="Times New Roman" w:eastAsia="仿宋_GB2312" w:cs="Times New Roman"/>
          <w:color w:val="auto"/>
          <w:sz w:val="36"/>
          <w:szCs w:val="36"/>
        </w:rPr>
      </w:pPr>
    </w:p>
    <w:p w14:paraId="0E8BD205">
      <w:pPr>
        <w:adjustRightInd w:val="0"/>
        <w:snapToGrid w:val="0"/>
        <w:spacing w:line="288" w:lineRule="auto"/>
        <w:jc w:val="center"/>
        <w:rPr>
          <w:rFonts w:hint="default" w:ascii="Times New Roman" w:hAnsi="Times New Roman" w:eastAsia="仿宋_GB2312" w:cs="Times New Roman"/>
          <w:color w:val="auto"/>
          <w:sz w:val="36"/>
          <w:szCs w:val="36"/>
        </w:rPr>
      </w:pPr>
    </w:p>
    <w:p w14:paraId="51E4AD66">
      <w:pPr>
        <w:jc w:val="center"/>
        <w:rPr>
          <w:rFonts w:hint="default" w:ascii="Times New Roman" w:hAnsi="Times New Roman" w:cs="Times New Roman"/>
          <w:color w:val="auto"/>
        </w:rPr>
      </w:pPr>
    </w:p>
    <w:p w14:paraId="7882A182">
      <w:pPr>
        <w:jc w:val="center"/>
        <w:rPr>
          <w:rFonts w:hint="default" w:ascii="Times New Roman" w:hAnsi="Times New Roman" w:cs="Times New Roman"/>
          <w:color w:val="auto"/>
        </w:rPr>
      </w:pPr>
    </w:p>
    <w:p w14:paraId="331BA87F">
      <w:pPr>
        <w:jc w:val="center"/>
        <w:rPr>
          <w:rFonts w:hint="default" w:ascii="Times New Roman" w:hAnsi="Times New Roman" w:cs="Times New Roman"/>
          <w:color w:val="auto"/>
        </w:rPr>
      </w:pPr>
    </w:p>
    <w:p w14:paraId="43BA9E6B">
      <w:pPr>
        <w:adjustRightInd w:val="0"/>
        <w:snapToGrid w:val="0"/>
        <w:spacing w:line="288" w:lineRule="auto"/>
        <w:jc w:val="center"/>
        <w:rPr>
          <w:rFonts w:hint="default" w:ascii="Times New Roman" w:hAnsi="Times New Roman" w:eastAsia="仿宋_GB2312" w:cs="Times New Roman"/>
          <w:color w:val="auto"/>
          <w:sz w:val="36"/>
          <w:szCs w:val="36"/>
        </w:rPr>
      </w:pPr>
    </w:p>
    <w:p w14:paraId="540CA757">
      <w:pPr>
        <w:adjustRightInd w:val="0"/>
        <w:snapToGrid w:val="0"/>
        <w:spacing w:line="288" w:lineRule="auto"/>
        <w:jc w:val="center"/>
        <w:rPr>
          <w:rFonts w:hint="default" w:ascii="Times New Roman" w:hAnsi="Times New Roman" w:eastAsia="仿宋_GB2312" w:cs="Times New Roman"/>
          <w:color w:val="auto"/>
          <w:sz w:val="36"/>
          <w:szCs w:val="36"/>
        </w:rPr>
      </w:pPr>
    </w:p>
    <w:bookmarkEnd w:id="3"/>
    <w:p w14:paraId="7137A3BD">
      <w:pPr>
        <w:pStyle w:val="30"/>
        <w:jc w:val="center"/>
        <w:rPr>
          <w:rFonts w:hint="default" w:ascii="Times New Roman" w:hAnsi="Times New Roman" w:eastAsia="黑体" w:cs="Times New Roman"/>
          <w:snapToGrid w:val="0"/>
          <w:color w:val="auto"/>
          <w:sz w:val="30"/>
          <w:szCs w:val="30"/>
        </w:rPr>
      </w:pPr>
      <w:r>
        <w:rPr>
          <w:rFonts w:hint="default" w:ascii="Times New Roman" w:hAnsi="Times New Roman" w:eastAsia="楷体_GB2312" w:cs="Times New Roman"/>
          <w:color w:val="auto"/>
          <w:sz w:val="36"/>
          <w:szCs w:val="36"/>
        </w:rPr>
        <w:t>中华人民共和国生态环境部制</w:t>
      </w:r>
    </w:p>
    <w:p w14:paraId="313DD68B">
      <w:pPr>
        <w:pStyle w:val="30"/>
        <w:jc w:val="center"/>
        <w:rPr>
          <w:rFonts w:hint="default" w:ascii="Times New Roman" w:hAnsi="Times New Roman" w:eastAsia="黑体" w:cs="Times New Roman"/>
          <w:snapToGrid w:val="0"/>
          <w:color w:val="auto"/>
          <w:sz w:val="30"/>
          <w:szCs w:val="30"/>
        </w:rPr>
        <w:sectPr>
          <w:footerReference r:id="rId3" w:type="default"/>
          <w:pgSz w:w="11906" w:h="16838"/>
          <w:pgMar w:top="1417" w:right="1417" w:bottom="1417" w:left="1417" w:header="851" w:footer="1077" w:gutter="0"/>
          <w:pgBorders>
            <w:top w:val="none" w:sz="0" w:space="0"/>
            <w:left w:val="none" w:sz="0" w:space="0"/>
            <w:bottom w:val="none" w:sz="0" w:space="0"/>
            <w:right w:val="none" w:sz="0" w:space="0"/>
          </w:pgBorders>
          <w:pgNumType w:start="1"/>
          <w:cols w:space="720" w:num="1"/>
          <w:docGrid w:linePitch="312" w:charSpace="0"/>
        </w:sectPr>
      </w:pPr>
    </w:p>
    <w:p w14:paraId="493412DE">
      <w:pPr>
        <w:keepNext w:val="0"/>
        <w:keepLines w:val="0"/>
        <w:pageBreakBefore w:val="0"/>
        <w:widowControl w:val="0"/>
        <w:kinsoku/>
        <w:wordWrap/>
        <w:overflowPunct/>
        <w:topLinePunct w:val="0"/>
        <w:autoSpaceDE/>
        <w:autoSpaceDN/>
        <w:bidi w:val="0"/>
        <w:adjustRightInd w:val="0"/>
        <w:snapToGrid w:val="0"/>
        <w:spacing w:before="190" w:beforeLines="50" w:after="77" w:afterLines="20" w:line="360" w:lineRule="auto"/>
        <w:jc w:val="center"/>
        <w:textAlignment w:val="auto"/>
        <w:rPr>
          <w:rFonts w:hint="default" w:ascii="Times New Roman" w:hAnsi="Times New Roman" w:eastAsia="黑体" w:cs="Times New Roman"/>
          <w:color w:val="auto"/>
          <w:sz w:val="30"/>
          <w:szCs w:val="30"/>
        </w:rPr>
      </w:pPr>
      <w:bookmarkStart w:id="517" w:name="_GoBack"/>
      <w:bookmarkEnd w:id="517"/>
      <w:r>
        <w:rPr>
          <w:rFonts w:hint="default" w:ascii="Times New Roman" w:hAnsi="Times New Roman" w:eastAsia="黑体" w:cs="Times New Roman"/>
          <w:color w:val="auto"/>
          <w:sz w:val="30"/>
          <w:szCs w:val="30"/>
        </w:rPr>
        <w:t>目  录</w:t>
      </w:r>
    </w:p>
    <w:p w14:paraId="1D7C0863">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textAlignment w:val="auto"/>
        <w:rPr>
          <w:rFonts w:hint="default" w:ascii="Times New Roman" w:hAnsi="Times New Roman" w:eastAsia="黑体" w:cs="Times New Roman"/>
          <w:color w:val="auto"/>
          <w:sz w:val="24"/>
          <w:szCs w:val="24"/>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TOC \o "1-2" \h \u </w:instrText>
      </w:r>
      <w:r>
        <w:rPr>
          <w:rFonts w:hint="default" w:ascii="Times New Roman" w:hAnsi="Times New Roman" w:cs="Times New Roman"/>
          <w:color w:val="auto"/>
        </w:rPr>
        <w:fldChar w:fldCharType="separate"/>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_Toc31193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snapToGrid w:val="0"/>
          <w:color w:val="auto"/>
          <w:sz w:val="24"/>
          <w:szCs w:val="24"/>
        </w:rPr>
        <w:t>一、建设项目基本情况</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_Toc31193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2B549165">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_Toc1216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snapToGrid w:val="0"/>
          <w:color w:val="auto"/>
          <w:sz w:val="24"/>
          <w:szCs w:val="24"/>
        </w:rPr>
        <w:t>二、建设项目工程分析</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_Toc1216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14</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44092B80">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_Toc19506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snapToGrid w:val="0"/>
          <w:color w:val="auto"/>
          <w:sz w:val="24"/>
          <w:szCs w:val="24"/>
        </w:rPr>
        <w:t>三、区域环境质量现状、环境保护目标及评价标准</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_Toc19506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50</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7EE456BA">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_Toc30598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snapToGrid w:val="0"/>
          <w:color w:val="auto"/>
          <w:sz w:val="24"/>
          <w:szCs w:val="24"/>
        </w:rPr>
        <w:t>四、主要环境影响和保护措施</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_Toc30598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59</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26056D2D">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_Toc24552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snapToGrid w:val="0"/>
          <w:color w:val="auto"/>
          <w:sz w:val="24"/>
          <w:szCs w:val="24"/>
        </w:rPr>
        <w:t>五、环境保护措施监督检查清单</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_Toc24552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102</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19B7FAC5">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_Toc23613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六、结论</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_Toc23613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108</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3D513F0E">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_Toc31789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snapToGrid w:val="0"/>
          <w:color w:val="auto"/>
          <w:sz w:val="24"/>
          <w:szCs w:val="24"/>
        </w:rPr>
        <w:t>附表1</w:t>
      </w:r>
      <w:r>
        <w:rPr>
          <w:rFonts w:hint="default" w:ascii="Times New Roman" w:hAnsi="Times New Roman" w:eastAsia="黑体" w:cs="Times New Roman"/>
          <w:snapToGrid w:val="0"/>
          <w:color w:val="auto"/>
          <w:sz w:val="24"/>
          <w:szCs w:val="24"/>
          <w:lang w:val="en-US" w:eastAsia="zh-CN"/>
        </w:rPr>
        <w:t xml:space="preserve">  </w:t>
      </w:r>
      <w:r>
        <w:rPr>
          <w:rFonts w:hint="default" w:ascii="Times New Roman" w:hAnsi="Times New Roman" w:eastAsia="黑体" w:cs="Times New Roman"/>
          <w:snapToGrid w:val="0"/>
          <w:color w:val="auto"/>
          <w:sz w:val="24"/>
          <w:szCs w:val="24"/>
          <w:highlight w:val="none"/>
        </w:rPr>
        <w:t>建设项目污染物排放量汇总表</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_Toc31789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109</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5164044B">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_Toc1511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color w:val="auto"/>
          <w:sz w:val="24"/>
          <w:szCs w:val="24"/>
        </w:rPr>
        <w:t>环境风险专项评价</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_Toc1511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110</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343D0D7D">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_Toc29307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1 总则</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_Toc29307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111</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64EC5077">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_Toc20766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2 风险调查</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_Toc20766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114</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488469DE">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_Toc14945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3 环境风险潜势判定</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_Toc14945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115</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13D2B05D">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_Toc26778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4 环境风险评价等级及评价范围</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_Toc26778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120</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23074522">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_Toc22136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5 风险识别</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_Toc22136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121</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24A03AB5">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_Toc29147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6 风险事故情形分析</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_Toc29147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125</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73F7918D">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_Toc16337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7 环境风险预测与评价</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_Toc16337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130</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02B20F46">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_Toc1316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8 风险防范措施</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_Toc1316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143</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02A43531">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_Toc30214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9 应急预案</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_Toc30214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146</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4119CB09">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_Toc25354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10 结论</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_Toc25354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147</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07C5E5A8">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_Toc31169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11 环境风险评价自查表</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_Toc31169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148</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7AB01C11">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textAlignment w:val="auto"/>
        <w:rPr>
          <w:rFonts w:hint="eastAsia" w:ascii="Times New Roman" w:hAnsi="Times New Roman" w:eastAsia="黑体" w:cs="Times New Roman"/>
          <w:color w:val="auto"/>
          <w:sz w:val="24"/>
          <w:szCs w:val="24"/>
          <w:lang w:val="en-US" w:eastAsia="zh-CN"/>
        </w:rPr>
      </w:pPr>
      <w:r>
        <w:rPr>
          <w:rFonts w:hint="eastAsia" w:ascii="Times New Roman" w:hAnsi="Times New Roman" w:eastAsia="黑体" w:cs="Times New Roman"/>
          <w:color w:val="auto"/>
          <w:sz w:val="24"/>
          <w:szCs w:val="24"/>
          <w:lang w:val="en-US" w:eastAsia="zh-CN"/>
        </w:rPr>
        <w:t>附图：</w:t>
      </w:r>
    </w:p>
    <w:p w14:paraId="37326E33">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_Toc15257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附图一  地理位置图</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_Toc15257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150</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23260651">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_Toc17546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附图二  土地利用图</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_Toc17546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151</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20651AB7">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_Toc23993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附图三  产业规划空间布局</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_Toc23993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152</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5DC0978C">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_Toc22520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附图四  三明市国土空间总体规划三区三线</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_Toc22520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153</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288ABCA1">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_Toc5379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附图五  福建省生态环境管控分区图</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_Toc5379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154</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1384E883">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_Toc17631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 xml:space="preserve">附图六 </w:t>
      </w:r>
      <w:r>
        <w:rPr>
          <w:rFonts w:hint="default" w:ascii="Times New Roman" w:hAnsi="Times New Roman" w:eastAsia="黑体" w:cs="Times New Roman"/>
          <w:bCs w:val="0"/>
          <w:color w:val="auto"/>
          <w:sz w:val="24"/>
          <w:szCs w:val="24"/>
          <w:lang w:val="en-US" w:eastAsia="zh-CN"/>
        </w:rPr>
        <w:t xml:space="preserve"> 现有工程总平图</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_Toc17631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162</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5B1DF635">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_Toc6711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lang w:val="en-US" w:eastAsia="zh-CN"/>
        </w:rPr>
        <w:t>附图七  项目建成后全厂</w:t>
      </w:r>
      <w:r>
        <w:rPr>
          <w:rFonts w:hint="default" w:ascii="Times New Roman" w:hAnsi="Times New Roman" w:eastAsia="黑体" w:cs="Times New Roman"/>
          <w:bCs w:val="0"/>
          <w:color w:val="auto"/>
          <w:sz w:val="24"/>
          <w:szCs w:val="24"/>
        </w:rPr>
        <w:t>雨污管道及总平面图</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_Toc6711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163</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118E6FF2">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_Toc24906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附图</w:t>
      </w:r>
      <w:r>
        <w:rPr>
          <w:rFonts w:hint="default" w:ascii="Times New Roman" w:hAnsi="Times New Roman" w:eastAsia="黑体" w:cs="Times New Roman"/>
          <w:bCs w:val="0"/>
          <w:color w:val="auto"/>
          <w:sz w:val="24"/>
          <w:szCs w:val="24"/>
          <w:lang w:val="en-US" w:eastAsia="zh-CN"/>
        </w:rPr>
        <w:t>八</w:t>
      </w:r>
      <w:r>
        <w:rPr>
          <w:rFonts w:hint="default" w:ascii="Times New Roman" w:hAnsi="Times New Roman" w:eastAsia="黑体" w:cs="Times New Roman"/>
          <w:bCs w:val="0"/>
          <w:color w:val="auto"/>
          <w:sz w:val="24"/>
          <w:szCs w:val="24"/>
        </w:rPr>
        <w:t xml:space="preserve">  </w:t>
      </w:r>
      <w:r>
        <w:rPr>
          <w:rFonts w:hint="default" w:ascii="Times New Roman" w:hAnsi="Times New Roman" w:eastAsia="黑体" w:cs="Times New Roman"/>
          <w:bCs w:val="0"/>
          <w:color w:val="auto"/>
          <w:sz w:val="24"/>
          <w:szCs w:val="24"/>
          <w:lang w:val="en-US" w:eastAsia="zh-CN"/>
        </w:rPr>
        <w:t>表面处理车间布置图</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_Toc24906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164</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49029222">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_Toc32202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lang w:val="en-US" w:eastAsia="zh-CN"/>
        </w:rPr>
        <w:t xml:space="preserve">附图九  </w:t>
      </w:r>
      <w:r>
        <w:rPr>
          <w:rFonts w:hint="default" w:ascii="Times New Roman" w:hAnsi="Times New Roman" w:eastAsia="黑体" w:cs="Times New Roman"/>
          <w:bCs w:val="0"/>
          <w:color w:val="auto"/>
          <w:sz w:val="24"/>
          <w:szCs w:val="24"/>
        </w:rPr>
        <w:t>项目周边</w:t>
      </w:r>
      <w:r>
        <w:rPr>
          <w:rFonts w:hint="default" w:ascii="Times New Roman" w:hAnsi="Times New Roman" w:eastAsia="黑体" w:cs="Times New Roman"/>
          <w:bCs w:val="0"/>
          <w:color w:val="auto"/>
          <w:sz w:val="24"/>
          <w:szCs w:val="24"/>
          <w:lang w:val="en-US" w:eastAsia="zh-CN"/>
        </w:rPr>
        <w:t>及厂区</w:t>
      </w:r>
      <w:r>
        <w:rPr>
          <w:rFonts w:hint="default" w:ascii="Times New Roman" w:hAnsi="Times New Roman" w:eastAsia="黑体" w:cs="Times New Roman"/>
          <w:bCs w:val="0"/>
          <w:color w:val="auto"/>
          <w:sz w:val="24"/>
          <w:szCs w:val="24"/>
        </w:rPr>
        <w:t>环境现状</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_Toc32202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165</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1439319D">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_Toc15956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附图</w:t>
      </w:r>
      <w:r>
        <w:rPr>
          <w:rFonts w:hint="default" w:ascii="Times New Roman" w:hAnsi="Times New Roman" w:eastAsia="黑体" w:cs="Times New Roman"/>
          <w:bCs w:val="0"/>
          <w:color w:val="auto"/>
          <w:sz w:val="24"/>
          <w:szCs w:val="24"/>
          <w:lang w:val="en-US" w:eastAsia="zh-CN"/>
        </w:rPr>
        <w:t>十</w:t>
      </w:r>
      <w:r>
        <w:rPr>
          <w:rFonts w:hint="default" w:ascii="Times New Roman" w:hAnsi="Times New Roman" w:eastAsia="黑体" w:cs="Times New Roman"/>
          <w:bCs w:val="0"/>
          <w:color w:val="auto"/>
          <w:sz w:val="24"/>
          <w:szCs w:val="24"/>
        </w:rPr>
        <w:t xml:space="preserve">  敏感目标图</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_Toc15956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166</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08FF4792">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_Toc11929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附图</w:t>
      </w:r>
      <w:r>
        <w:rPr>
          <w:rFonts w:hint="default" w:ascii="Times New Roman" w:hAnsi="Times New Roman" w:eastAsia="黑体" w:cs="Times New Roman"/>
          <w:bCs w:val="0"/>
          <w:color w:val="auto"/>
          <w:sz w:val="24"/>
          <w:szCs w:val="24"/>
          <w:lang w:val="en-US" w:eastAsia="zh-CN"/>
        </w:rPr>
        <w:t>十一</w:t>
      </w:r>
      <w:r>
        <w:rPr>
          <w:rFonts w:hint="default" w:ascii="Times New Roman" w:hAnsi="Times New Roman" w:eastAsia="黑体" w:cs="Times New Roman"/>
          <w:bCs w:val="0"/>
          <w:color w:val="auto"/>
          <w:sz w:val="24"/>
          <w:szCs w:val="24"/>
        </w:rPr>
        <w:t xml:space="preserve">  分区防渗图</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_Toc11929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167</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62C7026B">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textAlignment w:val="auto"/>
        <w:rPr>
          <w:rFonts w:hint="eastAsia" w:ascii="Times New Roman" w:hAnsi="Times New Roman" w:eastAsia="黑体" w:cs="Times New Roman"/>
          <w:color w:val="auto"/>
          <w:sz w:val="24"/>
          <w:szCs w:val="24"/>
          <w:lang w:val="en-US" w:eastAsia="zh-CN"/>
        </w:rPr>
      </w:pPr>
      <w:r>
        <w:rPr>
          <w:rFonts w:hint="eastAsia" w:ascii="Times New Roman" w:hAnsi="Times New Roman" w:eastAsia="黑体" w:cs="Times New Roman"/>
          <w:color w:val="auto"/>
          <w:sz w:val="24"/>
          <w:szCs w:val="24"/>
          <w:lang w:val="en-US" w:eastAsia="zh-CN"/>
        </w:rPr>
        <w:t>附件：</w:t>
      </w:r>
    </w:p>
    <w:p w14:paraId="3C11A6BC">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_Toc20036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附件一  委托书</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_Toc20036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168</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0265B62B">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_Toc6635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附件二  备案证明</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_Toc6635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169</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5813ED8B">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_Toc18970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附件三  营业执照及法人身份证</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_Toc18970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170</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7EED80ED">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_Toc29143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附件四  土地产权证</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_Toc29143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172</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5EDBFE3F">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_Toc14130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附件五  现有工程环评批复</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_Toc14130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176</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50395A7E">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_Toc8992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附件六  现有工程验收意见</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_Toc8992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187</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19B9E94B">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_Toc5707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 xml:space="preserve">附件七  </w:t>
      </w:r>
      <w:r>
        <w:rPr>
          <w:rFonts w:hint="default" w:ascii="Times New Roman" w:hAnsi="Times New Roman" w:eastAsia="黑体" w:cs="Times New Roman"/>
          <w:bCs w:val="0"/>
          <w:color w:val="auto"/>
          <w:sz w:val="24"/>
          <w:szCs w:val="24"/>
          <w:lang w:val="en-US" w:eastAsia="zh-CN"/>
        </w:rPr>
        <w:t>环境空气监测</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_Toc5707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194</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4C30AA8D">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_Toc5911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附件八  自行监测报告</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_Toc5911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200</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6D8EBF9D">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_Toc18488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lang w:val="en-US" w:eastAsia="zh-CN"/>
        </w:rPr>
        <w:t>附件九  磷化液MSDS</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_Toc18488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208</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7B5ABB42">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_Toc4850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附件</w:t>
      </w:r>
      <w:r>
        <w:rPr>
          <w:rFonts w:hint="default" w:ascii="Times New Roman" w:hAnsi="Times New Roman" w:eastAsia="黑体" w:cs="Times New Roman"/>
          <w:bCs w:val="0"/>
          <w:color w:val="auto"/>
          <w:sz w:val="24"/>
          <w:szCs w:val="24"/>
          <w:lang w:val="en-US" w:eastAsia="zh-CN"/>
        </w:rPr>
        <w:t>十</w:t>
      </w:r>
      <w:r>
        <w:rPr>
          <w:rFonts w:hint="default" w:ascii="Times New Roman" w:hAnsi="Times New Roman" w:eastAsia="黑体" w:cs="Times New Roman"/>
          <w:bCs w:val="0"/>
          <w:color w:val="auto"/>
          <w:sz w:val="24"/>
          <w:szCs w:val="24"/>
        </w:rPr>
        <w:t xml:space="preserve">  排污许可证</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_Toc4850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219</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56DCE3E3">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_Toc26491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附件十</w:t>
      </w:r>
      <w:r>
        <w:rPr>
          <w:rFonts w:hint="default" w:ascii="Times New Roman" w:hAnsi="Times New Roman" w:eastAsia="黑体" w:cs="Times New Roman"/>
          <w:bCs w:val="0"/>
          <w:color w:val="auto"/>
          <w:sz w:val="24"/>
          <w:szCs w:val="24"/>
          <w:lang w:val="en-US" w:eastAsia="zh-CN"/>
        </w:rPr>
        <w:t>一</w:t>
      </w:r>
      <w:r>
        <w:rPr>
          <w:rFonts w:hint="default" w:ascii="Times New Roman" w:hAnsi="Times New Roman" w:eastAsia="黑体" w:cs="Times New Roman"/>
          <w:bCs w:val="0"/>
          <w:color w:val="auto"/>
          <w:sz w:val="24"/>
          <w:szCs w:val="24"/>
        </w:rPr>
        <w:t xml:space="preserve">  危废处置协议及危废转移联单</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_Toc26491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222</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055527F1">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_Toc32106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附件十</w:t>
      </w:r>
      <w:r>
        <w:rPr>
          <w:rFonts w:hint="default" w:ascii="Times New Roman" w:hAnsi="Times New Roman" w:eastAsia="黑体" w:cs="Times New Roman"/>
          <w:bCs w:val="0"/>
          <w:color w:val="auto"/>
          <w:sz w:val="24"/>
          <w:szCs w:val="24"/>
          <w:lang w:val="en-US" w:eastAsia="zh-CN"/>
        </w:rPr>
        <w:t xml:space="preserve">二 </w:t>
      </w:r>
      <w:r>
        <w:rPr>
          <w:rFonts w:hint="default" w:ascii="Times New Roman" w:hAnsi="Times New Roman" w:eastAsia="黑体" w:cs="Times New Roman"/>
          <w:bCs w:val="0"/>
          <w:color w:val="auto"/>
          <w:sz w:val="24"/>
          <w:szCs w:val="24"/>
        </w:rPr>
        <w:t xml:space="preserve"> 污水接收函</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_Toc32106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226</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1A9B1BB9">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_Toc17123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附件十</w:t>
      </w:r>
      <w:r>
        <w:rPr>
          <w:rFonts w:hint="default" w:ascii="Times New Roman" w:hAnsi="Times New Roman" w:eastAsia="黑体" w:cs="Times New Roman"/>
          <w:bCs w:val="0"/>
          <w:color w:val="auto"/>
          <w:sz w:val="24"/>
          <w:szCs w:val="24"/>
          <w:lang w:val="en-US" w:eastAsia="zh-CN"/>
        </w:rPr>
        <w:t>三</w:t>
      </w:r>
      <w:r>
        <w:rPr>
          <w:rFonts w:hint="default" w:ascii="Times New Roman" w:hAnsi="Times New Roman" w:eastAsia="黑体" w:cs="Times New Roman"/>
          <w:bCs w:val="0"/>
          <w:color w:val="auto"/>
          <w:sz w:val="24"/>
          <w:szCs w:val="24"/>
        </w:rPr>
        <w:t xml:space="preserve">  </w:t>
      </w:r>
      <w:r>
        <w:rPr>
          <w:rFonts w:hint="default" w:ascii="Times New Roman" w:hAnsi="Times New Roman" w:eastAsia="黑体" w:cs="Times New Roman"/>
          <w:bCs w:val="0"/>
          <w:color w:val="auto"/>
          <w:sz w:val="24"/>
          <w:szCs w:val="24"/>
          <w:lang w:val="en-US" w:eastAsia="zh-CN"/>
        </w:rPr>
        <w:t>入园证明</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_Toc17123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227</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082E8189">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_Toc16747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附件十</w:t>
      </w:r>
      <w:r>
        <w:rPr>
          <w:rFonts w:hint="default" w:ascii="Times New Roman" w:hAnsi="Times New Roman" w:eastAsia="黑体" w:cs="Times New Roman"/>
          <w:bCs w:val="0"/>
          <w:color w:val="auto"/>
          <w:sz w:val="24"/>
          <w:szCs w:val="24"/>
          <w:lang w:val="en-US" w:eastAsia="zh-CN"/>
        </w:rPr>
        <w:t>四</w:t>
      </w:r>
      <w:r>
        <w:rPr>
          <w:rFonts w:hint="default" w:ascii="Times New Roman" w:hAnsi="Times New Roman" w:eastAsia="黑体" w:cs="Times New Roman"/>
          <w:bCs w:val="0"/>
          <w:color w:val="auto"/>
          <w:sz w:val="24"/>
          <w:szCs w:val="24"/>
        </w:rPr>
        <w:t xml:space="preserve">  </w:t>
      </w:r>
      <w:r>
        <w:rPr>
          <w:rFonts w:hint="default" w:ascii="Times New Roman" w:hAnsi="Times New Roman" w:eastAsia="黑体" w:cs="Times New Roman"/>
          <w:bCs w:val="0"/>
          <w:color w:val="auto"/>
          <w:sz w:val="24"/>
          <w:szCs w:val="24"/>
          <w:lang w:eastAsia="zh-CN"/>
        </w:rPr>
        <w:t>“</w:t>
      </w:r>
      <w:r>
        <w:rPr>
          <w:rFonts w:hint="default" w:ascii="Times New Roman" w:hAnsi="Times New Roman" w:eastAsia="黑体" w:cs="Times New Roman"/>
          <w:bCs w:val="0"/>
          <w:color w:val="auto"/>
          <w:sz w:val="24"/>
          <w:szCs w:val="24"/>
          <w:lang w:val="en-US" w:eastAsia="zh-CN"/>
        </w:rPr>
        <w:t>热镀锌板及彩涂板项目</w:t>
      </w:r>
      <w:r>
        <w:rPr>
          <w:rFonts w:hint="default" w:ascii="Times New Roman" w:hAnsi="Times New Roman" w:eastAsia="黑体" w:cs="Times New Roman"/>
          <w:bCs w:val="0"/>
          <w:color w:val="auto"/>
          <w:sz w:val="24"/>
          <w:szCs w:val="24"/>
          <w:lang w:eastAsia="zh-CN"/>
        </w:rPr>
        <w:t>”</w:t>
      </w:r>
      <w:r>
        <w:rPr>
          <w:rFonts w:hint="default" w:ascii="Times New Roman" w:hAnsi="Times New Roman" w:eastAsia="黑体" w:cs="Times New Roman"/>
          <w:bCs w:val="0"/>
          <w:color w:val="auto"/>
          <w:sz w:val="24"/>
          <w:szCs w:val="24"/>
          <w:lang w:val="en-US" w:eastAsia="zh-CN"/>
        </w:rPr>
        <w:t>停产说明</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_Toc16747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228</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1545250F">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_Toc4457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lang w:val="en-US" w:eastAsia="zh-CN"/>
        </w:rPr>
        <w:t>附件十五  “磷化线材生产线建设项目”转出说明</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_Toc4457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229</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644E824F">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_Toc27041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lang w:val="en-US" w:eastAsia="zh-CN"/>
        </w:rPr>
        <w:t xml:space="preserve">附图十六  </w:t>
      </w:r>
      <w:r>
        <w:rPr>
          <w:rFonts w:hint="default" w:ascii="Times New Roman" w:hAnsi="Times New Roman" w:eastAsia="黑体" w:cs="Times New Roman"/>
          <w:bCs w:val="0"/>
          <w:color w:val="auto"/>
          <w:sz w:val="24"/>
          <w:szCs w:val="24"/>
        </w:rPr>
        <w:t>公示截图</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_Toc27041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230</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45AA6F9D">
      <w:pPr>
        <w:pStyle w:val="11"/>
        <w:keepNext w:val="0"/>
        <w:keepLines w:val="0"/>
        <w:pageBreakBefore w:val="0"/>
        <w:widowControl w:val="0"/>
        <w:tabs>
          <w:tab w:val="right" w:leader="dot" w:pos="9071"/>
        </w:tabs>
        <w:kinsoku/>
        <w:wordWrap/>
        <w:overflowPunct/>
        <w:topLinePunct w:val="0"/>
        <w:autoSpaceDE/>
        <w:autoSpaceDN/>
        <w:bidi w:val="0"/>
        <w:adjustRightInd/>
        <w:snapToGrid w:val="0"/>
        <w:spacing w:line="360" w:lineRule="auto"/>
        <w:ind w:firstLine="480" w:firstLineChars="200"/>
        <w:textAlignment w:val="auto"/>
        <w:rPr>
          <w:color w:val="auto"/>
        </w:rPr>
      </w:pP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HYPERLINK \l _Toc22682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bCs w:val="0"/>
          <w:color w:val="auto"/>
          <w:sz w:val="24"/>
          <w:szCs w:val="24"/>
        </w:rPr>
        <w:t>附件十</w:t>
      </w:r>
      <w:r>
        <w:rPr>
          <w:rFonts w:hint="default" w:ascii="Times New Roman" w:hAnsi="Times New Roman" w:eastAsia="黑体" w:cs="Times New Roman"/>
          <w:bCs w:val="0"/>
          <w:color w:val="auto"/>
          <w:sz w:val="24"/>
          <w:szCs w:val="24"/>
          <w:lang w:val="en-US" w:eastAsia="zh-CN"/>
        </w:rPr>
        <w:t>七</w:t>
      </w:r>
      <w:r>
        <w:rPr>
          <w:rFonts w:hint="default" w:ascii="Times New Roman" w:hAnsi="Times New Roman" w:eastAsia="黑体" w:cs="Times New Roman"/>
          <w:bCs w:val="0"/>
          <w:color w:val="auto"/>
          <w:sz w:val="24"/>
          <w:szCs w:val="24"/>
        </w:rPr>
        <w:t xml:space="preserve">  删除说明</w:t>
      </w:r>
      <w:r>
        <w:rPr>
          <w:rFonts w:hint="default" w:ascii="Times New Roman" w:hAnsi="Times New Roman" w:eastAsia="黑体" w:cs="Times New Roman"/>
          <w:color w:val="auto"/>
          <w:sz w:val="24"/>
          <w:szCs w:val="24"/>
        </w:rPr>
        <w:tab/>
      </w:r>
      <w:r>
        <w:rPr>
          <w:rFonts w:hint="default" w:ascii="Times New Roman" w:hAnsi="Times New Roman" w:eastAsia="黑体" w:cs="Times New Roman"/>
          <w:color w:val="auto"/>
          <w:sz w:val="24"/>
          <w:szCs w:val="24"/>
        </w:rPr>
        <w:fldChar w:fldCharType="begin"/>
      </w:r>
      <w:r>
        <w:rPr>
          <w:rFonts w:hint="default" w:ascii="Times New Roman" w:hAnsi="Times New Roman" w:eastAsia="黑体" w:cs="Times New Roman"/>
          <w:color w:val="auto"/>
          <w:sz w:val="24"/>
          <w:szCs w:val="24"/>
        </w:rPr>
        <w:instrText xml:space="preserve"> PAGEREF _Toc22682 \h </w:instrText>
      </w:r>
      <w:r>
        <w:rPr>
          <w:rFonts w:hint="default" w:ascii="Times New Roman" w:hAnsi="Times New Roman" w:eastAsia="黑体" w:cs="Times New Roman"/>
          <w:color w:val="auto"/>
          <w:sz w:val="24"/>
          <w:szCs w:val="24"/>
        </w:rPr>
        <w:fldChar w:fldCharType="separate"/>
      </w:r>
      <w:r>
        <w:rPr>
          <w:rFonts w:hint="default" w:ascii="Times New Roman" w:hAnsi="Times New Roman" w:eastAsia="黑体" w:cs="Times New Roman"/>
          <w:color w:val="auto"/>
          <w:sz w:val="24"/>
          <w:szCs w:val="24"/>
        </w:rPr>
        <w:t>231</w:t>
      </w:r>
      <w:r>
        <w:rPr>
          <w:rFonts w:hint="default" w:ascii="Times New Roman" w:hAnsi="Times New Roman" w:eastAsia="黑体" w:cs="Times New Roman"/>
          <w:color w:val="auto"/>
          <w:sz w:val="24"/>
          <w:szCs w:val="24"/>
        </w:rPr>
        <w:fldChar w:fldCharType="end"/>
      </w:r>
      <w:r>
        <w:rPr>
          <w:rFonts w:hint="default" w:ascii="Times New Roman" w:hAnsi="Times New Roman" w:eastAsia="黑体" w:cs="Times New Roman"/>
          <w:color w:val="auto"/>
          <w:sz w:val="24"/>
          <w:szCs w:val="24"/>
        </w:rPr>
        <w:fldChar w:fldCharType="end"/>
      </w:r>
    </w:p>
    <w:p w14:paraId="492E6132">
      <w:pPr>
        <w:pStyle w:val="11"/>
        <w:tabs>
          <w:tab w:val="right" w:leader="dot" w:pos="9071"/>
        </w:tabs>
        <w:snapToGrid w:val="0"/>
        <w:spacing w:line="336" w:lineRule="auto"/>
        <w:rPr>
          <w:rFonts w:hint="default" w:ascii="Times New Roman" w:hAnsi="Times New Roman" w:cs="Times New Roman"/>
          <w:color w:val="auto"/>
        </w:rPr>
      </w:pPr>
      <w:r>
        <w:rPr>
          <w:rFonts w:hint="default" w:ascii="Times New Roman" w:hAnsi="Times New Roman" w:cs="Times New Roman"/>
          <w:color w:val="auto"/>
        </w:rPr>
        <w:fldChar w:fldCharType="end"/>
      </w:r>
    </w:p>
    <w:p w14:paraId="2A7A7529">
      <w:pPr>
        <w:rPr>
          <w:rFonts w:hint="default" w:ascii="Times New Roman" w:hAnsi="Times New Roman" w:cs="Times New Roman"/>
          <w:color w:val="auto"/>
        </w:rPr>
        <w:sectPr>
          <w:footerReference r:id="rId4" w:type="default"/>
          <w:pgSz w:w="11905" w:h="16838"/>
          <w:pgMar w:top="1417" w:right="1417" w:bottom="1417" w:left="1417" w:header="964" w:footer="964" w:gutter="0"/>
          <w:pgBorders>
            <w:top w:val="none" w:sz="0" w:space="0"/>
            <w:left w:val="none" w:sz="0" w:space="0"/>
            <w:bottom w:val="none" w:sz="0" w:space="0"/>
            <w:right w:val="none" w:sz="0" w:space="0"/>
          </w:pgBorders>
          <w:pgNumType w:start="1"/>
          <w:cols w:space="720" w:num="1"/>
          <w:docGrid w:type="lines" w:linePitch="378" w:charSpace="0"/>
        </w:sectPr>
      </w:pPr>
    </w:p>
    <w:p w14:paraId="09DCF807">
      <w:pPr>
        <w:pStyle w:val="30"/>
        <w:spacing w:before="0" w:beforeAutospacing="0" w:after="0" w:afterAutospacing="0"/>
        <w:jc w:val="center"/>
        <w:outlineLvl w:val="0"/>
        <w:rPr>
          <w:rFonts w:hint="default" w:ascii="Times New Roman" w:hAnsi="Times New Roman" w:eastAsia="黑体" w:cs="Times New Roman"/>
          <w:snapToGrid w:val="0"/>
          <w:color w:val="auto"/>
          <w:sz w:val="32"/>
          <w:szCs w:val="32"/>
        </w:rPr>
      </w:pPr>
      <w:bookmarkStart w:id="4" w:name="_Toc8193"/>
      <w:bookmarkStart w:id="5" w:name="_Toc6453"/>
      <w:bookmarkStart w:id="6" w:name="_Toc3915"/>
      <w:bookmarkStart w:id="7" w:name="_Toc12870"/>
      <w:bookmarkStart w:id="8" w:name="_Toc31193"/>
      <w:r>
        <w:rPr>
          <w:rFonts w:hint="default" w:ascii="Times New Roman" w:hAnsi="Times New Roman" w:eastAsia="黑体" w:cs="Times New Roman"/>
          <w:snapToGrid w:val="0"/>
          <w:color w:val="auto"/>
          <w:sz w:val="32"/>
          <w:szCs w:val="32"/>
        </w:rPr>
        <w:t>一、建设项目基本情况</w:t>
      </w:r>
      <w:bookmarkEnd w:id="0"/>
      <w:bookmarkEnd w:id="1"/>
      <w:bookmarkEnd w:id="2"/>
      <w:bookmarkEnd w:id="4"/>
      <w:bookmarkEnd w:id="5"/>
      <w:bookmarkEnd w:id="6"/>
      <w:bookmarkEnd w:id="7"/>
      <w:bookmarkEnd w:id="8"/>
    </w:p>
    <w:tbl>
      <w:tblPr>
        <w:tblStyle w:val="34"/>
        <w:tblW w:w="499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869"/>
        <w:gridCol w:w="2142"/>
        <w:gridCol w:w="1906"/>
        <w:gridCol w:w="3165"/>
      </w:tblGrid>
      <w:tr w14:paraId="4A4DF0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1029" w:type="pct"/>
            <w:tcMar>
              <w:top w:w="16" w:type="dxa"/>
              <w:left w:w="16" w:type="dxa"/>
              <w:right w:w="16" w:type="dxa"/>
            </w:tcMar>
            <w:vAlign w:val="center"/>
          </w:tcPr>
          <w:p w14:paraId="677EC8A3">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建设项目名称</w:t>
            </w:r>
          </w:p>
        </w:tc>
        <w:tc>
          <w:tcPr>
            <w:tcW w:w="3970" w:type="pct"/>
            <w:gridSpan w:val="3"/>
            <w:vAlign w:val="center"/>
          </w:tcPr>
          <w:p w14:paraId="0859DB35">
            <w:pPr>
              <w:pStyle w:val="2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bCs/>
                <w:color w:val="auto"/>
                <w:sz w:val="24"/>
                <w:szCs w:val="24"/>
              </w:rPr>
            </w:pPr>
            <w:r>
              <w:rPr>
                <w:rFonts w:hint="default" w:ascii="Times New Roman" w:hAnsi="Times New Roman" w:cs="Times New Roman"/>
                <w:color w:val="auto"/>
                <w:kern w:val="2"/>
                <w:sz w:val="24"/>
                <w:szCs w:val="24"/>
                <w:lang w:val="en-US" w:eastAsia="zh-CN" w:bidi="ar-SA"/>
              </w:rPr>
              <w:t>明光新材公司高端精线深加工项目</w:t>
            </w:r>
          </w:p>
        </w:tc>
      </w:tr>
      <w:tr w14:paraId="07BBDF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1029" w:type="pct"/>
            <w:tcMar>
              <w:top w:w="16" w:type="dxa"/>
              <w:left w:w="16" w:type="dxa"/>
              <w:right w:w="16" w:type="dxa"/>
            </w:tcMar>
            <w:vAlign w:val="center"/>
          </w:tcPr>
          <w:p w14:paraId="254160C2">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项目代码</w:t>
            </w:r>
          </w:p>
        </w:tc>
        <w:tc>
          <w:tcPr>
            <w:tcW w:w="3970" w:type="pct"/>
            <w:gridSpan w:val="3"/>
            <w:vAlign w:val="center"/>
          </w:tcPr>
          <w:p w14:paraId="14F487F1">
            <w:pPr>
              <w:adjustRightInd w:val="0"/>
              <w:snapToGrid w:val="0"/>
              <w:jc w:val="center"/>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highlight w:val="none"/>
              </w:rPr>
              <w:t>260</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350427-07-02-921682</w:t>
            </w:r>
          </w:p>
        </w:tc>
      </w:tr>
      <w:tr w14:paraId="22AF5A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1029" w:type="pct"/>
            <w:tcMar>
              <w:top w:w="16" w:type="dxa"/>
              <w:left w:w="16" w:type="dxa"/>
              <w:right w:w="16" w:type="dxa"/>
            </w:tcMar>
            <w:vAlign w:val="center"/>
          </w:tcPr>
          <w:p w14:paraId="684939F9">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建设单位联系人</w:t>
            </w:r>
          </w:p>
        </w:tc>
        <w:tc>
          <w:tcPr>
            <w:tcW w:w="1179" w:type="pct"/>
            <w:vAlign w:val="center"/>
          </w:tcPr>
          <w:p w14:paraId="7A4E6761">
            <w:pPr>
              <w:adjustRightInd w:val="0"/>
              <w:snapToGrid w:val="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w:t>
            </w:r>
          </w:p>
        </w:tc>
        <w:tc>
          <w:tcPr>
            <w:tcW w:w="1049" w:type="pct"/>
            <w:vAlign w:val="center"/>
          </w:tcPr>
          <w:p w14:paraId="652A6354">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联系方式</w:t>
            </w:r>
          </w:p>
        </w:tc>
        <w:tc>
          <w:tcPr>
            <w:tcW w:w="1741" w:type="pct"/>
            <w:vAlign w:val="center"/>
          </w:tcPr>
          <w:p w14:paraId="14BAB50F">
            <w:pPr>
              <w:adjustRightInd w:val="0"/>
              <w:snapToGrid w:val="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w:t>
            </w:r>
          </w:p>
        </w:tc>
      </w:tr>
      <w:tr w14:paraId="4E717A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90" w:hRule="atLeast"/>
          <w:jc w:val="center"/>
        </w:trPr>
        <w:tc>
          <w:tcPr>
            <w:tcW w:w="1029" w:type="pct"/>
            <w:tcMar>
              <w:top w:w="16" w:type="dxa"/>
              <w:left w:w="16" w:type="dxa"/>
              <w:right w:w="16" w:type="dxa"/>
            </w:tcMar>
            <w:vAlign w:val="center"/>
          </w:tcPr>
          <w:p w14:paraId="4E4B2B17">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建设地点</w:t>
            </w:r>
          </w:p>
        </w:tc>
        <w:tc>
          <w:tcPr>
            <w:tcW w:w="3970" w:type="pct"/>
            <w:gridSpan w:val="3"/>
            <w:vAlign w:val="center"/>
          </w:tcPr>
          <w:p w14:paraId="228F0010">
            <w:pPr>
              <w:adjustRightInd w:val="0"/>
              <w:snapToGrid w:val="0"/>
              <w:spacing w:before="75" w:beforeLines="20" w:line="288" w:lineRule="auto"/>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福建省三明市沙县节能南路198号</w:t>
            </w:r>
          </w:p>
        </w:tc>
      </w:tr>
      <w:tr w14:paraId="3EDEAE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1029" w:type="pct"/>
            <w:tcMar>
              <w:top w:w="16" w:type="dxa"/>
              <w:left w:w="16" w:type="dxa"/>
              <w:right w:w="16" w:type="dxa"/>
            </w:tcMar>
            <w:vAlign w:val="center"/>
          </w:tcPr>
          <w:p w14:paraId="13A75959">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地理坐标</w:t>
            </w:r>
          </w:p>
        </w:tc>
        <w:tc>
          <w:tcPr>
            <w:tcW w:w="3970" w:type="pct"/>
            <w:gridSpan w:val="3"/>
            <w:vAlign w:val="center"/>
          </w:tcPr>
          <w:p w14:paraId="4BF18997">
            <w:pPr>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（117度49分43.229秒，26度23分21.645秒）</w:t>
            </w:r>
          </w:p>
        </w:tc>
      </w:tr>
      <w:tr w14:paraId="401D76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52" w:hRule="atLeast"/>
          <w:jc w:val="center"/>
        </w:trPr>
        <w:tc>
          <w:tcPr>
            <w:tcW w:w="1029" w:type="pct"/>
            <w:tcMar>
              <w:top w:w="16" w:type="dxa"/>
              <w:left w:w="16" w:type="dxa"/>
              <w:right w:w="16" w:type="dxa"/>
            </w:tcMar>
            <w:vAlign w:val="center"/>
          </w:tcPr>
          <w:p w14:paraId="3D09BC5F">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国民经济</w:t>
            </w:r>
          </w:p>
          <w:p w14:paraId="4086CCF5">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行业类别</w:t>
            </w:r>
          </w:p>
        </w:tc>
        <w:tc>
          <w:tcPr>
            <w:tcW w:w="1179" w:type="pct"/>
            <w:vAlign w:val="center"/>
          </w:tcPr>
          <w:p w14:paraId="02FF4C7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highlight w:val="none"/>
              </w:rPr>
              <w:t>C33金属制品业</w:t>
            </w:r>
          </w:p>
        </w:tc>
        <w:tc>
          <w:tcPr>
            <w:tcW w:w="1049" w:type="pct"/>
            <w:vAlign w:val="center"/>
          </w:tcPr>
          <w:p w14:paraId="42471BFE">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建设项目</w:t>
            </w:r>
          </w:p>
          <w:p w14:paraId="4A399B91">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行业类别</w:t>
            </w:r>
          </w:p>
        </w:tc>
        <w:tc>
          <w:tcPr>
            <w:tcW w:w="1741" w:type="pct"/>
            <w:vAlign w:val="center"/>
          </w:tcPr>
          <w:p w14:paraId="53501E61">
            <w:pPr>
              <w:adjustRightInd w:val="0"/>
              <w:snapToGrid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三十、金属制品业33:66金属丝绳及其制品制造334；67金属表面处理及热处理加工</w:t>
            </w:r>
          </w:p>
        </w:tc>
      </w:tr>
      <w:tr w14:paraId="3ADB4C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660" w:hRule="atLeast"/>
          <w:jc w:val="center"/>
        </w:trPr>
        <w:tc>
          <w:tcPr>
            <w:tcW w:w="1029" w:type="pct"/>
            <w:tcMar>
              <w:top w:w="16" w:type="dxa"/>
              <w:left w:w="16" w:type="dxa"/>
              <w:right w:w="16" w:type="dxa"/>
            </w:tcMar>
            <w:vAlign w:val="center"/>
          </w:tcPr>
          <w:p w14:paraId="2732E6F9">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建设性质</w:t>
            </w:r>
          </w:p>
        </w:tc>
        <w:tc>
          <w:tcPr>
            <w:tcW w:w="1179" w:type="pct"/>
            <w:vAlign w:val="center"/>
          </w:tcPr>
          <w:p w14:paraId="1C5AFFAA">
            <w:pPr>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2" w:char="00A3"/>
            </w:r>
            <w:r>
              <w:rPr>
                <w:rFonts w:hint="default" w:ascii="Times New Roman" w:hAnsi="Times New Roman" w:cs="Times New Roman"/>
                <w:color w:val="auto"/>
                <w:sz w:val="24"/>
                <w:szCs w:val="24"/>
              </w:rPr>
              <w:t>新建（新建）</w:t>
            </w:r>
          </w:p>
          <w:p w14:paraId="5B93275F">
            <w:pPr>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2" w:char="00A3"/>
            </w:r>
            <w:r>
              <w:rPr>
                <w:rFonts w:hint="default" w:ascii="Times New Roman" w:hAnsi="Times New Roman" w:cs="Times New Roman"/>
                <w:color w:val="auto"/>
                <w:sz w:val="24"/>
                <w:szCs w:val="24"/>
              </w:rPr>
              <w:t>技改</w:t>
            </w:r>
          </w:p>
          <w:p w14:paraId="48F811BC">
            <w:pPr>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2" w:char="0052"/>
            </w:r>
            <w:r>
              <w:rPr>
                <w:rFonts w:hint="default" w:ascii="Times New Roman" w:hAnsi="Times New Roman" w:cs="Times New Roman"/>
                <w:color w:val="auto"/>
                <w:sz w:val="24"/>
                <w:szCs w:val="24"/>
              </w:rPr>
              <w:t>扩建</w:t>
            </w:r>
          </w:p>
          <w:p w14:paraId="09D6A00D">
            <w:pPr>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2" w:char="00A3"/>
            </w:r>
            <w:r>
              <w:rPr>
                <w:rFonts w:hint="default" w:ascii="Times New Roman" w:hAnsi="Times New Roman" w:cs="Times New Roman"/>
                <w:color w:val="auto"/>
                <w:sz w:val="24"/>
                <w:szCs w:val="24"/>
              </w:rPr>
              <w:t>技术改造</w:t>
            </w:r>
          </w:p>
        </w:tc>
        <w:tc>
          <w:tcPr>
            <w:tcW w:w="1049" w:type="pct"/>
            <w:vAlign w:val="center"/>
          </w:tcPr>
          <w:p w14:paraId="6C32AF8C">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建设项目</w:t>
            </w:r>
          </w:p>
          <w:p w14:paraId="413512B9">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申报情形</w:t>
            </w:r>
          </w:p>
        </w:tc>
        <w:tc>
          <w:tcPr>
            <w:tcW w:w="1741" w:type="pct"/>
            <w:vAlign w:val="center"/>
          </w:tcPr>
          <w:p w14:paraId="36E8A911">
            <w:pPr>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2" w:char="0052"/>
            </w:r>
            <w:r>
              <w:rPr>
                <w:rFonts w:hint="default" w:ascii="Times New Roman" w:hAnsi="Times New Roman" w:cs="Times New Roman"/>
                <w:color w:val="auto"/>
                <w:sz w:val="24"/>
                <w:szCs w:val="24"/>
              </w:rPr>
              <w:t xml:space="preserve">首次申报项目             </w:t>
            </w:r>
          </w:p>
          <w:p w14:paraId="5F59F52C">
            <w:pPr>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2" w:char="00A3"/>
            </w:r>
            <w:r>
              <w:rPr>
                <w:rFonts w:hint="default" w:ascii="Times New Roman" w:hAnsi="Times New Roman" w:cs="Times New Roman"/>
                <w:color w:val="auto"/>
                <w:sz w:val="24"/>
                <w:szCs w:val="24"/>
              </w:rPr>
              <w:t>不予批准后再次申报项目</w:t>
            </w:r>
          </w:p>
          <w:p w14:paraId="7BE733EE">
            <w:pPr>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2" w:char="00A3"/>
            </w:r>
            <w:r>
              <w:rPr>
                <w:rFonts w:hint="default" w:ascii="Times New Roman" w:hAnsi="Times New Roman" w:cs="Times New Roman"/>
                <w:color w:val="auto"/>
                <w:sz w:val="24"/>
                <w:szCs w:val="24"/>
              </w:rPr>
              <w:t xml:space="preserve">超五年重新审核项目     </w:t>
            </w:r>
          </w:p>
          <w:p w14:paraId="4AF5B7D2">
            <w:pPr>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2" w:char="00A3"/>
            </w:r>
            <w:r>
              <w:rPr>
                <w:rFonts w:hint="default" w:ascii="Times New Roman" w:hAnsi="Times New Roman" w:cs="Times New Roman"/>
                <w:color w:val="auto"/>
                <w:sz w:val="24"/>
                <w:szCs w:val="24"/>
              </w:rPr>
              <w:t>重大变动重新报批项目</w:t>
            </w:r>
          </w:p>
        </w:tc>
      </w:tr>
      <w:tr w14:paraId="095CA9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90" w:hRule="atLeast"/>
          <w:jc w:val="center"/>
        </w:trPr>
        <w:tc>
          <w:tcPr>
            <w:tcW w:w="1029" w:type="pct"/>
            <w:tcMar>
              <w:top w:w="16" w:type="dxa"/>
              <w:left w:w="16" w:type="dxa"/>
              <w:right w:w="16" w:type="dxa"/>
            </w:tcMar>
            <w:vAlign w:val="center"/>
          </w:tcPr>
          <w:p w14:paraId="5A0B777C">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项目审批（核准/</w:t>
            </w:r>
          </w:p>
          <w:p w14:paraId="5147C177">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备案）部门（选填）</w:t>
            </w:r>
          </w:p>
        </w:tc>
        <w:tc>
          <w:tcPr>
            <w:tcW w:w="1179" w:type="pct"/>
            <w:vAlign w:val="center"/>
          </w:tcPr>
          <w:p w14:paraId="6D39837E">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三明市沙县区工信与科技</w:t>
            </w:r>
            <w:r>
              <w:rPr>
                <w:rFonts w:hint="default" w:ascii="Times New Roman" w:hAnsi="Times New Roman" w:cs="Times New Roman"/>
                <w:color w:val="auto"/>
                <w:sz w:val="24"/>
                <w:szCs w:val="24"/>
                <w:highlight w:val="none"/>
              </w:rPr>
              <w:t>局</w:t>
            </w:r>
          </w:p>
        </w:tc>
        <w:tc>
          <w:tcPr>
            <w:tcW w:w="1049" w:type="pct"/>
            <w:vAlign w:val="center"/>
          </w:tcPr>
          <w:p w14:paraId="5F9125B5">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项目审批（核准/</w:t>
            </w:r>
          </w:p>
          <w:p w14:paraId="192DC4D2">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备案）文号（选填）</w:t>
            </w:r>
          </w:p>
        </w:tc>
        <w:tc>
          <w:tcPr>
            <w:tcW w:w="1741" w:type="pct"/>
            <w:vAlign w:val="center"/>
          </w:tcPr>
          <w:p w14:paraId="7DA8ECFE">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闽工信备〔2026〕G100023号</w:t>
            </w:r>
          </w:p>
        </w:tc>
      </w:tr>
      <w:tr w14:paraId="4C599A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1029" w:type="pct"/>
            <w:tcMar>
              <w:top w:w="16" w:type="dxa"/>
              <w:left w:w="16" w:type="dxa"/>
              <w:right w:w="16" w:type="dxa"/>
            </w:tcMar>
            <w:vAlign w:val="center"/>
          </w:tcPr>
          <w:p w14:paraId="38E3F868">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总投资（万元）</w:t>
            </w:r>
          </w:p>
        </w:tc>
        <w:tc>
          <w:tcPr>
            <w:tcW w:w="1179" w:type="pct"/>
            <w:vAlign w:val="center"/>
          </w:tcPr>
          <w:p w14:paraId="59B7C9E0">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4192.3</w:t>
            </w:r>
          </w:p>
        </w:tc>
        <w:tc>
          <w:tcPr>
            <w:tcW w:w="1049" w:type="pct"/>
            <w:tcMar>
              <w:top w:w="16" w:type="dxa"/>
              <w:left w:w="16" w:type="dxa"/>
              <w:right w:w="16" w:type="dxa"/>
            </w:tcMar>
            <w:vAlign w:val="center"/>
          </w:tcPr>
          <w:p w14:paraId="15535A3A">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环保投资（万元）</w:t>
            </w:r>
          </w:p>
        </w:tc>
        <w:tc>
          <w:tcPr>
            <w:tcW w:w="1741" w:type="pct"/>
            <w:vAlign w:val="center"/>
          </w:tcPr>
          <w:p w14:paraId="4CED1F97">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99</w:t>
            </w:r>
            <w:r>
              <w:rPr>
                <w:rFonts w:hint="default" w:ascii="Times New Roman" w:hAnsi="Times New Roman" w:cs="Times New Roman"/>
                <w:color w:val="auto"/>
                <w:sz w:val="24"/>
                <w:szCs w:val="24"/>
                <w:highlight w:val="none"/>
              </w:rPr>
              <w:t>0</w:t>
            </w:r>
          </w:p>
        </w:tc>
      </w:tr>
      <w:tr w14:paraId="2AE707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1029" w:type="pct"/>
            <w:tcMar>
              <w:top w:w="16" w:type="dxa"/>
              <w:left w:w="16" w:type="dxa"/>
              <w:right w:w="16" w:type="dxa"/>
            </w:tcMar>
            <w:vAlign w:val="center"/>
          </w:tcPr>
          <w:p w14:paraId="628D6828">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环保投资占比（%）</w:t>
            </w:r>
          </w:p>
        </w:tc>
        <w:tc>
          <w:tcPr>
            <w:tcW w:w="1179" w:type="pct"/>
            <w:vAlign w:val="center"/>
          </w:tcPr>
          <w:p w14:paraId="1EAEDC28">
            <w:pPr>
              <w:adjustRightInd w:val="0"/>
              <w:snapToGrid w:val="0"/>
              <w:jc w:val="center"/>
              <w:rPr>
                <w:rFonts w:hint="default" w:ascii="Times New Roman" w:hAnsi="Times New Roman" w:cs="Times New Roman"/>
                <w:color w:val="auto"/>
                <w:sz w:val="24"/>
                <w:szCs w:val="24"/>
                <w:highlight w:val="none"/>
              </w:rPr>
            </w:pPr>
            <w:bookmarkStart w:id="9" w:name="OLE_LINK7"/>
            <w:r>
              <w:rPr>
                <w:rFonts w:hint="default" w:ascii="Times New Roman" w:hAnsi="Times New Roman" w:cs="Times New Roman"/>
                <w:color w:val="auto"/>
                <w:sz w:val="24"/>
                <w:szCs w:val="24"/>
                <w:highlight w:val="none"/>
              </w:rPr>
              <w:t>2</w:t>
            </w:r>
            <w:r>
              <w:rPr>
                <w:rFonts w:hint="default" w:ascii="Times New Roman" w:hAnsi="Times New Roman" w:cs="Times New Roman"/>
                <w:color w:val="auto"/>
                <w:sz w:val="24"/>
                <w:szCs w:val="24"/>
                <w:highlight w:val="none"/>
                <w:lang w:val="en-US" w:eastAsia="zh-CN"/>
              </w:rPr>
              <w:t>3.6</w:t>
            </w:r>
            <w:r>
              <w:rPr>
                <w:rFonts w:hint="default" w:ascii="Times New Roman" w:hAnsi="Times New Roman" w:cs="Times New Roman"/>
                <w:color w:val="auto"/>
                <w:sz w:val="24"/>
                <w:szCs w:val="24"/>
                <w:highlight w:val="none"/>
              </w:rPr>
              <w:t>%</w:t>
            </w:r>
            <w:bookmarkEnd w:id="9"/>
          </w:p>
        </w:tc>
        <w:tc>
          <w:tcPr>
            <w:tcW w:w="1049" w:type="pct"/>
            <w:tcMar>
              <w:top w:w="16" w:type="dxa"/>
              <w:left w:w="16" w:type="dxa"/>
              <w:right w:w="16" w:type="dxa"/>
            </w:tcMar>
            <w:vAlign w:val="center"/>
          </w:tcPr>
          <w:p w14:paraId="67102108">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施工工期</w:t>
            </w:r>
          </w:p>
        </w:tc>
        <w:tc>
          <w:tcPr>
            <w:tcW w:w="1741" w:type="pct"/>
            <w:vAlign w:val="center"/>
          </w:tcPr>
          <w:p w14:paraId="7010EB67">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24</w:t>
            </w:r>
            <w:r>
              <w:rPr>
                <w:rFonts w:hint="default" w:ascii="Times New Roman" w:hAnsi="Times New Roman" w:cs="Times New Roman"/>
                <w:color w:val="auto"/>
                <w:sz w:val="24"/>
                <w:szCs w:val="24"/>
                <w:highlight w:val="none"/>
              </w:rPr>
              <w:t>个月</w:t>
            </w:r>
          </w:p>
        </w:tc>
      </w:tr>
      <w:tr w14:paraId="26B3D7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70" w:hRule="atLeast"/>
          <w:jc w:val="center"/>
        </w:trPr>
        <w:tc>
          <w:tcPr>
            <w:tcW w:w="1029" w:type="pct"/>
            <w:tcMar>
              <w:top w:w="16" w:type="dxa"/>
              <w:left w:w="16" w:type="dxa"/>
              <w:right w:w="16" w:type="dxa"/>
            </w:tcMar>
            <w:vAlign w:val="center"/>
          </w:tcPr>
          <w:p w14:paraId="2EAAF87F">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是否开工建设</w:t>
            </w:r>
          </w:p>
        </w:tc>
        <w:tc>
          <w:tcPr>
            <w:tcW w:w="1179" w:type="pct"/>
            <w:vAlign w:val="center"/>
          </w:tcPr>
          <w:p w14:paraId="4B761AFE">
            <w:pPr>
              <w:adjustRightInd w:val="0"/>
              <w:snapToGrid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2" w:char="0052"/>
            </w:r>
            <w:r>
              <w:rPr>
                <w:rFonts w:hint="default" w:ascii="Times New Roman" w:hAnsi="Times New Roman" w:cs="Times New Roman"/>
                <w:color w:val="auto"/>
                <w:sz w:val="24"/>
                <w:szCs w:val="24"/>
              </w:rPr>
              <w:t>否</w:t>
            </w:r>
          </w:p>
          <w:p w14:paraId="4AC8B0C2">
            <w:pPr>
              <w:adjustRightInd w:val="0"/>
              <w:snapToGrid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2" w:char="00A3"/>
            </w:r>
            <w:r>
              <w:rPr>
                <w:rFonts w:hint="default" w:ascii="Times New Roman" w:hAnsi="Times New Roman" w:cs="Times New Roman"/>
                <w:color w:val="auto"/>
                <w:sz w:val="24"/>
                <w:szCs w:val="24"/>
              </w:rPr>
              <w:t>是：</w:t>
            </w:r>
            <w:r>
              <w:rPr>
                <w:rFonts w:hint="default" w:ascii="Times New Roman" w:hAnsi="Times New Roman" w:cs="Times New Roman"/>
                <w:color w:val="auto"/>
                <w:sz w:val="24"/>
                <w:szCs w:val="24"/>
                <w:u w:val="single"/>
              </w:rPr>
              <w:t xml:space="preserve">             </w:t>
            </w:r>
          </w:p>
        </w:tc>
        <w:tc>
          <w:tcPr>
            <w:tcW w:w="1049" w:type="pct"/>
            <w:tcMar>
              <w:top w:w="16" w:type="dxa"/>
              <w:left w:w="16" w:type="dxa"/>
              <w:right w:w="16" w:type="dxa"/>
            </w:tcMar>
            <w:vAlign w:val="center"/>
          </w:tcPr>
          <w:p w14:paraId="5950C18F">
            <w:pPr>
              <w:adjustRightInd w:val="0"/>
              <w:snapToGrid w:val="0"/>
              <w:jc w:val="center"/>
              <w:rPr>
                <w:rFonts w:hint="default" w:ascii="Times New Roman" w:hAnsi="Times New Roman" w:cs="Times New Roman"/>
                <w:color w:val="auto"/>
                <w:spacing w:val="-6"/>
                <w:sz w:val="24"/>
                <w:szCs w:val="24"/>
              </w:rPr>
            </w:pPr>
            <w:r>
              <w:rPr>
                <w:rFonts w:hint="default" w:ascii="Times New Roman" w:hAnsi="Times New Roman" w:cs="Times New Roman"/>
                <w:color w:val="auto"/>
                <w:spacing w:val="-6"/>
                <w:sz w:val="24"/>
                <w:szCs w:val="24"/>
              </w:rPr>
              <w:t>用地（用海）</w:t>
            </w:r>
          </w:p>
          <w:p w14:paraId="5F70CFE3">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pacing w:val="-6"/>
                <w:sz w:val="24"/>
                <w:szCs w:val="24"/>
              </w:rPr>
              <w:t>面积（m</w:t>
            </w:r>
            <w:r>
              <w:rPr>
                <w:rFonts w:hint="default" w:ascii="Times New Roman" w:hAnsi="Times New Roman" w:cs="Times New Roman"/>
                <w:color w:val="auto"/>
                <w:spacing w:val="-6"/>
                <w:sz w:val="24"/>
                <w:szCs w:val="24"/>
                <w:vertAlign w:val="superscript"/>
              </w:rPr>
              <w:t>2</w:t>
            </w:r>
            <w:r>
              <w:rPr>
                <w:rFonts w:hint="default" w:ascii="Times New Roman" w:hAnsi="Times New Roman" w:cs="Times New Roman"/>
                <w:color w:val="auto"/>
                <w:spacing w:val="-6"/>
                <w:sz w:val="24"/>
                <w:szCs w:val="24"/>
              </w:rPr>
              <w:t>）</w:t>
            </w:r>
          </w:p>
        </w:tc>
        <w:tc>
          <w:tcPr>
            <w:tcW w:w="1741" w:type="pct"/>
            <w:vAlign w:val="center"/>
          </w:tcPr>
          <w:p w14:paraId="4E8C83F7">
            <w:pPr>
              <w:adjustRightInd w:val="0"/>
              <w:snapToGrid w:val="0"/>
              <w:jc w:val="center"/>
              <w:rPr>
                <w:rFonts w:hint="default" w:ascii="Times New Roman" w:hAnsi="Times New Roman" w:cs="Times New Roman"/>
                <w:color w:val="auto"/>
                <w:spacing w:val="-6"/>
                <w:sz w:val="24"/>
                <w:szCs w:val="24"/>
                <w:highlight w:val="none"/>
                <w:vertAlign w:val="superscript"/>
              </w:rPr>
            </w:pPr>
            <w:r>
              <w:rPr>
                <w:rFonts w:hint="default" w:ascii="Times New Roman" w:hAnsi="Times New Roman" w:cs="Times New Roman"/>
                <w:color w:val="auto"/>
                <w:sz w:val="24"/>
                <w:szCs w:val="24"/>
                <w:highlight w:val="none"/>
              </w:rPr>
              <w:t>新增用地面积</w:t>
            </w:r>
            <w:r>
              <w:rPr>
                <w:rFonts w:hint="default" w:ascii="Times New Roman" w:hAnsi="Times New Roman" w:cs="Times New Roman"/>
                <w:color w:val="auto"/>
                <w:sz w:val="24"/>
                <w:szCs w:val="24"/>
                <w:highlight w:val="none"/>
                <w:lang w:val="en-US" w:eastAsia="zh-CN"/>
              </w:rPr>
              <w:t>144</w:t>
            </w:r>
            <w:r>
              <w:rPr>
                <w:rFonts w:hint="default" w:ascii="Times New Roman" w:hAnsi="Times New Roman" w:cs="Times New Roman"/>
                <w:color w:val="auto"/>
                <w:sz w:val="24"/>
                <w:szCs w:val="24"/>
                <w:highlight w:val="none"/>
              </w:rPr>
              <w:t>0</w:t>
            </w:r>
            <w:r>
              <w:rPr>
                <w:rFonts w:hint="default" w:ascii="Times New Roman" w:hAnsi="Times New Roman" w:cs="Times New Roman"/>
                <w:color w:val="auto"/>
                <w:spacing w:val="-6"/>
                <w:sz w:val="24"/>
                <w:szCs w:val="24"/>
                <w:highlight w:val="none"/>
              </w:rPr>
              <w:t>m</w:t>
            </w:r>
            <w:r>
              <w:rPr>
                <w:rFonts w:hint="default" w:ascii="Times New Roman" w:hAnsi="Times New Roman" w:cs="Times New Roman"/>
                <w:color w:val="auto"/>
                <w:spacing w:val="-6"/>
                <w:sz w:val="24"/>
                <w:szCs w:val="24"/>
                <w:highlight w:val="none"/>
                <w:vertAlign w:val="superscript"/>
              </w:rPr>
              <w:t>2</w:t>
            </w:r>
          </w:p>
          <w:p w14:paraId="58AF0146">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pacing w:val="-6"/>
                <w:sz w:val="24"/>
                <w:szCs w:val="24"/>
                <w:highlight w:val="none"/>
              </w:rPr>
              <w:t>（均为现有厂区预留地）</w:t>
            </w:r>
          </w:p>
        </w:tc>
      </w:tr>
      <w:tr w14:paraId="5F522B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21" w:hRule="atLeast"/>
          <w:jc w:val="center"/>
        </w:trPr>
        <w:tc>
          <w:tcPr>
            <w:tcW w:w="1029" w:type="pct"/>
            <w:vAlign w:val="center"/>
          </w:tcPr>
          <w:p w14:paraId="5252C7C1">
            <w:pPr>
              <w:autoSpaceDE w:val="0"/>
              <w:autoSpaceDN w:val="0"/>
              <w:adjustRightInd w:val="0"/>
              <w:snapToGrid w:val="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专项评价</w:t>
            </w:r>
          </w:p>
          <w:p w14:paraId="0D166A0C">
            <w:pPr>
              <w:autoSpaceDE w:val="0"/>
              <w:autoSpaceDN w:val="0"/>
              <w:adjustRightInd w:val="0"/>
              <w:snapToGrid w:val="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设置情况</w:t>
            </w:r>
          </w:p>
        </w:tc>
        <w:tc>
          <w:tcPr>
            <w:tcW w:w="3970" w:type="pct"/>
            <w:gridSpan w:val="3"/>
            <w:vAlign w:val="center"/>
          </w:tcPr>
          <w:p w14:paraId="7A5689D0">
            <w:pPr>
              <w:pStyle w:val="92"/>
              <w:adjustRightInd w:val="0"/>
              <w:snapToGrid w:val="0"/>
              <w:spacing w:before="189" w:beforeLines="50"/>
              <w:ind w:firstLine="480" w:firstLineChars="200"/>
              <w:rPr>
                <w:rFonts w:hint="default" w:ascii="Times New Roman" w:hAnsi="Times New Roman" w:cs="Times New Roman"/>
                <w:color w:val="auto"/>
                <w:kern w:val="0"/>
              </w:rPr>
            </w:pPr>
            <w:r>
              <w:rPr>
                <w:rFonts w:hint="default" w:ascii="Times New Roman" w:hAnsi="Times New Roman" w:cs="Times New Roman"/>
                <w:color w:val="auto"/>
                <w:kern w:val="0"/>
              </w:rPr>
              <w:t>根据《建设项目环境影响报告表编制技术指南（污染影响类）（试行）》专项评价设置原则表，本项目设置环境风险专项评价，详见表0-1。</w:t>
            </w:r>
          </w:p>
          <w:p w14:paraId="749B3C94">
            <w:pPr>
              <w:pStyle w:val="17"/>
              <w:snapToGrid w:val="0"/>
              <w:spacing w:before="113" w:beforeLines="30" w:after="113" w:afterLines="30"/>
              <w:ind w:left="0" w:leftChars="0" w:firstLine="0" w:firstLineChars="0"/>
              <w:jc w:val="center"/>
              <w:rPr>
                <w:rFonts w:hint="default" w:ascii="Times New Roman" w:hAnsi="Times New Roman" w:eastAsia="黑体" w:cs="Times New Roman"/>
                <w:bCs/>
                <w:color w:val="auto"/>
                <w:kern w:val="2"/>
                <w:sz w:val="24"/>
                <w:szCs w:val="24"/>
              </w:rPr>
            </w:pPr>
            <w:r>
              <w:rPr>
                <w:rFonts w:hint="default" w:ascii="Times New Roman" w:hAnsi="Times New Roman" w:eastAsia="黑体" w:cs="Times New Roman"/>
                <w:bCs/>
                <w:color w:val="auto"/>
                <w:kern w:val="2"/>
                <w:sz w:val="24"/>
                <w:szCs w:val="24"/>
              </w:rPr>
              <w:t>表0-1  项目专项评价设置表</w:t>
            </w:r>
          </w:p>
          <w:tbl>
            <w:tblPr>
              <w:tblStyle w:val="35"/>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5"/>
              <w:gridCol w:w="2778"/>
              <w:gridCol w:w="2778"/>
              <w:gridCol w:w="682"/>
            </w:tblGrid>
            <w:tr w14:paraId="214F4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pct"/>
                  <w:tcBorders>
                    <w:tl2br w:val="nil"/>
                    <w:tr2bl w:val="nil"/>
                  </w:tcBorders>
                  <w:vAlign w:val="center"/>
                </w:tcPr>
                <w:p w14:paraId="2F5FC240">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专项类别</w:t>
                  </w:r>
                </w:p>
              </w:tc>
              <w:tc>
                <w:tcPr>
                  <w:tcW w:w="1988" w:type="pct"/>
                  <w:tcBorders>
                    <w:tl2br w:val="nil"/>
                    <w:tr2bl w:val="nil"/>
                  </w:tcBorders>
                  <w:vAlign w:val="center"/>
                </w:tcPr>
                <w:p w14:paraId="2F817B61">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设置原则</w:t>
                  </w:r>
                </w:p>
              </w:tc>
              <w:tc>
                <w:tcPr>
                  <w:tcW w:w="1988" w:type="pct"/>
                  <w:tcBorders>
                    <w:tl2br w:val="nil"/>
                    <w:tr2bl w:val="nil"/>
                  </w:tcBorders>
                  <w:vAlign w:val="center"/>
                </w:tcPr>
                <w:p w14:paraId="1BBD6234">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本项目情况</w:t>
                  </w:r>
                </w:p>
              </w:tc>
              <w:tc>
                <w:tcPr>
                  <w:tcW w:w="488" w:type="pct"/>
                  <w:tcBorders>
                    <w:tl2br w:val="nil"/>
                    <w:tr2bl w:val="nil"/>
                  </w:tcBorders>
                  <w:vAlign w:val="center"/>
                </w:tcPr>
                <w:p w14:paraId="03C9A618">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专项</w:t>
                  </w:r>
                </w:p>
                <w:p w14:paraId="77F93BA7">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设置</w:t>
                  </w:r>
                </w:p>
              </w:tc>
            </w:tr>
            <w:tr w14:paraId="2432B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2" w:hRule="atLeast"/>
              </w:trPr>
              <w:tc>
                <w:tcPr>
                  <w:tcW w:w="534" w:type="pct"/>
                  <w:tcBorders>
                    <w:tl2br w:val="nil"/>
                    <w:tr2bl w:val="nil"/>
                  </w:tcBorders>
                  <w:vAlign w:val="center"/>
                </w:tcPr>
                <w:p w14:paraId="56A28890">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大气</w:t>
                  </w:r>
                </w:p>
              </w:tc>
              <w:tc>
                <w:tcPr>
                  <w:tcW w:w="1988" w:type="pct"/>
                  <w:tcBorders>
                    <w:tl2br w:val="nil"/>
                    <w:tr2bl w:val="nil"/>
                  </w:tcBorders>
                  <w:vAlign w:val="center"/>
                </w:tcPr>
                <w:p w14:paraId="4568659B">
                  <w:pPr>
                    <w:autoSpaceDE w:val="0"/>
                    <w:autoSpaceDN w:val="0"/>
                    <w:adjustRightInd w:val="0"/>
                    <w:snapToGrid w:val="0"/>
                    <w:rPr>
                      <w:rFonts w:hint="default" w:ascii="Times New Roman" w:hAnsi="Times New Roman" w:cs="Times New Roman"/>
                      <w:color w:val="auto"/>
                      <w:kern w:val="0"/>
                      <w:szCs w:val="21"/>
                    </w:rPr>
                  </w:pPr>
                  <w:r>
                    <w:rPr>
                      <w:rStyle w:val="93"/>
                      <w:rFonts w:hint="default" w:ascii="Times New Roman" w:hAnsi="Times New Roman" w:cs="Times New Roman"/>
                      <w:color w:val="auto"/>
                      <w:sz w:val="21"/>
                      <w:szCs w:val="21"/>
                    </w:rPr>
                    <w:t>排放废气含有毒有害污染物、二噁英、苯并</w:t>
                  </w:r>
                  <w:r>
                    <w:rPr>
                      <w:rStyle w:val="94"/>
                      <w:rFonts w:hint="default" w:ascii="Times New Roman" w:hAnsi="Times New Roman" w:cs="Times New Roman"/>
                      <w:color w:val="auto"/>
                      <w:sz w:val="21"/>
                      <w:szCs w:val="21"/>
                    </w:rPr>
                    <w:t>[a]</w:t>
                  </w:r>
                  <w:r>
                    <w:rPr>
                      <w:rStyle w:val="93"/>
                      <w:rFonts w:hint="default" w:ascii="Times New Roman" w:hAnsi="Times New Roman" w:cs="Times New Roman"/>
                      <w:color w:val="auto"/>
                      <w:sz w:val="21"/>
                      <w:szCs w:val="21"/>
                    </w:rPr>
                    <w:t>芘、氰化物、氯气且厂界外</w:t>
                  </w:r>
                  <w:r>
                    <w:rPr>
                      <w:rStyle w:val="94"/>
                      <w:rFonts w:hint="default" w:ascii="Times New Roman" w:hAnsi="Times New Roman" w:cs="Times New Roman"/>
                      <w:color w:val="auto"/>
                      <w:sz w:val="21"/>
                      <w:szCs w:val="21"/>
                    </w:rPr>
                    <w:t>500</w:t>
                  </w:r>
                  <w:r>
                    <w:rPr>
                      <w:rStyle w:val="93"/>
                      <w:rFonts w:hint="default" w:ascii="Times New Roman" w:hAnsi="Times New Roman" w:cs="Times New Roman"/>
                      <w:color w:val="auto"/>
                      <w:sz w:val="21"/>
                      <w:szCs w:val="21"/>
                    </w:rPr>
                    <w:t>米范围内有环境空气保护目标的建设项目</w:t>
                  </w:r>
                </w:p>
              </w:tc>
              <w:tc>
                <w:tcPr>
                  <w:tcW w:w="1988" w:type="pct"/>
                  <w:tcBorders>
                    <w:tl2br w:val="nil"/>
                    <w:tr2bl w:val="nil"/>
                  </w:tcBorders>
                  <w:vAlign w:val="center"/>
                </w:tcPr>
                <w:p w14:paraId="509B992C">
                  <w:pPr>
                    <w:autoSpaceDE w:val="0"/>
                    <w:autoSpaceDN w:val="0"/>
                    <w:adjustRightInd w:val="0"/>
                    <w:snapToGrid w:val="0"/>
                    <w:rPr>
                      <w:rFonts w:hint="default" w:ascii="Times New Roman" w:hAnsi="Times New Roman" w:cs="Times New Roman"/>
                      <w:color w:val="auto"/>
                      <w:kern w:val="0"/>
                      <w:szCs w:val="21"/>
                    </w:rPr>
                  </w:pPr>
                  <w:r>
                    <w:rPr>
                      <w:rFonts w:hint="default" w:ascii="Times New Roman" w:hAnsi="Times New Roman" w:cs="Times New Roman"/>
                      <w:color w:val="auto"/>
                      <w:szCs w:val="21"/>
                    </w:rPr>
                    <w:t>本项目排放的废气主要是颗粒物、二氧化硫、氮氧化物、氯化氢，不含《有毒有害大气污染物名录（2018年）》中有毒有害污染物、二噁英、苯并[a]芘、氰化物、氯气</w:t>
                  </w:r>
                </w:p>
              </w:tc>
              <w:tc>
                <w:tcPr>
                  <w:tcW w:w="488" w:type="pct"/>
                  <w:tcBorders>
                    <w:tl2br w:val="nil"/>
                    <w:tr2bl w:val="nil"/>
                  </w:tcBorders>
                  <w:vAlign w:val="center"/>
                </w:tcPr>
                <w:p w14:paraId="321A991A">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否</w:t>
                  </w:r>
                </w:p>
              </w:tc>
            </w:tr>
            <w:tr w14:paraId="29B4A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pct"/>
                  <w:tcBorders>
                    <w:tl2br w:val="nil"/>
                    <w:tr2bl w:val="nil"/>
                  </w:tcBorders>
                  <w:vAlign w:val="center"/>
                </w:tcPr>
                <w:p w14:paraId="2845E341">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地表水</w:t>
                  </w:r>
                </w:p>
              </w:tc>
              <w:tc>
                <w:tcPr>
                  <w:tcW w:w="1988" w:type="pct"/>
                  <w:tcBorders>
                    <w:tl2br w:val="nil"/>
                    <w:tr2bl w:val="nil"/>
                  </w:tcBorders>
                  <w:vAlign w:val="center"/>
                </w:tcPr>
                <w:p w14:paraId="6944A235">
                  <w:pPr>
                    <w:autoSpaceDE w:val="0"/>
                    <w:autoSpaceDN w:val="0"/>
                    <w:adjustRightInd w:val="0"/>
                    <w:snapToGrid w:val="0"/>
                    <w:rPr>
                      <w:rFonts w:hint="default" w:ascii="Times New Roman" w:hAnsi="Times New Roman" w:cs="Times New Roman"/>
                      <w:color w:val="auto"/>
                      <w:kern w:val="0"/>
                      <w:szCs w:val="21"/>
                    </w:rPr>
                  </w:pPr>
                  <w:r>
                    <w:rPr>
                      <w:rFonts w:hint="default" w:ascii="Times New Roman" w:hAnsi="Times New Roman" w:cs="Times New Roman"/>
                      <w:color w:val="auto"/>
                      <w:szCs w:val="21"/>
                    </w:rPr>
                    <w:t>新增工业废水直排建设项目（槽罐车外送污水处理厂的除外）；新增废水直排的污水集中处理厂</w:t>
                  </w:r>
                </w:p>
              </w:tc>
              <w:tc>
                <w:tcPr>
                  <w:tcW w:w="1988" w:type="pct"/>
                  <w:tcBorders>
                    <w:tl2br w:val="nil"/>
                    <w:tr2bl w:val="nil"/>
                  </w:tcBorders>
                  <w:vAlign w:val="center"/>
                </w:tcPr>
                <w:p w14:paraId="3B445CAE">
                  <w:pPr>
                    <w:autoSpaceDE w:val="0"/>
                    <w:autoSpaceDN w:val="0"/>
                    <w:adjustRightInd w:val="0"/>
                    <w:snapToGrid w:val="0"/>
                    <w:rPr>
                      <w:rFonts w:hint="default" w:ascii="Times New Roman" w:hAnsi="Times New Roman" w:cs="Times New Roman"/>
                      <w:color w:val="auto"/>
                      <w:kern w:val="0"/>
                      <w:szCs w:val="21"/>
                    </w:rPr>
                  </w:pPr>
                  <w:r>
                    <w:rPr>
                      <w:rFonts w:hint="default" w:ascii="Times New Roman" w:hAnsi="Times New Roman" w:cs="Times New Roman"/>
                      <w:color w:val="auto"/>
                      <w:szCs w:val="21"/>
                    </w:rPr>
                    <w:t>本项目生产废水排入金古北片区污水处理厂处理，为间接排放。</w:t>
                  </w:r>
                </w:p>
              </w:tc>
              <w:tc>
                <w:tcPr>
                  <w:tcW w:w="488" w:type="pct"/>
                  <w:tcBorders>
                    <w:tl2br w:val="nil"/>
                    <w:tr2bl w:val="nil"/>
                  </w:tcBorders>
                  <w:vAlign w:val="center"/>
                </w:tcPr>
                <w:p w14:paraId="6F7930DD">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否</w:t>
                  </w:r>
                </w:p>
              </w:tc>
            </w:tr>
            <w:tr w14:paraId="3E7B3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pct"/>
                  <w:tcBorders>
                    <w:tl2br w:val="nil"/>
                    <w:tr2bl w:val="nil"/>
                  </w:tcBorders>
                  <w:vAlign w:val="center"/>
                </w:tcPr>
                <w:p w14:paraId="3617C0E6">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环境风险</w:t>
                  </w:r>
                </w:p>
              </w:tc>
              <w:tc>
                <w:tcPr>
                  <w:tcW w:w="1988" w:type="pct"/>
                  <w:tcBorders>
                    <w:tl2br w:val="nil"/>
                    <w:tr2bl w:val="nil"/>
                  </w:tcBorders>
                  <w:vAlign w:val="center"/>
                </w:tcPr>
                <w:p w14:paraId="376F72A4">
                  <w:pPr>
                    <w:autoSpaceDE w:val="0"/>
                    <w:autoSpaceDN w:val="0"/>
                    <w:adjustRightInd w:val="0"/>
                    <w:snapToGrid w:val="0"/>
                    <w:rPr>
                      <w:rFonts w:hint="default" w:ascii="Times New Roman" w:hAnsi="Times New Roman" w:cs="Times New Roman"/>
                      <w:color w:val="auto"/>
                      <w:kern w:val="0"/>
                      <w:szCs w:val="21"/>
                    </w:rPr>
                  </w:pPr>
                  <w:r>
                    <w:rPr>
                      <w:rFonts w:hint="default" w:ascii="Times New Roman" w:hAnsi="Times New Roman" w:cs="Times New Roman"/>
                      <w:color w:val="auto"/>
                      <w:szCs w:val="21"/>
                    </w:rPr>
                    <w:t>有毒有害和易燃易爆危险物质存储量超过临界量的建设项目</w:t>
                  </w:r>
                </w:p>
              </w:tc>
              <w:tc>
                <w:tcPr>
                  <w:tcW w:w="1988" w:type="pct"/>
                  <w:tcBorders>
                    <w:tl2br w:val="nil"/>
                    <w:tr2bl w:val="nil"/>
                  </w:tcBorders>
                  <w:vAlign w:val="center"/>
                </w:tcPr>
                <w:p w14:paraId="6C0D9584">
                  <w:pPr>
                    <w:autoSpaceDE w:val="0"/>
                    <w:autoSpaceDN w:val="0"/>
                    <w:adjustRightInd w:val="0"/>
                    <w:snapToGrid w:val="0"/>
                    <w:rPr>
                      <w:rFonts w:hint="default" w:ascii="Times New Roman" w:hAnsi="Times New Roman" w:cs="Times New Roman"/>
                      <w:color w:val="auto"/>
                      <w:kern w:val="0"/>
                      <w:szCs w:val="21"/>
                    </w:rPr>
                  </w:pPr>
                  <w:r>
                    <w:rPr>
                      <w:rFonts w:hint="default" w:ascii="Times New Roman" w:hAnsi="Times New Roman" w:cs="Times New Roman"/>
                      <w:color w:val="auto"/>
                      <w:szCs w:val="21"/>
                    </w:rPr>
                    <w:t>本项目盐酸储量超过临界量。</w:t>
                  </w:r>
                </w:p>
              </w:tc>
              <w:tc>
                <w:tcPr>
                  <w:tcW w:w="488" w:type="pct"/>
                  <w:tcBorders>
                    <w:tl2br w:val="nil"/>
                    <w:tr2bl w:val="nil"/>
                  </w:tcBorders>
                  <w:vAlign w:val="center"/>
                </w:tcPr>
                <w:p w14:paraId="4B4371F4">
                  <w:pPr>
                    <w:autoSpaceDE w:val="0"/>
                    <w:autoSpaceDN w:val="0"/>
                    <w:adjustRightInd w:val="0"/>
                    <w:snapToGrid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是</w:t>
                  </w:r>
                </w:p>
              </w:tc>
            </w:tr>
            <w:tr w14:paraId="50535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pct"/>
                  <w:tcBorders>
                    <w:tl2br w:val="nil"/>
                    <w:tr2bl w:val="nil"/>
                  </w:tcBorders>
                  <w:vAlign w:val="center"/>
                </w:tcPr>
                <w:p w14:paraId="29A16038">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生态</w:t>
                  </w:r>
                </w:p>
              </w:tc>
              <w:tc>
                <w:tcPr>
                  <w:tcW w:w="1988" w:type="pct"/>
                  <w:tcBorders>
                    <w:tl2br w:val="nil"/>
                    <w:tr2bl w:val="nil"/>
                  </w:tcBorders>
                  <w:vAlign w:val="center"/>
                </w:tcPr>
                <w:p w14:paraId="39C036E3">
                  <w:pPr>
                    <w:autoSpaceDE w:val="0"/>
                    <w:autoSpaceDN w:val="0"/>
                    <w:adjustRightInd w:val="0"/>
                    <w:snapToGrid w:val="0"/>
                    <w:rPr>
                      <w:rFonts w:hint="default" w:ascii="Times New Roman" w:hAnsi="Times New Roman" w:cs="Times New Roman"/>
                      <w:color w:val="auto"/>
                      <w:kern w:val="0"/>
                      <w:szCs w:val="21"/>
                    </w:rPr>
                  </w:pPr>
                  <w:r>
                    <w:rPr>
                      <w:rFonts w:hint="default" w:ascii="Times New Roman" w:hAnsi="Times New Roman" w:cs="Times New Roman"/>
                      <w:color w:val="auto"/>
                      <w:szCs w:val="21"/>
                    </w:rPr>
                    <w:t>取水口下游</w:t>
                  </w:r>
                  <w:r>
                    <w:rPr>
                      <w:rFonts w:hint="default" w:ascii="Times New Roman" w:hAnsi="Times New Roman" w:eastAsia="TimesNewRomanPSMT" w:cs="Times New Roman"/>
                      <w:color w:val="auto"/>
                      <w:szCs w:val="21"/>
                    </w:rPr>
                    <w:t>500</w:t>
                  </w:r>
                  <w:r>
                    <w:rPr>
                      <w:rFonts w:hint="default" w:ascii="Times New Roman" w:hAnsi="Times New Roman" w:cs="Times New Roman"/>
                      <w:color w:val="auto"/>
                      <w:szCs w:val="21"/>
                    </w:rPr>
                    <w:t>米范围内有重要水生生物的自然产卵场、索饵场、越冬场和洄游通道的新增河道取水的污染类建设项目</w:t>
                  </w:r>
                </w:p>
              </w:tc>
              <w:tc>
                <w:tcPr>
                  <w:tcW w:w="1988" w:type="pct"/>
                  <w:tcBorders>
                    <w:tl2br w:val="nil"/>
                    <w:tr2bl w:val="nil"/>
                  </w:tcBorders>
                  <w:vAlign w:val="center"/>
                </w:tcPr>
                <w:p w14:paraId="2947F8A4">
                  <w:pPr>
                    <w:autoSpaceDE w:val="0"/>
                    <w:autoSpaceDN w:val="0"/>
                    <w:adjustRightInd w:val="0"/>
                    <w:snapToGrid w:val="0"/>
                    <w:rPr>
                      <w:rFonts w:hint="default" w:ascii="Times New Roman" w:hAnsi="Times New Roman" w:cs="Times New Roman"/>
                      <w:color w:val="auto"/>
                      <w:kern w:val="0"/>
                      <w:szCs w:val="21"/>
                    </w:rPr>
                  </w:pPr>
                  <w:r>
                    <w:rPr>
                      <w:rFonts w:hint="default" w:ascii="Times New Roman" w:hAnsi="Times New Roman" w:cs="Times New Roman"/>
                      <w:color w:val="auto"/>
                      <w:szCs w:val="21"/>
                    </w:rPr>
                    <w:t>本项目不设置取水口</w:t>
                  </w:r>
                </w:p>
              </w:tc>
              <w:tc>
                <w:tcPr>
                  <w:tcW w:w="488" w:type="pct"/>
                  <w:tcBorders>
                    <w:tl2br w:val="nil"/>
                    <w:tr2bl w:val="nil"/>
                  </w:tcBorders>
                  <w:vAlign w:val="center"/>
                </w:tcPr>
                <w:p w14:paraId="26BA41ED">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否</w:t>
                  </w:r>
                </w:p>
              </w:tc>
            </w:tr>
            <w:tr w14:paraId="1FB10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534" w:type="pct"/>
                  <w:tcBorders>
                    <w:tl2br w:val="nil"/>
                    <w:tr2bl w:val="nil"/>
                  </w:tcBorders>
                  <w:vAlign w:val="center"/>
                </w:tcPr>
                <w:p w14:paraId="7E529876">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海洋</w:t>
                  </w:r>
                </w:p>
              </w:tc>
              <w:tc>
                <w:tcPr>
                  <w:tcW w:w="1988" w:type="pct"/>
                  <w:tcBorders>
                    <w:tl2br w:val="nil"/>
                    <w:tr2bl w:val="nil"/>
                  </w:tcBorders>
                  <w:vAlign w:val="center"/>
                </w:tcPr>
                <w:p w14:paraId="7242EF4C">
                  <w:pPr>
                    <w:autoSpaceDE w:val="0"/>
                    <w:autoSpaceDN w:val="0"/>
                    <w:adjustRightInd w:val="0"/>
                    <w:snapToGrid w:val="0"/>
                    <w:rPr>
                      <w:rFonts w:hint="default" w:ascii="Times New Roman" w:hAnsi="Times New Roman" w:cs="Times New Roman"/>
                      <w:color w:val="auto"/>
                      <w:kern w:val="0"/>
                      <w:szCs w:val="21"/>
                    </w:rPr>
                  </w:pPr>
                  <w:r>
                    <w:rPr>
                      <w:rFonts w:hint="default" w:ascii="Times New Roman" w:hAnsi="Times New Roman" w:cs="Times New Roman"/>
                      <w:color w:val="auto"/>
                      <w:szCs w:val="21"/>
                    </w:rPr>
                    <w:t>直接向海排放污染物的海洋工程建设项目</w:t>
                  </w:r>
                </w:p>
              </w:tc>
              <w:tc>
                <w:tcPr>
                  <w:tcW w:w="1988" w:type="pct"/>
                  <w:tcBorders>
                    <w:tl2br w:val="nil"/>
                    <w:tr2bl w:val="nil"/>
                  </w:tcBorders>
                  <w:vAlign w:val="center"/>
                </w:tcPr>
                <w:p w14:paraId="0B327AD1">
                  <w:pPr>
                    <w:autoSpaceDE w:val="0"/>
                    <w:autoSpaceDN w:val="0"/>
                    <w:adjustRightInd w:val="0"/>
                    <w:snapToGrid w:val="0"/>
                    <w:rPr>
                      <w:rFonts w:hint="default" w:ascii="Times New Roman" w:hAnsi="Times New Roman" w:cs="Times New Roman"/>
                      <w:color w:val="auto"/>
                      <w:kern w:val="0"/>
                      <w:szCs w:val="21"/>
                    </w:rPr>
                  </w:pPr>
                  <w:r>
                    <w:rPr>
                      <w:rFonts w:hint="default" w:ascii="Times New Roman" w:hAnsi="Times New Roman" w:cs="Times New Roman"/>
                      <w:color w:val="auto"/>
                      <w:szCs w:val="21"/>
                    </w:rPr>
                    <w:t>本项目不属于海洋工程</w:t>
                  </w:r>
                </w:p>
              </w:tc>
              <w:tc>
                <w:tcPr>
                  <w:tcW w:w="488" w:type="pct"/>
                  <w:tcBorders>
                    <w:tl2br w:val="nil"/>
                    <w:tr2bl w:val="nil"/>
                  </w:tcBorders>
                  <w:vAlign w:val="center"/>
                </w:tcPr>
                <w:p w14:paraId="2784FC0A">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否</w:t>
                  </w:r>
                </w:p>
              </w:tc>
            </w:tr>
          </w:tbl>
          <w:p w14:paraId="5695E90B">
            <w:pPr>
              <w:autoSpaceDE w:val="0"/>
              <w:autoSpaceDN w:val="0"/>
              <w:adjustRightInd w:val="0"/>
              <w:snapToGrid w:val="0"/>
              <w:jc w:val="center"/>
              <w:rPr>
                <w:rFonts w:hint="default" w:ascii="Times New Roman" w:hAnsi="Times New Roman" w:eastAsia="Times New Roman" w:cs="Times New Roman"/>
                <w:color w:val="auto"/>
                <w:kern w:val="0"/>
                <w:sz w:val="24"/>
              </w:rPr>
            </w:pPr>
          </w:p>
        </w:tc>
      </w:tr>
      <w:tr w14:paraId="0F4F59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88" w:hRule="atLeast"/>
          <w:jc w:val="center"/>
        </w:trPr>
        <w:tc>
          <w:tcPr>
            <w:tcW w:w="1029" w:type="pct"/>
            <w:vAlign w:val="center"/>
          </w:tcPr>
          <w:p w14:paraId="4838A034">
            <w:pPr>
              <w:autoSpaceDE w:val="0"/>
              <w:autoSpaceDN w:val="0"/>
              <w:adjustRightInd w:val="0"/>
              <w:snapToGrid w:val="0"/>
              <w:jc w:val="center"/>
              <w:rPr>
                <w:rFonts w:hint="default" w:ascii="Times New Roman" w:hAnsi="Times New Roman" w:cs="Times New Roman"/>
                <w:color w:val="auto"/>
                <w:kern w:val="0"/>
                <w:sz w:val="24"/>
              </w:rPr>
            </w:pPr>
            <w:r>
              <w:rPr>
                <w:rFonts w:hint="default" w:ascii="Times New Roman" w:hAnsi="Times New Roman" w:cs="Times New Roman"/>
                <w:color w:val="auto"/>
                <w:sz w:val="24"/>
              </w:rPr>
              <w:t>规划情况</w:t>
            </w:r>
          </w:p>
        </w:tc>
        <w:tc>
          <w:tcPr>
            <w:tcW w:w="3970" w:type="pct"/>
            <w:gridSpan w:val="3"/>
            <w:vAlign w:val="center"/>
          </w:tcPr>
          <w:p w14:paraId="6C32794C">
            <w:pPr>
              <w:pStyle w:val="92"/>
              <w:adjustRightInd w:val="0"/>
              <w:snapToGrid w:val="0"/>
              <w:spacing w:before="113" w:beforeLines="30"/>
              <w:ind w:firstLine="480" w:firstLineChars="200"/>
              <w:rPr>
                <w:rFonts w:hint="default" w:ascii="Times New Roman" w:hAnsi="Times New Roman" w:cs="Times New Roman"/>
                <w:color w:val="auto"/>
                <w:kern w:val="0"/>
              </w:rPr>
            </w:pPr>
            <w:r>
              <w:rPr>
                <w:rFonts w:hint="default" w:ascii="Times New Roman" w:hAnsi="Times New Roman" w:cs="Times New Roman"/>
                <w:color w:val="auto"/>
                <w:kern w:val="0"/>
              </w:rPr>
              <w:t>规划名称：《沙县金古经济开发区北片区控制性详细规划》</w:t>
            </w:r>
          </w:p>
          <w:p w14:paraId="07E41875">
            <w:pPr>
              <w:pStyle w:val="92"/>
              <w:adjustRightInd w:val="0"/>
              <w:snapToGrid w:val="0"/>
              <w:ind w:firstLine="480" w:firstLineChars="200"/>
              <w:rPr>
                <w:rFonts w:hint="default" w:ascii="Times New Roman" w:hAnsi="Times New Roman" w:cs="Times New Roman"/>
                <w:color w:val="auto"/>
                <w:kern w:val="0"/>
              </w:rPr>
            </w:pPr>
            <w:bookmarkStart w:id="10" w:name="OLE_LINK1"/>
            <w:r>
              <w:rPr>
                <w:rFonts w:hint="default" w:ascii="Times New Roman" w:hAnsi="Times New Roman" w:cs="Times New Roman"/>
                <w:color w:val="auto"/>
                <w:kern w:val="0"/>
              </w:rPr>
              <w:t>审查机关：三明市沙县区人民政府</w:t>
            </w:r>
          </w:p>
          <w:p w14:paraId="6BD9C196">
            <w:pPr>
              <w:pStyle w:val="92"/>
              <w:adjustRightInd w:val="0"/>
              <w:snapToGrid w:val="0"/>
              <w:ind w:firstLine="480" w:firstLineChars="200"/>
              <w:rPr>
                <w:rFonts w:hint="default" w:ascii="Times New Roman" w:hAnsi="Times New Roman" w:cs="Times New Roman"/>
                <w:color w:val="auto"/>
                <w:kern w:val="0"/>
              </w:rPr>
            </w:pPr>
            <w:r>
              <w:rPr>
                <w:rFonts w:hint="default" w:ascii="Times New Roman" w:hAnsi="Times New Roman" w:cs="Times New Roman"/>
                <w:color w:val="auto"/>
                <w:kern w:val="0"/>
              </w:rPr>
              <w:t>审批文件名称及文号：</w:t>
            </w:r>
            <w:bookmarkEnd w:id="10"/>
            <w:r>
              <w:rPr>
                <w:rFonts w:hint="default" w:ascii="Times New Roman" w:hAnsi="Times New Roman" w:cs="Times New Roman"/>
                <w:color w:val="auto"/>
                <w:kern w:val="0"/>
              </w:rPr>
              <w:t>沙县人民政府关于同意沙县金古经济开发区北片区控 制性详细规划的批复（沙政〔2016〕23号）。</w:t>
            </w:r>
          </w:p>
          <w:p w14:paraId="39FBA2BB">
            <w:pPr>
              <w:pStyle w:val="92"/>
              <w:adjustRightInd w:val="0"/>
              <w:snapToGrid w:val="0"/>
              <w:ind w:firstLine="480" w:firstLineChars="200"/>
              <w:rPr>
                <w:rFonts w:hint="default" w:ascii="Times New Roman" w:hAnsi="Times New Roman" w:cs="Times New Roman"/>
                <w:color w:val="auto"/>
                <w:kern w:val="0"/>
              </w:rPr>
            </w:pPr>
            <w:r>
              <w:rPr>
                <w:rFonts w:hint="default" w:ascii="Times New Roman" w:hAnsi="Times New Roman" w:cs="Times New Roman"/>
                <w:color w:val="auto"/>
                <w:kern w:val="0"/>
              </w:rPr>
              <w:t>规划名称：《三明高新区金古北区产业发展规划》</w:t>
            </w:r>
          </w:p>
          <w:p w14:paraId="3FAB2903">
            <w:pPr>
              <w:pStyle w:val="92"/>
              <w:adjustRightInd w:val="0"/>
              <w:snapToGrid w:val="0"/>
              <w:ind w:firstLine="480" w:firstLineChars="200"/>
              <w:rPr>
                <w:rFonts w:hint="default" w:ascii="Times New Roman" w:hAnsi="Times New Roman" w:cs="Times New Roman"/>
                <w:color w:val="auto"/>
                <w:kern w:val="0"/>
              </w:rPr>
            </w:pPr>
            <w:r>
              <w:rPr>
                <w:rFonts w:hint="default" w:ascii="Times New Roman" w:hAnsi="Times New Roman" w:cs="Times New Roman"/>
                <w:color w:val="auto"/>
                <w:kern w:val="0"/>
              </w:rPr>
              <w:t>审查机关：三明市沙县区人民政府</w:t>
            </w:r>
          </w:p>
          <w:p w14:paraId="312C5587">
            <w:pPr>
              <w:pStyle w:val="92"/>
              <w:adjustRightInd w:val="0"/>
              <w:snapToGrid w:val="0"/>
              <w:ind w:firstLine="480" w:firstLineChars="200"/>
              <w:rPr>
                <w:rFonts w:hint="default" w:ascii="Times New Roman" w:hAnsi="Times New Roman" w:cs="Times New Roman"/>
                <w:color w:val="auto"/>
                <w:kern w:val="0"/>
              </w:rPr>
            </w:pPr>
            <w:r>
              <w:rPr>
                <w:rFonts w:hint="default" w:ascii="Times New Roman" w:hAnsi="Times New Roman" w:cs="Times New Roman"/>
                <w:color w:val="auto"/>
                <w:kern w:val="0"/>
              </w:rPr>
              <w:t>审批文件名称及文号：三明市沙县区人民政府关于同意三明高新区金古北区产业发展规划的批复（沙政〔2025〕111号）</w:t>
            </w:r>
          </w:p>
        </w:tc>
      </w:tr>
      <w:tr w14:paraId="0DDD31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9" w:type="pct"/>
            <w:vAlign w:val="center"/>
          </w:tcPr>
          <w:p w14:paraId="7642D4E5">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规划环境影响</w:t>
            </w:r>
          </w:p>
          <w:p w14:paraId="7B29A315">
            <w:pPr>
              <w:adjustRightInd w:val="0"/>
              <w:snapToGrid w:val="0"/>
              <w:jc w:val="center"/>
              <w:rPr>
                <w:rFonts w:hint="default" w:ascii="Times New Roman" w:hAnsi="Times New Roman" w:cs="Times New Roman"/>
                <w:color w:val="auto"/>
                <w:kern w:val="0"/>
                <w:sz w:val="24"/>
              </w:rPr>
            </w:pPr>
            <w:r>
              <w:rPr>
                <w:rFonts w:hint="default" w:ascii="Times New Roman" w:hAnsi="Times New Roman" w:cs="Times New Roman"/>
                <w:color w:val="auto"/>
                <w:sz w:val="24"/>
              </w:rPr>
              <w:t>评价情况</w:t>
            </w:r>
          </w:p>
        </w:tc>
        <w:tc>
          <w:tcPr>
            <w:tcW w:w="3970" w:type="pct"/>
            <w:gridSpan w:val="3"/>
            <w:vAlign w:val="center"/>
          </w:tcPr>
          <w:p w14:paraId="414E4B93">
            <w:pPr>
              <w:pStyle w:val="92"/>
              <w:adjustRightInd w:val="0"/>
              <w:snapToGrid w:val="0"/>
              <w:spacing w:before="113" w:beforeLines="30"/>
              <w:ind w:firstLine="480" w:firstLineChars="200"/>
              <w:rPr>
                <w:rFonts w:hint="default" w:ascii="Times New Roman" w:hAnsi="Times New Roman" w:cs="Times New Roman"/>
                <w:color w:val="auto"/>
                <w:kern w:val="0"/>
              </w:rPr>
            </w:pPr>
            <w:r>
              <w:rPr>
                <w:rFonts w:hint="default" w:ascii="Times New Roman" w:hAnsi="Times New Roman" w:cs="Times New Roman"/>
                <w:color w:val="auto"/>
                <w:kern w:val="0"/>
              </w:rPr>
              <w:t xml:space="preserve">规划环评文件名称：《沙县金古经济开发区北片区控制性详细规划（2021年版）环境影响报告书》 </w:t>
            </w:r>
          </w:p>
          <w:p w14:paraId="76FA237F">
            <w:pPr>
              <w:pStyle w:val="92"/>
              <w:adjustRightInd w:val="0"/>
              <w:snapToGrid w:val="0"/>
              <w:ind w:firstLine="480" w:firstLineChars="200"/>
              <w:rPr>
                <w:rFonts w:hint="default" w:ascii="Times New Roman" w:hAnsi="Times New Roman" w:cs="Times New Roman"/>
                <w:color w:val="auto"/>
                <w:kern w:val="0"/>
              </w:rPr>
            </w:pPr>
            <w:r>
              <w:rPr>
                <w:rFonts w:hint="default" w:ascii="Times New Roman" w:hAnsi="Times New Roman" w:cs="Times New Roman"/>
                <w:color w:val="auto"/>
                <w:kern w:val="0"/>
              </w:rPr>
              <w:t>审查机关：三明市生态环境局</w:t>
            </w:r>
          </w:p>
          <w:p w14:paraId="39BC16DE">
            <w:pPr>
              <w:pStyle w:val="92"/>
              <w:adjustRightInd w:val="0"/>
              <w:snapToGrid w:val="0"/>
              <w:ind w:firstLine="480" w:firstLineChars="200"/>
              <w:rPr>
                <w:rFonts w:hint="default" w:ascii="Times New Roman" w:hAnsi="Times New Roman" w:cs="Times New Roman"/>
                <w:color w:val="auto"/>
                <w:kern w:val="0"/>
              </w:rPr>
            </w:pPr>
            <w:r>
              <w:rPr>
                <w:rFonts w:hint="default" w:ascii="Times New Roman" w:hAnsi="Times New Roman" w:cs="Times New Roman"/>
                <w:color w:val="auto"/>
                <w:kern w:val="0"/>
              </w:rPr>
              <w:t>审查文件名称及文号：《三明市生态环境局关于沙县金古经济开发区北片区控制性详细规划（2021年版）环境影响报告书审查意见的函》（明环评〔2022〕29 号）</w:t>
            </w:r>
          </w:p>
        </w:tc>
      </w:tr>
      <w:tr w14:paraId="52B1C2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1029" w:type="pct"/>
            <w:vAlign w:val="center"/>
          </w:tcPr>
          <w:p w14:paraId="575D2DC8">
            <w:pPr>
              <w:autoSpaceDE w:val="0"/>
              <w:autoSpaceDN w:val="0"/>
              <w:adjustRightInd w:val="0"/>
              <w:snapToGrid w:val="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规划及规划环境影响评价符合性分析</w:t>
            </w:r>
          </w:p>
        </w:tc>
        <w:tc>
          <w:tcPr>
            <w:tcW w:w="3970" w:type="pct"/>
            <w:gridSpan w:val="3"/>
            <w:vAlign w:val="center"/>
          </w:tcPr>
          <w:p w14:paraId="3B4B9C79">
            <w:pPr>
              <w:pStyle w:val="95"/>
              <w:snapToGrid w:val="0"/>
              <w:spacing w:before="189" w:beforeLines="50" w:line="360" w:lineRule="auto"/>
              <w:jc w:val="both"/>
              <w:rPr>
                <w:rFonts w:hint="default" w:ascii="Times New Roman" w:hAnsi="Times New Roman" w:cs="Times New Roman"/>
                <w:color w:val="auto"/>
                <w:sz w:val="30"/>
              </w:rPr>
            </w:pPr>
            <w:r>
              <w:rPr>
                <w:rFonts w:hint="default" w:ascii="Times New Roman" w:hAnsi="Times New Roman" w:cs="Times New Roman"/>
                <w:color w:val="auto"/>
                <w:sz w:val="30"/>
              </w:rPr>
              <w:t>1.1与《三明高新区金古北区产业发展规划》符合性分析</w:t>
            </w:r>
          </w:p>
          <w:p w14:paraId="50BF8E49">
            <w:pPr>
              <w:pStyle w:val="92"/>
              <w:adjustRightInd w:val="0"/>
              <w:snapToGrid w:val="0"/>
              <w:ind w:firstLine="480" w:firstLineChars="200"/>
              <w:jc w:val="both"/>
              <w:rPr>
                <w:rFonts w:hint="default" w:ascii="Times New Roman" w:hAnsi="Times New Roman" w:cs="Times New Roman"/>
                <w:color w:val="auto"/>
              </w:rPr>
            </w:pPr>
            <w:r>
              <w:rPr>
                <w:rFonts w:hint="default" w:ascii="Times New Roman" w:hAnsi="Times New Roman" w:cs="Times New Roman"/>
                <w:color w:val="auto"/>
              </w:rPr>
              <w:t>《三明高新区金古北区产业发展规划》产业定位为：</w:t>
            </w:r>
            <w:r>
              <w:rPr>
                <w:rFonts w:hint="default" w:ascii="Times New Roman" w:hAnsi="Times New Roman" w:cs="Times New Roman"/>
                <w:b/>
                <w:bCs/>
                <w:color w:val="auto"/>
              </w:rPr>
              <w:t>以加工制造业（包括金属制品业</w:t>
            </w:r>
            <w:r>
              <w:rPr>
                <w:rFonts w:hint="default" w:ascii="Times New Roman" w:hAnsi="Times New Roman" w:cs="Times New Roman"/>
                <w:color w:val="auto"/>
              </w:rPr>
              <w:t>、机械制造业、木材加工业等）、食品加工（包括农副产品加工、食品制造业等）、新型环保行业为主导产业，兼顾发展消防装备、无人机装备制造、电子专用材料制造、废弃资源综合利用业、环境治理业、非金属矿物制品业等产业，打造富有地域特色的现代化生态循环经济产业园。</w:t>
            </w:r>
          </w:p>
          <w:p w14:paraId="16AC0CC1">
            <w:pPr>
              <w:pStyle w:val="92"/>
              <w:adjustRightInd w:val="0"/>
              <w:snapToGrid w:val="0"/>
              <w:ind w:firstLine="480" w:firstLineChars="200"/>
              <w:jc w:val="both"/>
              <w:rPr>
                <w:rFonts w:hint="default" w:ascii="Times New Roman" w:hAnsi="Times New Roman" w:cs="Times New Roman"/>
                <w:color w:val="auto"/>
              </w:rPr>
            </w:pPr>
            <w:r>
              <w:rPr>
                <w:rFonts w:hint="default" w:ascii="Times New Roman" w:hAnsi="Times New Roman" w:cs="Times New Roman"/>
                <w:color w:val="auto"/>
              </w:rPr>
              <w:t>重点产业引导：</w:t>
            </w:r>
          </w:p>
          <w:p w14:paraId="075988C1">
            <w:pPr>
              <w:pStyle w:val="92"/>
              <w:adjustRightInd w:val="0"/>
              <w:snapToGrid w:val="0"/>
              <w:ind w:firstLine="480" w:firstLineChars="200"/>
              <w:jc w:val="both"/>
              <w:rPr>
                <w:rFonts w:hint="default" w:ascii="Times New Roman" w:hAnsi="Times New Roman" w:cs="Times New Roman"/>
                <w:color w:val="auto"/>
              </w:rPr>
            </w:pPr>
            <w:r>
              <w:rPr>
                <w:rFonts w:hint="default" w:ascii="Times New Roman" w:hAnsi="Times New Roman" w:cs="Times New Roman"/>
                <w:color w:val="auto"/>
              </w:rPr>
              <w:t>（一）加工制造业（金属制品业、</w:t>
            </w:r>
            <w:r>
              <w:rPr>
                <w:rFonts w:hint="default" w:ascii="Times New Roman" w:hAnsi="Times New Roman" w:cs="Times New Roman"/>
                <w:color w:val="auto"/>
                <w:lang w:bidi="ar"/>
              </w:rPr>
              <w:t>机械制造业、木材加工业、消防装备产业、无人机装备制造产业、电子专用材料制造产业、废弃资源综合利用业、环境治理业、非金属矿物制品业（隔热和隔音材料制造）</w:t>
            </w:r>
            <w:r>
              <w:rPr>
                <w:rFonts w:hint="default" w:ascii="Times New Roman" w:hAnsi="Times New Roman" w:cs="Times New Roman"/>
                <w:color w:val="auto"/>
              </w:rPr>
              <w:t>、</w:t>
            </w:r>
            <w:r>
              <w:rPr>
                <w:rFonts w:hint="default" w:ascii="Times New Roman" w:hAnsi="Times New Roman" w:cs="Times New Roman"/>
                <w:color w:val="auto"/>
                <w:lang w:bidi="ar"/>
              </w:rPr>
              <w:t>非金属矿物制品业（高端耐火材料制造）</w:t>
            </w:r>
            <w:r>
              <w:rPr>
                <w:rFonts w:hint="default" w:ascii="Times New Roman" w:hAnsi="Times New Roman" w:cs="Times New Roman"/>
                <w:color w:val="auto"/>
              </w:rPr>
              <w:t>、</w:t>
            </w:r>
            <w:r>
              <w:rPr>
                <w:rFonts w:hint="default" w:ascii="Times New Roman" w:hAnsi="Times New Roman" w:cs="Times New Roman"/>
                <w:color w:val="auto"/>
                <w:lang w:bidi="ar"/>
              </w:rPr>
              <w:t>非金属矿物制品业（高端复合陶瓷制造）</w:t>
            </w:r>
            <w:r>
              <w:rPr>
                <w:rFonts w:hint="default" w:ascii="Times New Roman" w:hAnsi="Times New Roman" w:cs="Times New Roman"/>
                <w:color w:val="auto"/>
              </w:rPr>
              <w:t>、</w:t>
            </w:r>
            <w:r>
              <w:rPr>
                <w:rFonts w:hint="default" w:ascii="Times New Roman" w:hAnsi="Times New Roman" w:cs="Times New Roman"/>
                <w:color w:val="auto"/>
                <w:lang w:bidi="ar"/>
              </w:rPr>
              <w:t>非金属矿物制品业（高端复合玻璃制造））</w:t>
            </w:r>
          </w:p>
          <w:p w14:paraId="48431BC9">
            <w:pPr>
              <w:pStyle w:val="92"/>
              <w:adjustRightInd w:val="0"/>
              <w:snapToGrid w:val="0"/>
              <w:ind w:firstLine="480" w:firstLineChars="200"/>
              <w:jc w:val="both"/>
              <w:rPr>
                <w:rFonts w:hint="default" w:ascii="Times New Roman" w:hAnsi="Times New Roman" w:cs="Times New Roman"/>
                <w:color w:val="auto"/>
              </w:rPr>
            </w:pPr>
            <w:r>
              <w:rPr>
                <w:rFonts w:hint="default" w:ascii="Times New Roman" w:hAnsi="Times New Roman" w:cs="Times New Roman"/>
                <w:color w:val="auto"/>
              </w:rPr>
              <w:t>其中金属制品业：园区现已入驻多家金属加工产业的企业，其中包括</w:t>
            </w:r>
            <w:r>
              <w:rPr>
                <w:rFonts w:hint="default" w:ascii="Times New Roman" w:hAnsi="Times New Roman" w:cs="Times New Roman"/>
                <w:b w:val="0"/>
                <w:bCs w:val="0"/>
                <w:color w:val="auto"/>
              </w:rPr>
              <w:t>福建明光同鑫晟金属制品有限公司、</w:t>
            </w:r>
            <w:r>
              <w:rPr>
                <w:rFonts w:hint="default" w:ascii="Times New Roman" w:hAnsi="Times New Roman" w:cs="Times New Roman"/>
                <w:color w:val="auto"/>
              </w:rPr>
              <w:t>三明市金耀玻璃有限公司、三明市沙县一福再生资源有限责任公司、三明顶创恒隆材料有限责任公司、福建省闽耀金属制品有限公司、福建省有道贵金属科技公司、三明鑫耀玻璃有限公司等 8 家企业，占整个园区已入驻企业数量的36.8%。</w:t>
            </w:r>
          </w:p>
          <w:p w14:paraId="77755B94">
            <w:pPr>
              <w:pStyle w:val="92"/>
              <w:adjustRightInd w:val="0"/>
              <w:snapToGrid w:val="0"/>
              <w:ind w:firstLine="480" w:firstLineChars="200"/>
              <w:jc w:val="both"/>
              <w:rPr>
                <w:rFonts w:hint="default" w:ascii="Times New Roman" w:hAnsi="Times New Roman" w:cs="Times New Roman"/>
                <w:color w:val="auto"/>
              </w:rPr>
            </w:pPr>
            <w:r>
              <w:rPr>
                <w:rFonts w:hint="default" w:ascii="Times New Roman" w:hAnsi="Times New Roman" w:cs="Times New Roman"/>
                <w:color w:val="auto"/>
              </w:rPr>
              <w:t>（二）食品加工业</w:t>
            </w:r>
          </w:p>
          <w:p w14:paraId="73103576">
            <w:pPr>
              <w:pStyle w:val="92"/>
              <w:adjustRightInd w:val="0"/>
              <w:snapToGrid w:val="0"/>
              <w:ind w:firstLine="480" w:firstLineChars="200"/>
              <w:jc w:val="both"/>
              <w:rPr>
                <w:rFonts w:hint="default" w:ascii="Times New Roman" w:hAnsi="Times New Roman" w:cs="Times New Roman"/>
                <w:color w:val="auto"/>
              </w:rPr>
            </w:pPr>
            <w:r>
              <w:rPr>
                <w:rFonts w:hint="default" w:ascii="Times New Roman" w:hAnsi="Times New Roman" w:cs="Times New Roman"/>
                <w:color w:val="auto"/>
                <w:lang w:bidi="ar"/>
              </w:rPr>
              <w:t>（三）新型环保行业</w:t>
            </w:r>
          </w:p>
          <w:p w14:paraId="1B35CB21">
            <w:pPr>
              <w:pStyle w:val="92"/>
              <w:adjustRightInd w:val="0"/>
              <w:snapToGrid w:val="0"/>
              <w:ind w:firstLine="480" w:firstLineChars="200"/>
              <w:jc w:val="both"/>
              <w:rPr>
                <w:rFonts w:hint="default" w:ascii="Times New Roman" w:hAnsi="Times New Roman" w:cs="Times New Roman"/>
                <w:color w:val="auto"/>
                <w:kern w:val="0"/>
              </w:rPr>
            </w:pPr>
            <w:r>
              <w:rPr>
                <w:rFonts w:hint="default" w:ascii="Times New Roman" w:hAnsi="Times New Roman" w:cs="Times New Roman"/>
                <w:snapToGrid w:val="0"/>
                <w:color w:val="auto"/>
                <w:kern w:val="0"/>
              </w:rPr>
              <w:t>本项目位于金古经济开发区北片区的加工制造业区域</w:t>
            </w:r>
            <w:r>
              <w:rPr>
                <w:rFonts w:hint="default" w:ascii="Times New Roman" w:hAnsi="Times New Roman" w:cs="Times New Roman"/>
                <w:snapToGrid w:val="0"/>
                <w:color w:val="auto"/>
                <w:kern w:val="0"/>
                <w:highlight w:val="none"/>
              </w:rPr>
              <w:t>（见附图二、三）</w:t>
            </w:r>
            <w:r>
              <w:rPr>
                <w:rFonts w:hint="default" w:ascii="Times New Roman" w:hAnsi="Times New Roman" w:cs="Times New Roman"/>
                <w:snapToGrid w:val="0"/>
                <w:color w:val="auto"/>
                <w:kern w:val="0"/>
              </w:rPr>
              <w:t>，用地性质属于工业用地</w:t>
            </w:r>
            <w:r>
              <w:rPr>
                <w:rFonts w:hint="default" w:ascii="Times New Roman" w:hAnsi="Times New Roman" w:cs="Times New Roman"/>
                <w:snapToGrid w:val="0"/>
                <w:color w:val="auto"/>
                <w:kern w:val="0"/>
                <w:highlight w:val="none"/>
              </w:rPr>
              <w:t>，属于</w:t>
            </w:r>
            <w:r>
              <w:rPr>
                <w:rFonts w:hint="default" w:ascii="Times New Roman" w:hAnsi="Times New Roman" w:cs="Times New Roman"/>
                <w:color w:val="auto"/>
                <w:highlight w:val="none"/>
              </w:rPr>
              <w:t>金属制品业</w:t>
            </w:r>
            <w:r>
              <w:rPr>
                <w:rFonts w:hint="default" w:ascii="Times New Roman" w:hAnsi="Times New Roman" w:cs="Times New Roman"/>
                <w:snapToGrid w:val="0"/>
                <w:color w:val="auto"/>
                <w:kern w:val="0"/>
              </w:rPr>
              <w:t>，</w:t>
            </w:r>
            <w:r>
              <w:rPr>
                <w:rFonts w:hint="default" w:ascii="Times New Roman" w:hAnsi="Times New Roman" w:cs="Times New Roman"/>
                <w:snapToGrid w:val="0"/>
                <w:color w:val="auto"/>
                <w:kern w:val="0"/>
                <w:highlight w:val="none"/>
              </w:rPr>
              <w:t>主要</w:t>
            </w:r>
            <w:r>
              <w:rPr>
                <w:rFonts w:hint="default" w:ascii="Times New Roman" w:hAnsi="Times New Roman" w:cs="Times New Roman"/>
                <w:snapToGrid w:val="0"/>
                <w:color w:val="auto"/>
                <w:kern w:val="0"/>
                <w:highlight w:val="none"/>
                <w:lang w:val="en-US" w:eastAsia="zh-CN"/>
              </w:rPr>
              <w:t>扩建</w:t>
            </w:r>
            <w:r>
              <w:rPr>
                <w:rFonts w:hint="default" w:ascii="Times New Roman" w:hAnsi="Times New Roman" w:cs="Times New Roman"/>
                <w:snapToGrid w:val="0"/>
                <w:color w:val="auto"/>
                <w:kern w:val="0"/>
                <w:highlight w:val="none"/>
              </w:rPr>
              <w:t>钢丝</w:t>
            </w:r>
            <w:r>
              <w:rPr>
                <w:rFonts w:hint="default" w:ascii="Times New Roman" w:hAnsi="Times New Roman" w:cs="Times New Roman"/>
                <w:snapToGrid w:val="0"/>
                <w:color w:val="auto"/>
                <w:kern w:val="0"/>
                <w:highlight w:val="none"/>
                <w:lang w:val="en-US" w:eastAsia="zh-CN"/>
              </w:rPr>
              <w:t>生产能力</w:t>
            </w:r>
            <w:r>
              <w:rPr>
                <w:rFonts w:hint="default" w:ascii="Times New Roman" w:hAnsi="Times New Roman" w:cs="Times New Roman"/>
                <w:snapToGrid w:val="0"/>
                <w:color w:val="auto"/>
                <w:kern w:val="0"/>
                <w:highlight w:val="none"/>
              </w:rPr>
              <w:t>，并配套表面处理加工</w:t>
            </w:r>
            <w:r>
              <w:rPr>
                <w:rFonts w:hint="default" w:ascii="Times New Roman" w:hAnsi="Times New Roman" w:cs="Times New Roman"/>
                <w:snapToGrid w:val="0"/>
                <w:color w:val="auto"/>
                <w:kern w:val="0"/>
              </w:rPr>
              <w:t>，</w:t>
            </w:r>
            <w:r>
              <w:rPr>
                <w:rFonts w:hint="default" w:ascii="Times New Roman" w:hAnsi="Times New Roman" w:cs="Times New Roman"/>
                <w:color w:val="auto"/>
                <w:kern w:val="0"/>
              </w:rPr>
              <w:t>符合《三明高新区金古北区产业发展规划》要求。</w:t>
            </w:r>
          </w:p>
          <w:p w14:paraId="61873C5B">
            <w:pPr>
              <w:pStyle w:val="92"/>
              <w:snapToGrid w:val="0"/>
              <w:spacing w:before="189" w:beforeLines="50"/>
              <w:jc w:val="both"/>
              <w:rPr>
                <w:rFonts w:hint="default" w:ascii="Times New Roman" w:hAnsi="Times New Roman" w:eastAsia="黑体" w:cs="Times New Roman"/>
                <w:color w:val="auto"/>
                <w:sz w:val="30"/>
                <w:szCs w:val="30"/>
              </w:rPr>
            </w:pPr>
            <w:r>
              <w:rPr>
                <w:rFonts w:hint="default" w:ascii="Times New Roman" w:hAnsi="Times New Roman" w:eastAsia="黑体" w:cs="Times New Roman"/>
                <w:color w:val="auto"/>
                <w:sz w:val="30"/>
                <w:szCs w:val="30"/>
              </w:rPr>
              <w:t>1.2与</w:t>
            </w:r>
            <w:r>
              <w:rPr>
                <w:rFonts w:hint="default" w:ascii="Times New Roman" w:hAnsi="Times New Roman" w:eastAsia="黑体" w:cs="Times New Roman"/>
                <w:color w:val="auto"/>
                <w:sz w:val="30"/>
              </w:rPr>
              <w:t>《沙县金古经济开发区北区控制性详细规划》《沙县金古经济开发区北片区控制性详细规划（2021年版）环境影响报告书》</w:t>
            </w:r>
            <w:r>
              <w:rPr>
                <w:rFonts w:hint="default" w:ascii="Times New Roman" w:hAnsi="Times New Roman" w:eastAsia="黑体" w:cs="Times New Roman"/>
                <w:color w:val="auto"/>
                <w:sz w:val="30"/>
                <w:szCs w:val="30"/>
              </w:rPr>
              <w:t>的符合性分析</w:t>
            </w:r>
          </w:p>
          <w:p w14:paraId="224B5D45">
            <w:pPr>
              <w:pStyle w:val="92"/>
              <w:adjustRightInd w:val="0"/>
              <w:snapToGrid w:val="0"/>
              <w:ind w:firstLine="480" w:firstLineChars="200"/>
              <w:jc w:val="both"/>
              <w:rPr>
                <w:rFonts w:hint="default" w:ascii="Times New Roman" w:hAnsi="Times New Roman" w:cs="Times New Roman"/>
                <w:color w:val="auto"/>
              </w:rPr>
            </w:pPr>
            <w:r>
              <w:rPr>
                <w:rFonts w:hint="default" w:ascii="Times New Roman" w:hAnsi="Times New Roman" w:cs="Times New Roman"/>
                <w:color w:val="auto"/>
              </w:rPr>
              <w:t>《沙县金古经济开发区北片区控制性详细规划》（2016版）产业定位为：主导产业金属深加工、食品加工（包括食品添加剂）、新材料、机械装备制造、节能环保，以及辅助产业物流仓储产业等。</w:t>
            </w:r>
          </w:p>
          <w:p w14:paraId="316D1393">
            <w:pPr>
              <w:pStyle w:val="92"/>
              <w:keepNext w:val="0"/>
              <w:keepLines w:val="0"/>
              <w:pageBreakBefore w:val="0"/>
              <w:widowControl w:val="0"/>
              <w:kinsoku/>
              <w:wordWrap/>
              <w:overflowPunct/>
              <w:topLinePunct w:val="0"/>
              <w:autoSpaceDE/>
              <w:autoSpaceDN/>
              <w:bidi w:val="0"/>
              <w:adjustRightInd w:val="0"/>
              <w:snapToGrid w:val="0"/>
              <w:spacing w:before="115" w:beforeLines="30"/>
              <w:ind w:firstLine="480" w:firstLineChars="200"/>
              <w:jc w:val="both"/>
              <w:textAlignment w:val="auto"/>
              <w:rPr>
                <w:rFonts w:hint="default" w:ascii="Times New Roman" w:hAnsi="Times New Roman" w:cs="Times New Roman"/>
                <w:color w:val="auto"/>
              </w:rPr>
            </w:pPr>
            <w:r>
              <w:rPr>
                <w:rFonts w:hint="default" w:ascii="Times New Roman" w:hAnsi="Times New Roman" w:cs="Times New Roman"/>
                <w:color w:val="auto"/>
              </w:rPr>
              <w:t>《沙县金古经济开发区北片区控制性详细规划（2021年版）环境影响报告书》</w:t>
            </w:r>
            <w:r>
              <w:rPr>
                <w:rFonts w:hint="default" w:ascii="Times New Roman" w:hAnsi="Times New Roman" w:cs="Times New Roman"/>
                <w:color w:val="auto"/>
                <w:lang w:bidi="ar"/>
              </w:rPr>
              <w:t>规划调整产业定位：</w:t>
            </w:r>
            <w:r>
              <w:rPr>
                <w:rFonts w:hint="default" w:ascii="Times New Roman" w:hAnsi="Times New Roman" w:cs="Times New Roman"/>
                <w:b/>
                <w:bCs/>
                <w:color w:val="auto"/>
                <w:lang w:bidi="ar"/>
              </w:rPr>
              <w:t>主导产业金属深加工、</w:t>
            </w:r>
            <w:r>
              <w:rPr>
                <w:rFonts w:hint="default" w:ascii="Times New Roman" w:hAnsi="Times New Roman" w:cs="Times New Roman"/>
                <w:color w:val="auto"/>
                <w:lang w:bidi="ar"/>
              </w:rPr>
              <w:t>机械装备制造、节能环保、大健康植物汲取产业等。</w:t>
            </w:r>
          </w:p>
          <w:p w14:paraId="4A167A86">
            <w:pPr>
              <w:pStyle w:val="92"/>
              <w:adjustRightInd w:val="0"/>
              <w:snapToGrid w:val="0"/>
              <w:ind w:firstLine="480" w:firstLineChars="200"/>
              <w:jc w:val="both"/>
              <w:rPr>
                <w:rFonts w:hint="default" w:ascii="Times New Roman" w:hAnsi="Times New Roman" w:cs="Times New Roman"/>
                <w:color w:val="auto"/>
                <w:kern w:val="0"/>
              </w:rPr>
            </w:pPr>
            <w:r>
              <w:rPr>
                <w:rFonts w:hint="default" w:ascii="Times New Roman" w:hAnsi="Times New Roman" w:cs="Times New Roman"/>
                <w:color w:val="auto"/>
                <w:kern w:val="0"/>
              </w:rPr>
              <w:t>本项</w:t>
            </w:r>
            <w:r>
              <w:rPr>
                <w:rFonts w:hint="default" w:ascii="Times New Roman" w:hAnsi="Times New Roman" w:cs="Times New Roman"/>
                <w:color w:val="auto"/>
                <w:kern w:val="0"/>
                <w:highlight w:val="none"/>
              </w:rPr>
              <w:t>目</w:t>
            </w:r>
            <w:r>
              <w:rPr>
                <w:rFonts w:hint="default" w:ascii="Times New Roman" w:hAnsi="Times New Roman" w:cs="Times New Roman"/>
                <w:snapToGrid w:val="0"/>
                <w:color w:val="auto"/>
                <w:kern w:val="0"/>
                <w:highlight w:val="none"/>
              </w:rPr>
              <w:t>属于</w:t>
            </w:r>
            <w:r>
              <w:rPr>
                <w:rFonts w:hint="default" w:ascii="Times New Roman" w:hAnsi="Times New Roman" w:cs="Times New Roman"/>
                <w:color w:val="auto"/>
                <w:highlight w:val="none"/>
              </w:rPr>
              <w:t>金属制品业</w:t>
            </w:r>
            <w:r>
              <w:rPr>
                <w:rFonts w:hint="default" w:ascii="Times New Roman" w:hAnsi="Times New Roman" w:cs="Times New Roman"/>
                <w:color w:val="auto"/>
                <w:kern w:val="0"/>
                <w:highlight w:val="none"/>
              </w:rPr>
              <w:t>，</w:t>
            </w:r>
            <w:r>
              <w:rPr>
                <w:rFonts w:hint="default" w:ascii="Times New Roman" w:hAnsi="Times New Roman" w:cs="Times New Roman"/>
                <w:snapToGrid w:val="0"/>
                <w:color w:val="auto"/>
                <w:kern w:val="0"/>
                <w:highlight w:val="none"/>
              </w:rPr>
              <w:t>主要</w:t>
            </w:r>
            <w:r>
              <w:rPr>
                <w:rFonts w:hint="default" w:ascii="Times New Roman" w:hAnsi="Times New Roman" w:cs="Times New Roman"/>
                <w:snapToGrid w:val="0"/>
                <w:color w:val="auto"/>
                <w:kern w:val="0"/>
                <w:highlight w:val="none"/>
                <w:lang w:val="en-US" w:eastAsia="zh-CN"/>
              </w:rPr>
              <w:t>扩建</w:t>
            </w:r>
            <w:r>
              <w:rPr>
                <w:rFonts w:hint="default" w:ascii="Times New Roman" w:hAnsi="Times New Roman" w:cs="Times New Roman"/>
                <w:snapToGrid w:val="0"/>
                <w:color w:val="auto"/>
                <w:kern w:val="0"/>
                <w:highlight w:val="none"/>
              </w:rPr>
              <w:t>钢丝</w:t>
            </w:r>
            <w:r>
              <w:rPr>
                <w:rFonts w:hint="default" w:ascii="Times New Roman" w:hAnsi="Times New Roman" w:cs="Times New Roman"/>
                <w:snapToGrid w:val="0"/>
                <w:color w:val="auto"/>
                <w:kern w:val="0"/>
                <w:highlight w:val="none"/>
                <w:lang w:val="en-US" w:eastAsia="zh-CN"/>
              </w:rPr>
              <w:t>生产能力</w:t>
            </w:r>
            <w:r>
              <w:rPr>
                <w:rFonts w:hint="default" w:ascii="Times New Roman" w:hAnsi="Times New Roman" w:cs="Times New Roman"/>
                <w:snapToGrid w:val="0"/>
                <w:color w:val="auto"/>
                <w:kern w:val="0"/>
                <w:highlight w:val="none"/>
              </w:rPr>
              <w:t>，并配套表面处理加工，</w:t>
            </w:r>
            <w:r>
              <w:rPr>
                <w:rFonts w:hint="default" w:ascii="Times New Roman" w:hAnsi="Times New Roman" w:cs="Times New Roman"/>
                <w:color w:val="auto"/>
                <w:kern w:val="0"/>
              </w:rPr>
              <w:t>与规划及规划环评符合性分析见表1-1、表1-2。</w:t>
            </w:r>
          </w:p>
          <w:p w14:paraId="1CD811B6">
            <w:pPr>
              <w:adjustRightInd w:val="0"/>
              <w:snapToGrid w:val="0"/>
              <w:ind w:firstLine="420" w:firstLineChars="200"/>
              <w:rPr>
                <w:rFonts w:hint="default" w:ascii="Times New Roman" w:hAnsi="Times New Roman" w:cs="Times New Roman"/>
                <w:color w:val="auto"/>
              </w:rPr>
            </w:pPr>
          </w:p>
        </w:tc>
      </w:tr>
      <w:tr w14:paraId="28179B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9" w:type="pct"/>
            <w:vAlign w:val="center"/>
          </w:tcPr>
          <w:p w14:paraId="3E45AEA2">
            <w:pPr>
              <w:autoSpaceDE w:val="0"/>
              <w:autoSpaceDN w:val="0"/>
              <w:adjustRightInd w:val="0"/>
              <w:snapToGrid w:val="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其他符合性</w:t>
            </w:r>
          </w:p>
          <w:p w14:paraId="631B1744">
            <w:pPr>
              <w:autoSpaceDE w:val="0"/>
              <w:autoSpaceDN w:val="0"/>
              <w:adjustRightInd w:val="0"/>
              <w:snapToGrid w:val="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分析</w:t>
            </w:r>
          </w:p>
        </w:tc>
        <w:tc>
          <w:tcPr>
            <w:tcW w:w="3970" w:type="pct"/>
            <w:gridSpan w:val="3"/>
            <w:vAlign w:val="center"/>
          </w:tcPr>
          <w:p w14:paraId="6E0B1BC5">
            <w:pPr>
              <w:pStyle w:val="4"/>
              <w:spacing w:before="189" w:beforeLines="50" w:after="189"/>
              <w:rPr>
                <w:rFonts w:hint="default" w:ascii="Times New Roman" w:hAnsi="Times New Roman" w:cs="Times New Roman"/>
                <w:snapToGrid/>
                <w:color w:val="auto"/>
                <w:szCs w:val="30"/>
              </w:rPr>
            </w:pPr>
            <w:bookmarkStart w:id="11" w:name="_Toc2631"/>
            <w:bookmarkStart w:id="12" w:name="_Toc13621"/>
            <w:bookmarkStart w:id="13" w:name="_Toc17129"/>
            <w:bookmarkStart w:id="14" w:name="_Toc3111"/>
            <w:bookmarkStart w:id="15" w:name="_Toc19680"/>
            <w:bookmarkStart w:id="16" w:name="_Toc5545"/>
            <w:bookmarkStart w:id="17" w:name="_Toc3622"/>
            <w:r>
              <w:rPr>
                <w:rFonts w:hint="default" w:ascii="Times New Roman" w:hAnsi="Times New Roman" w:cs="Times New Roman"/>
                <w:snapToGrid/>
                <w:color w:val="auto"/>
                <w:szCs w:val="30"/>
              </w:rPr>
              <w:t>1.3产业政策及选址符合性分析</w:t>
            </w:r>
            <w:bookmarkEnd w:id="11"/>
            <w:bookmarkEnd w:id="12"/>
            <w:bookmarkEnd w:id="13"/>
            <w:bookmarkEnd w:id="14"/>
            <w:bookmarkEnd w:id="15"/>
            <w:bookmarkEnd w:id="16"/>
            <w:bookmarkEnd w:id="17"/>
          </w:p>
          <w:p w14:paraId="5AB459E3">
            <w:pPr>
              <w:keepNext w:val="0"/>
              <w:keepLines w:val="0"/>
              <w:pageBreakBefore w:val="0"/>
              <w:widowControl/>
              <w:kinsoku/>
              <w:wordWrap/>
              <w:overflowPunct/>
              <w:topLinePunct w:val="0"/>
              <w:autoSpaceDE/>
              <w:autoSpaceDN/>
              <w:bidi w:val="0"/>
              <w:snapToGrid w:val="0"/>
              <w:spacing w:line="360" w:lineRule="auto"/>
              <w:ind w:firstLine="480" w:firstLineChars="200"/>
              <w:jc w:val="left"/>
              <w:textAlignment w:val="auto"/>
              <w:rPr>
                <w:rFonts w:hint="default" w:ascii="Times New Roman" w:hAnsi="Times New Roman" w:cs="Times New Roman"/>
                <w:color w:val="auto"/>
              </w:rPr>
            </w:pPr>
            <w:bookmarkStart w:id="18" w:name="OLE_LINK11"/>
            <w:r>
              <w:rPr>
                <w:rFonts w:hint="default" w:ascii="Times New Roman" w:hAnsi="Times New Roman" w:cs="Times New Roman"/>
                <w:color w:val="auto"/>
                <w:sz w:val="24"/>
              </w:rPr>
              <w:t>本项目属于金属制品业，主要扩建钢丝生产能力，并配套表面处理加工</w:t>
            </w:r>
            <w:r>
              <w:rPr>
                <w:rFonts w:hint="default" w:ascii="Times New Roman" w:hAnsi="Times New Roman" w:cs="Times New Roman"/>
                <w:color w:val="auto"/>
                <w:highlight w:val="none"/>
              </w:rPr>
              <w:t>。</w:t>
            </w:r>
            <w:r>
              <w:rPr>
                <w:rFonts w:hint="default" w:ascii="Times New Roman" w:hAnsi="Times New Roman" w:cs="Times New Roman"/>
                <w:color w:val="auto"/>
                <w:kern w:val="0"/>
                <w:sz w:val="24"/>
                <w:highlight w:val="none"/>
                <w:lang w:bidi="ar"/>
              </w:rPr>
              <w:t>项</w:t>
            </w:r>
            <w:r>
              <w:rPr>
                <w:rFonts w:hint="default" w:ascii="Times New Roman" w:hAnsi="Times New Roman" w:cs="Times New Roman"/>
                <w:color w:val="auto"/>
                <w:kern w:val="0"/>
                <w:sz w:val="24"/>
                <w:lang w:bidi="ar"/>
              </w:rPr>
              <w:t>目的建设性质和规模均不</w:t>
            </w:r>
            <w:r>
              <w:rPr>
                <w:rFonts w:hint="default" w:ascii="Times New Roman" w:hAnsi="Times New Roman" w:cs="Times New Roman"/>
                <w:color w:val="auto"/>
                <w:sz w:val="24"/>
              </w:rPr>
              <w:t>属于《产业结构调整指导目录（2024年本）》的</w:t>
            </w:r>
            <w:r>
              <w:rPr>
                <w:rFonts w:hint="default" w:ascii="Times New Roman" w:hAnsi="Times New Roman" w:cs="Times New Roman"/>
                <w:color w:val="auto"/>
                <w:kern w:val="0"/>
                <w:sz w:val="24"/>
                <w:lang w:bidi="ar"/>
              </w:rPr>
              <w:t>限制类和“淘汰类”</w:t>
            </w:r>
          </w:p>
          <w:bookmarkEnd w:id="18"/>
          <w:p w14:paraId="57B7BF1E">
            <w:pPr>
              <w:pStyle w:val="10"/>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yellow"/>
              </w:rPr>
            </w:pPr>
            <w:r>
              <w:rPr>
                <w:rFonts w:hint="default" w:ascii="Times New Roman" w:hAnsi="Times New Roman" w:cs="Times New Roman"/>
                <w:color w:val="auto"/>
                <w:sz w:val="24"/>
                <w:highlight w:val="none"/>
              </w:rPr>
              <w:t>本项目备案证明（闽工信备〔2026〕G100023号）。</w:t>
            </w:r>
          </w:p>
          <w:p w14:paraId="42BEBD83">
            <w:pPr>
              <w:pStyle w:val="10"/>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因此，该项目的建设符合国家当前产业政策。</w:t>
            </w:r>
          </w:p>
          <w:p w14:paraId="12737482">
            <w:pPr>
              <w:pStyle w:val="92"/>
              <w:adjustRightInd w:val="0"/>
              <w:snapToGrid w:val="0"/>
              <w:spacing w:before="189" w:beforeLines="50"/>
              <w:rPr>
                <w:rFonts w:hint="default" w:ascii="Times New Roman" w:hAnsi="Times New Roman" w:eastAsia="黑体" w:cs="Times New Roman"/>
                <w:color w:val="auto"/>
                <w:sz w:val="30"/>
                <w:szCs w:val="30"/>
              </w:rPr>
            </w:pPr>
            <w:r>
              <w:rPr>
                <w:rFonts w:hint="default" w:ascii="Times New Roman" w:hAnsi="Times New Roman" w:eastAsia="黑体" w:cs="Times New Roman"/>
                <w:color w:val="auto"/>
                <w:sz w:val="30"/>
                <w:szCs w:val="30"/>
              </w:rPr>
              <w:t>1.4与</w:t>
            </w:r>
            <w:bookmarkStart w:id="19" w:name="OLE_LINK50"/>
            <w:r>
              <w:rPr>
                <w:rFonts w:hint="default" w:ascii="Times New Roman" w:hAnsi="Times New Roman" w:eastAsia="黑体" w:cs="Times New Roman"/>
                <w:color w:val="auto"/>
                <w:sz w:val="30"/>
                <w:szCs w:val="30"/>
              </w:rPr>
              <w:t>《关于深化闽江流域生态环境综合治理的工作措施》</w:t>
            </w:r>
            <w:bookmarkEnd w:id="19"/>
            <w:r>
              <w:rPr>
                <w:rFonts w:hint="default" w:ascii="Times New Roman" w:hAnsi="Times New Roman" w:eastAsia="黑体" w:cs="Times New Roman"/>
                <w:color w:val="auto"/>
                <w:sz w:val="30"/>
                <w:szCs w:val="30"/>
              </w:rPr>
              <w:t>（闽政办〔2024〕12号）符合性分析</w:t>
            </w:r>
          </w:p>
          <w:p w14:paraId="41980DE8">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拟建项目与《关于深化闽江流域生态环境综合治理的工作措施》符合性</w:t>
            </w:r>
            <w:r>
              <w:rPr>
                <w:rFonts w:hint="default" w:ascii="Times New Roman" w:hAnsi="Times New Roman" w:cs="Times New Roman"/>
                <w:color w:val="auto"/>
                <w:sz w:val="24"/>
                <w:lang w:val="en-US" w:eastAsia="zh-CN"/>
              </w:rPr>
              <w:t>分析</w:t>
            </w:r>
            <w:r>
              <w:rPr>
                <w:rFonts w:hint="default" w:ascii="Times New Roman" w:hAnsi="Times New Roman" w:cs="Times New Roman"/>
                <w:color w:val="auto"/>
                <w:sz w:val="24"/>
              </w:rPr>
              <w:t>见表1-3。</w:t>
            </w:r>
          </w:p>
          <w:p w14:paraId="33B78E5B">
            <w:pPr>
              <w:pStyle w:val="92"/>
              <w:adjustRightInd w:val="0"/>
              <w:snapToGrid w:val="0"/>
              <w:spacing w:before="189" w:beforeLines="50"/>
              <w:rPr>
                <w:rFonts w:hint="default" w:ascii="Times New Roman" w:hAnsi="Times New Roman" w:eastAsia="黑体" w:cs="Times New Roman"/>
                <w:color w:val="auto"/>
                <w:sz w:val="30"/>
                <w:szCs w:val="30"/>
              </w:rPr>
            </w:pPr>
            <w:r>
              <w:rPr>
                <w:rFonts w:hint="default" w:ascii="Times New Roman" w:hAnsi="Times New Roman" w:eastAsia="黑体" w:cs="Times New Roman"/>
                <w:color w:val="auto"/>
                <w:sz w:val="30"/>
                <w:szCs w:val="30"/>
              </w:rPr>
              <w:t>1.5与《三明市国土空间总体规划》（2021-2035年）符合性分析</w:t>
            </w:r>
          </w:p>
          <w:p w14:paraId="3B94519C">
            <w:pPr>
              <w:autoSpaceDE w:val="0"/>
              <w:autoSpaceDN w:val="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拟建</w:t>
            </w:r>
            <w:bookmarkStart w:id="20" w:name="OLE_LINK30"/>
            <w:r>
              <w:rPr>
                <w:rFonts w:hint="default" w:ascii="Times New Roman" w:hAnsi="Times New Roman" w:cs="Times New Roman"/>
                <w:color w:val="auto"/>
                <w:sz w:val="24"/>
              </w:rPr>
              <w:t>项目位于沙县区金古经济开发区北区，为城市开发建设区域，位于城镇开发边界内</w:t>
            </w:r>
            <w:r>
              <w:rPr>
                <w:rFonts w:hint="default" w:ascii="Times New Roman" w:hAnsi="Times New Roman" w:cs="Times New Roman"/>
                <w:color w:val="auto"/>
                <w:sz w:val="24"/>
                <w:highlight w:val="none"/>
              </w:rPr>
              <w:t>（见附图四）</w:t>
            </w:r>
            <w:r>
              <w:rPr>
                <w:rFonts w:hint="default" w:ascii="Times New Roman" w:hAnsi="Times New Roman" w:cs="Times New Roman"/>
                <w:color w:val="auto"/>
                <w:sz w:val="24"/>
              </w:rPr>
              <w:t>，符合《三明市国土空间总体规划》（2021-2035年）要求。</w:t>
            </w:r>
            <w:bookmarkEnd w:id="20"/>
          </w:p>
          <w:p w14:paraId="2E95035A">
            <w:pPr>
              <w:pStyle w:val="92"/>
              <w:adjustRightInd w:val="0"/>
              <w:snapToGrid w:val="0"/>
              <w:spacing w:before="189" w:beforeLines="50"/>
              <w:rPr>
                <w:rFonts w:hint="default" w:ascii="Times New Roman" w:hAnsi="Times New Roman" w:eastAsia="黑体" w:cs="Times New Roman"/>
                <w:color w:val="auto"/>
                <w:sz w:val="30"/>
                <w:szCs w:val="30"/>
              </w:rPr>
            </w:pPr>
            <w:r>
              <w:rPr>
                <w:rFonts w:hint="default" w:ascii="Times New Roman" w:hAnsi="Times New Roman" w:eastAsia="黑体" w:cs="Times New Roman"/>
                <w:color w:val="auto"/>
                <w:sz w:val="30"/>
                <w:szCs w:val="30"/>
              </w:rPr>
              <w:t>1.6市场准入负面清单</w:t>
            </w:r>
          </w:p>
          <w:p w14:paraId="43D68B67">
            <w:pPr>
              <w:pStyle w:val="92"/>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对照《市场准入负面清单（2025年版）》（发改体改规〔2025〕466号），本项目不属于“禁止准入类”和“许可准入类”行业，符合《市场准入负面清单（2025年版）》要求。</w:t>
            </w:r>
          </w:p>
          <w:p w14:paraId="60D32611">
            <w:pPr>
              <w:bidi w:val="0"/>
              <w:rPr>
                <w:rFonts w:hint="default"/>
                <w:color w:val="auto"/>
              </w:rPr>
            </w:pPr>
          </w:p>
          <w:p w14:paraId="42C5C4EF">
            <w:pPr>
              <w:pStyle w:val="92"/>
              <w:adjustRightInd w:val="0"/>
              <w:snapToGrid w:val="0"/>
              <w:spacing w:before="189" w:beforeLines="50"/>
              <w:rPr>
                <w:rFonts w:hint="default" w:ascii="Times New Roman" w:hAnsi="Times New Roman" w:eastAsia="黑体" w:cs="Times New Roman"/>
                <w:color w:val="auto"/>
                <w:sz w:val="30"/>
                <w:szCs w:val="30"/>
              </w:rPr>
            </w:pPr>
            <w:r>
              <w:rPr>
                <w:rFonts w:hint="default" w:ascii="Times New Roman" w:hAnsi="Times New Roman" w:eastAsia="黑体" w:cs="Times New Roman"/>
                <w:color w:val="auto"/>
                <w:sz w:val="30"/>
                <w:szCs w:val="30"/>
              </w:rPr>
              <w:t>1.7选址合理性分析</w:t>
            </w:r>
          </w:p>
          <w:p w14:paraId="782B4B96">
            <w:pPr>
              <w:autoSpaceDE w:val="0"/>
              <w:autoSpaceDN w:val="0"/>
              <w:adjustRightInd w:val="0"/>
              <w:snapToGrid w:val="0"/>
              <w:spacing w:line="360" w:lineRule="auto"/>
              <w:ind w:firstLine="480" w:firstLineChars="200"/>
              <w:rPr>
                <w:rFonts w:hint="default" w:ascii="Times New Roman" w:hAnsi="Times New Roman" w:cs="Times New Roman"/>
                <w:color w:val="auto"/>
                <w:sz w:val="24"/>
              </w:rPr>
            </w:pPr>
            <w:bookmarkStart w:id="21" w:name="OLE_LINK29"/>
            <w:r>
              <w:rPr>
                <w:rFonts w:hint="default" w:ascii="Times New Roman" w:hAnsi="Times New Roman" w:cs="Times New Roman"/>
                <w:color w:val="auto"/>
                <w:sz w:val="24"/>
              </w:rPr>
              <w:t>项目位于福建省三明市沙县节能南路198号，根据沙县金古经济开发区北区规划区土地利用规划图</w:t>
            </w:r>
            <w:r>
              <w:rPr>
                <w:rFonts w:hint="default" w:ascii="Times New Roman" w:hAnsi="Times New Roman" w:cs="Times New Roman"/>
                <w:color w:val="auto"/>
                <w:sz w:val="24"/>
                <w:highlight w:val="none"/>
              </w:rPr>
              <w:t>（附图</w:t>
            </w:r>
            <w:r>
              <w:rPr>
                <w:rFonts w:hint="default" w:ascii="Times New Roman" w:hAnsi="Times New Roman" w:cs="Times New Roman"/>
                <w:color w:val="auto"/>
                <w:sz w:val="24"/>
                <w:highlight w:val="none"/>
                <w:lang w:val="en-US" w:eastAsia="zh-CN"/>
              </w:rPr>
              <w:t>二</w:t>
            </w:r>
            <w:r>
              <w:rPr>
                <w:rFonts w:hint="default" w:ascii="Times New Roman" w:hAnsi="Times New Roman" w:cs="Times New Roman"/>
                <w:color w:val="auto"/>
                <w:sz w:val="24"/>
                <w:highlight w:val="none"/>
              </w:rPr>
              <w:t>）和土地产权证（附件</w:t>
            </w:r>
            <w:r>
              <w:rPr>
                <w:rFonts w:hint="default" w:ascii="Times New Roman" w:hAnsi="Times New Roman" w:cs="Times New Roman"/>
                <w:color w:val="auto"/>
                <w:sz w:val="24"/>
                <w:highlight w:val="none"/>
                <w:lang w:val="en-US" w:eastAsia="zh-CN"/>
              </w:rPr>
              <w:t>四</w:t>
            </w:r>
            <w:r>
              <w:rPr>
                <w:rFonts w:hint="default" w:ascii="Times New Roman" w:hAnsi="Times New Roman" w:cs="Times New Roman"/>
                <w:color w:val="auto"/>
                <w:sz w:val="24"/>
                <w:highlight w:val="none"/>
              </w:rPr>
              <w:t>），项目用地属于工业用地，符</w:t>
            </w:r>
            <w:r>
              <w:rPr>
                <w:rFonts w:hint="default" w:ascii="Times New Roman" w:hAnsi="Times New Roman" w:cs="Times New Roman"/>
                <w:color w:val="auto"/>
                <w:sz w:val="24"/>
              </w:rPr>
              <w:t>合用地性质要求；项目</w:t>
            </w:r>
            <w:r>
              <w:rPr>
                <w:rFonts w:hint="default" w:ascii="Times New Roman" w:hAnsi="Times New Roman" w:cs="Times New Roman"/>
                <w:color w:val="auto"/>
                <w:sz w:val="24"/>
                <w:highlight w:val="none"/>
              </w:rPr>
              <w:t>属于金属制品业，根据园区产业布局规划，项目的建设符合园区规划</w:t>
            </w:r>
            <w:r>
              <w:rPr>
                <w:rFonts w:hint="default" w:ascii="Times New Roman" w:hAnsi="Times New Roman" w:cs="Times New Roman"/>
                <w:color w:val="auto"/>
                <w:sz w:val="24"/>
              </w:rPr>
              <w:t>及产业布局规划，本项目选址符合要求。</w:t>
            </w:r>
          </w:p>
          <w:bookmarkEnd w:id="21"/>
          <w:p w14:paraId="0477B049">
            <w:pPr>
              <w:pStyle w:val="92"/>
              <w:adjustRightInd w:val="0"/>
              <w:snapToGrid w:val="0"/>
              <w:spacing w:before="189" w:beforeLines="50"/>
              <w:rPr>
                <w:rFonts w:hint="default" w:ascii="Times New Roman" w:hAnsi="Times New Roman" w:eastAsia="黑体" w:cs="Times New Roman"/>
                <w:color w:val="auto"/>
                <w:sz w:val="30"/>
                <w:szCs w:val="30"/>
              </w:rPr>
            </w:pPr>
            <w:r>
              <w:rPr>
                <w:rFonts w:hint="default" w:ascii="Times New Roman" w:hAnsi="Times New Roman" w:eastAsia="黑体" w:cs="Times New Roman"/>
                <w:color w:val="auto"/>
                <w:sz w:val="30"/>
                <w:szCs w:val="30"/>
              </w:rPr>
              <w:t>1.8与《三明沙县机场净空管理规定》的符合性分析</w:t>
            </w:r>
          </w:p>
          <w:p w14:paraId="4DFAC9ED">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本项目位于三明市沙县机场净空区内，按照《民用机场管理条例》（国务院令第553号）第四十九条规定，禁止在民用机场净空保护区域内从事下列活动：</w:t>
            </w:r>
          </w:p>
          <w:p w14:paraId="76E72478">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（一）排放大量烟雾、粉尘、火焰、废气等影响飞行安全的物质；</w:t>
            </w:r>
          </w:p>
          <w:p w14:paraId="28A4F8D3">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（二）修建靶场、强烈爆炸物仓库等影响飞行安全的建筑物或者其他设施；</w:t>
            </w:r>
          </w:p>
          <w:p w14:paraId="2F880897">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（三）设置影响民用机场目视助航设施使用或者飞行员视线的灯光、标志或者物体；</w:t>
            </w:r>
          </w:p>
          <w:p w14:paraId="26937408">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（四）种植影响飞行安全或者影响民用机场助航设施使用的植物；</w:t>
            </w:r>
          </w:p>
          <w:p w14:paraId="00ED5A2C">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（五）放飞影响飞行安全的鸟类，升放无人驾驶的自由气球、系留气球和其他升空物体；</w:t>
            </w:r>
          </w:p>
          <w:p w14:paraId="1FE620CE">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（六）焚烧产生大量烟雾的农作物秸秆、垃圾等物质，或者燃放烟花、焰火；</w:t>
            </w:r>
          </w:p>
          <w:p w14:paraId="417FBC9B">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（七）在民用机场围界外5米范围内，搭建建筑物、种植树木，或者从事挖掘、堆积物体等影响民用机场运营安全的活动；</w:t>
            </w:r>
          </w:p>
          <w:p w14:paraId="4D791C50">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（八）国务院民用航空主管部门规定的其他影响民用机场净空保护的行为。</w:t>
            </w:r>
          </w:p>
          <w:p w14:paraId="42A571C1">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根据</w:t>
            </w:r>
            <w:r>
              <w:rPr>
                <w:rFonts w:hint="default" w:ascii="Times New Roman" w:hAnsi="Times New Roman" w:cs="Times New Roman"/>
                <w:color w:val="auto"/>
              </w:rPr>
              <w:t>《三明市沙县区人民政府办公室关于印发三明沙县机场净空管理办法的通知》（沙政办规〔2024〕4号）</w:t>
            </w:r>
            <w:r>
              <w:rPr>
                <w:rFonts w:hint="default" w:ascii="Times New Roman" w:hAnsi="Times New Roman" w:cs="Times New Roman"/>
                <w:color w:val="auto"/>
                <w:szCs w:val="21"/>
              </w:rPr>
              <w:t>中明文规定禁止在三明沙县机场净空保护区域内从事活动：</w:t>
            </w:r>
          </w:p>
          <w:p w14:paraId="47C61623">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（一）修建可能在空中排放大量烟雾、粉尘、火焰、废气而影响飞行安全的建筑物、构筑物或者设施；</w:t>
            </w:r>
          </w:p>
          <w:p w14:paraId="58A9945F">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（二）修建靶场、强烈爆炸物仓库等影响飞行安全的建筑物、构筑物或者设施；</w:t>
            </w:r>
          </w:p>
          <w:p w14:paraId="72F82E06">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（三）修建不符合机场净空要求的建筑物、构筑物或者设施；</w:t>
            </w:r>
          </w:p>
          <w:p w14:paraId="6B073A12">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（四）设置影响机场目视助航设施使用或者民用航空器驾驶员视线的灯光、激光、标志、物体；</w:t>
            </w:r>
          </w:p>
          <w:p w14:paraId="512470E8">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（五）种植影响飞行安全或者影响机场助航设施使用的植物；</w:t>
            </w:r>
          </w:p>
          <w:p w14:paraId="058EA990">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（六）放飞影响飞行安全的鸟类动物以及升放无人驾驶的自由气球、系留气球和其他物体；</w:t>
            </w:r>
          </w:p>
          <w:p w14:paraId="4460E420">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（七）修建影响机场电磁环境的建筑物、构筑物或者设施；</w:t>
            </w:r>
          </w:p>
          <w:p w14:paraId="4A14FF18">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（八）设置易吸引鸟类及其他动物的露天垃圾场、屠宰场、养殖场等场所；</w:t>
            </w:r>
          </w:p>
          <w:p w14:paraId="2CF46594">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（九）焚烧产生大量烟雾的农作物秸秆、垃圾等物质，或者燃放烟花、焰火；</w:t>
            </w:r>
          </w:p>
          <w:p w14:paraId="0A0E7174">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（十）其他可能影响飞行安全的情形或者活动</w:t>
            </w:r>
          </w:p>
          <w:p w14:paraId="0396D7B9">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项目废气为剥壳除锈、打磨等机械物理工序产生的颗粒物（粉尘）、燃烧天然气烟尘和表面处理工序产生的酸雾，经相应的废气治理措施处理后达标排放，符合三明机场净空要求，不会影响到三明沙县机场飞机飞行安全。</w:t>
            </w:r>
          </w:p>
          <w:p w14:paraId="22E5CA8C">
            <w:pPr>
              <w:pStyle w:val="92"/>
              <w:adjustRightInd w:val="0"/>
              <w:snapToGrid w:val="0"/>
              <w:spacing w:before="189" w:beforeLines="50"/>
              <w:rPr>
                <w:rFonts w:hint="default" w:ascii="Times New Roman" w:hAnsi="Times New Roman" w:eastAsia="黑体" w:cs="Times New Roman"/>
                <w:color w:val="auto"/>
                <w:sz w:val="30"/>
                <w:szCs w:val="30"/>
              </w:rPr>
            </w:pPr>
            <w:r>
              <w:rPr>
                <w:rFonts w:hint="default" w:ascii="Times New Roman" w:hAnsi="Times New Roman" w:eastAsia="黑体" w:cs="Times New Roman"/>
                <w:color w:val="auto"/>
                <w:sz w:val="30"/>
                <w:szCs w:val="30"/>
              </w:rPr>
              <w:t>1.9生态环境分区管控符合性分析</w:t>
            </w:r>
          </w:p>
          <w:p w14:paraId="15C758EE">
            <w:pPr>
              <w:numPr>
                <w:ilvl w:val="0"/>
                <w:numId w:val="1"/>
              </w:numPr>
              <w:autoSpaceDE w:val="0"/>
              <w:autoSpaceDN w:val="0"/>
              <w:adjustRightInd w:val="0"/>
              <w:snapToGrid w:val="0"/>
              <w:spacing w:line="360" w:lineRule="auto"/>
              <w:ind w:firstLine="480" w:firstLineChars="200"/>
              <w:jc w:val="left"/>
              <w:rPr>
                <w:rFonts w:hint="default" w:ascii="Times New Roman" w:hAnsi="Times New Roman" w:cs="Times New Roman"/>
                <w:color w:val="auto"/>
                <w:kern w:val="0"/>
                <w:sz w:val="24"/>
                <w:lang w:bidi="ar"/>
              </w:rPr>
            </w:pPr>
            <w:r>
              <w:rPr>
                <w:rFonts w:hint="default" w:ascii="Times New Roman" w:hAnsi="Times New Roman" w:cs="Times New Roman"/>
                <w:color w:val="auto"/>
                <w:kern w:val="0"/>
                <w:sz w:val="24"/>
                <w:lang w:bidi="ar"/>
              </w:rPr>
              <w:t>生态保护红线</w:t>
            </w:r>
          </w:p>
          <w:p w14:paraId="2A286B83">
            <w:pPr>
              <w:numPr>
                <w:ilvl w:val="0"/>
                <w:numId w:val="0"/>
              </w:numPr>
              <w:autoSpaceDE w:val="0"/>
              <w:autoSpaceDN w:val="0"/>
              <w:adjustRightInd w:val="0"/>
              <w:snapToGrid w:val="0"/>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lang w:bidi="ar"/>
              </w:rPr>
              <w:t xml:space="preserve">本项目位于沙县区金古经济开发区北区，项目用地未涉及国家公园、自然保护区、森林公园等生态保育区和核心景观区、风景名胜区的核心景区、地质公园的地质遗迹保护区、世界自然遗产的核心区和缓冲区、湿地公园的湿地保育区和恢复重建区、饮用水水源地的一级保护区、水产种质资源保护区的核心区、国家一级公益林、重要湿地、沙（泥）岸沿海基干林带等重要生态保护地等，从选址上符合生态保护红线划定的相关要求。 </w:t>
            </w:r>
          </w:p>
          <w:p w14:paraId="1BDEFB5A">
            <w:pPr>
              <w:autoSpaceDE w:val="0"/>
              <w:autoSpaceDN w:val="0"/>
              <w:adjustRightInd w:val="0"/>
              <w:snapToGrid w:val="0"/>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lang w:bidi="ar"/>
              </w:rPr>
              <w:t xml:space="preserve">（2）环境质量底线 </w:t>
            </w:r>
          </w:p>
          <w:p w14:paraId="1DD1B95C">
            <w:pPr>
              <w:autoSpaceDE w:val="0"/>
              <w:autoSpaceDN w:val="0"/>
              <w:adjustRightInd w:val="0"/>
              <w:snapToGrid w:val="0"/>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lang w:bidi="ar"/>
              </w:rPr>
              <w:t xml:space="preserve">项目所在区域的环境质量底线为：地表水环境质量目标为《地表水环境质量标准》（GB3838-2002）III类标准，环境空气质量目标为《环境空气质量标准》（GB3095-2026）二级标准，声环境质量目标为《声环境质量标准》（GB3096-2008）3 类标准。 </w:t>
            </w:r>
          </w:p>
          <w:p w14:paraId="3A939C50">
            <w:pPr>
              <w:autoSpaceDE w:val="0"/>
              <w:autoSpaceDN w:val="0"/>
              <w:adjustRightInd w:val="0"/>
              <w:snapToGrid w:val="0"/>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lang w:bidi="ar"/>
              </w:rPr>
              <w:t xml:space="preserve">根据项目所在地环境质量现状调查和环境影响分析，本项目运营后对区域内环境影响较小，环境质量可以保持现有水平，不会对区域环境质量底线造成冲击。 </w:t>
            </w:r>
          </w:p>
          <w:p w14:paraId="20A6BD87">
            <w:pPr>
              <w:autoSpaceDE w:val="0"/>
              <w:autoSpaceDN w:val="0"/>
              <w:adjustRightInd w:val="0"/>
              <w:snapToGrid w:val="0"/>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lang w:bidi="ar"/>
              </w:rPr>
              <w:t xml:space="preserve">（3）资源利用上线 </w:t>
            </w:r>
          </w:p>
          <w:p w14:paraId="1F5F0130">
            <w:pPr>
              <w:autoSpaceDE w:val="0"/>
              <w:autoSpaceDN w:val="0"/>
              <w:adjustRightInd w:val="0"/>
              <w:snapToGrid w:val="0"/>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lang w:bidi="ar"/>
              </w:rPr>
              <w:t xml:space="preserve">项目用水、用电、用气为区域集中供应，项目运行过程通过内部管理、设备选择、原辅材料的选用和管理、废物回收利用、污染治理等多方面采取合理可行的防治措施，以“节能、降耗、减污”为目标，有效地控制污染。项目的资源利用不会突破区域的资源利用上限。 </w:t>
            </w:r>
          </w:p>
          <w:p w14:paraId="01029DB7">
            <w:pPr>
              <w:autoSpaceDE w:val="0"/>
              <w:autoSpaceDN w:val="0"/>
              <w:adjustRightInd w:val="0"/>
              <w:snapToGrid w:val="0"/>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lang w:bidi="ar"/>
              </w:rPr>
              <w:t>（4）生态环境分区管控要求</w:t>
            </w:r>
          </w:p>
          <w:p w14:paraId="43071C89">
            <w:pPr>
              <w:autoSpaceDE w:val="0"/>
              <w:autoSpaceDN w:val="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查询“福建省生态环境分区管控数据应用平台”，本项目位于沙县区金古经济开发区北区（</w:t>
            </w:r>
            <w:r>
              <w:rPr>
                <w:rFonts w:hint="default" w:ascii="Times New Roman" w:hAnsi="Times New Roman" w:cs="Times New Roman"/>
                <w:color w:val="auto"/>
                <w:sz w:val="24"/>
                <w:highlight w:val="none"/>
              </w:rPr>
              <w:t>附图五</w:t>
            </w:r>
            <w:r>
              <w:rPr>
                <w:rFonts w:hint="default" w:ascii="Times New Roman" w:hAnsi="Times New Roman" w:cs="Times New Roman"/>
                <w:color w:val="auto"/>
                <w:sz w:val="24"/>
              </w:rPr>
              <w:t>）。对照表1-4分析，本项目符合沙县金古空港经济开发区环境管控单元准入要求。</w:t>
            </w:r>
          </w:p>
          <w:p w14:paraId="2574EB80">
            <w:pPr>
              <w:pStyle w:val="2"/>
              <w:rPr>
                <w:rFonts w:hint="default" w:ascii="Times New Roman" w:hAnsi="Times New Roman" w:cs="Times New Roman"/>
                <w:color w:val="auto"/>
                <w:sz w:val="24"/>
              </w:rPr>
            </w:pPr>
          </w:p>
          <w:p w14:paraId="2363935C">
            <w:pPr>
              <w:pStyle w:val="2"/>
              <w:rPr>
                <w:rFonts w:hint="default" w:ascii="Times New Roman" w:hAnsi="Times New Roman" w:cs="Times New Roman"/>
                <w:color w:val="auto"/>
                <w:sz w:val="24"/>
              </w:rPr>
            </w:pPr>
          </w:p>
          <w:p w14:paraId="03B387CC">
            <w:pPr>
              <w:pStyle w:val="2"/>
              <w:rPr>
                <w:rFonts w:hint="default" w:ascii="Times New Roman" w:hAnsi="Times New Roman" w:cs="Times New Roman"/>
                <w:color w:val="auto"/>
                <w:sz w:val="24"/>
              </w:rPr>
            </w:pPr>
          </w:p>
          <w:p w14:paraId="324F5661">
            <w:pPr>
              <w:pStyle w:val="2"/>
              <w:rPr>
                <w:rFonts w:hint="default" w:ascii="Times New Roman" w:hAnsi="Times New Roman" w:cs="Times New Roman"/>
                <w:color w:val="auto"/>
                <w:sz w:val="24"/>
              </w:rPr>
            </w:pPr>
          </w:p>
          <w:p w14:paraId="643FEE5D">
            <w:pPr>
              <w:pStyle w:val="2"/>
              <w:rPr>
                <w:rFonts w:hint="default" w:ascii="Times New Roman" w:hAnsi="Times New Roman" w:cs="Times New Roman"/>
                <w:color w:val="auto"/>
                <w:sz w:val="24"/>
              </w:rPr>
            </w:pPr>
          </w:p>
          <w:p w14:paraId="41E5B05C">
            <w:pPr>
              <w:pStyle w:val="2"/>
              <w:rPr>
                <w:rFonts w:hint="default" w:ascii="Times New Roman" w:hAnsi="Times New Roman" w:cs="Times New Roman"/>
                <w:color w:val="auto"/>
                <w:sz w:val="24"/>
              </w:rPr>
            </w:pPr>
          </w:p>
          <w:p w14:paraId="5F25449F">
            <w:pPr>
              <w:pStyle w:val="2"/>
              <w:rPr>
                <w:rFonts w:hint="default" w:ascii="Times New Roman" w:hAnsi="Times New Roman" w:cs="Times New Roman"/>
                <w:color w:val="auto"/>
                <w:sz w:val="24"/>
              </w:rPr>
            </w:pPr>
          </w:p>
          <w:p w14:paraId="40C41A3E">
            <w:pPr>
              <w:pStyle w:val="2"/>
              <w:rPr>
                <w:rFonts w:hint="default" w:ascii="Times New Roman" w:hAnsi="Times New Roman" w:cs="Times New Roman"/>
                <w:color w:val="auto"/>
                <w:sz w:val="24"/>
              </w:rPr>
            </w:pPr>
          </w:p>
          <w:p w14:paraId="4A5C0FD9">
            <w:pPr>
              <w:pStyle w:val="2"/>
              <w:rPr>
                <w:rFonts w:hint="default" w:ascii="Times New Roman" w:hAnsi="Times New Roman" w:cs="Times New Roman"/>
                <w:color w:val="auto"/>
                <w:sz w:val="24"/>
              </w:rPr>
            </w:pPr>
          </w:p>
          <w:p w14:paraId="5B372376">
            <w:pPr>
              <w:pStyle w:val="2"/>
              <w:rPr>
                <w:rFonts w:hint="default" w:ascii="Times New Roman" w:hAnsi="Times New Roman" w:cs="Times New Roman"/>
                <w:color w:val="auto"/>
                <w:sz w:val="24"/>
              </w:rPr>
            </w:pPr>
          </w:p>
          <w:p w14:paraId="0E2893BE">
            <w:pPr>
              <w:widowControl/>
              <w:rPr>
                <w:rFonts w:hint="default" w:ascii="Times New Roman" w:hAnsi="Times New Roman" w:cs="Times New Roman"/>
                <w:color w:val="auto"/>
                <w:sz w:val="24"/>
              </w:rPr>
            </w:pPr>
          </w:p>
        </w:tc>
      </w:tr>
    </w:tbl>
    <w:p w14:paraId="067B7402">
      <w:pPr>
        <w:rPr>
          <w:rFonts w:hint="default" w:ascii="Times New Roman" w:hAnsi="Times New Roman" w:eastAsia="黑体" w:cs="Times New Roman"/>
          <w:color w:val="auto"/>
          <w:sz w:val="30"/>
        </w:rPr>
        <w:sectPr>
          <w:footerReference r:id="rId5" w:type="default"/>
          <w:pgSz w:w="11905" w:h="16838"/>
          <w:pgMar w:top="1417" w:right="1417" w:bottom="1417" w:left="1417" w:header="964" w:footer="964" w:gutter="0"/>
          <w:pgBorders>
            <w:top w:val="none" w:sz="0" w:space="0"/>
            <w:left w:val="none" w:sz="0" w:space="0"/>
            <w:bottom w:val="none" w:sz="0" w:space="0"/>
            <w:right w:val="none" w:sz="0" w:space="0"/>
          </w:pgBorders>
          <w:pgNumType w:start="1"/>
          <w:cols w:space="720" w:num="1"/>
          <w:docGrid w:type="lines" w:linePitch="378" w:charSpace="0"/>
        </w:sectPr>
      </w:pPr>
    </w:p>
    <w:p w14:paraId="0C990259">
      <w:pPr>
        <w:pStyle w:val="17"/>
        <w:snapToGrid w:val="0"/>
        <w:spacing w:before="72" w:beforeLines="30" w:after="72" w:afterLines="30"/>
        <w:ind w:left="0" w:leftChars="0" w:firstLine="0" w:firstLineChars="0"/>
        <w:jc w:val="center"/>
        <w:rPr>
          <w:rFonts w:hint="default" w:ascii="Times New Roman" w:hAnsi="Times New Roman" w:eastAsia="黑体" w:cs="Times New Roman"/>
          <w:bCs/>
          <w:color w:val="auto"/>
          <w:kern w:val="2"/>
          <w:sz w:val="24"/>
          <w:szCs w:val="24"/>
        </w:rPr>
      </w:pPr>
      <w:r>
        <w:rPr>
          <w:rFonts w:hint="default" w:ascii="Times New Roman" w:hAnsi="Times New Roman" w:eastAsia="黑体" w:cs="Times New Roman"/>
          <w:bCs/>
          <w:color w:val="auto"/>
          <w:kern w:val="2"/>
          <w:sz w:val="24"/>
          <w:szCs w:val="24"/>
        </w:rPr>
        <w:t>表1-1  《沙县金古经济开发区北片区控制性详细规划（2021年版）环境影响报告书》</w:t>
      </w:r>
      <w:r>
        <w:rPr>
          <w:rFonts w:hint="default" w:ascii="Times New Roman" w:hAnsi="Times New Roman" w:eastAsia="黑体" w:cs="Times New Roman"/>
          <w:bCs/>
          <w:color w:val="auto"/>
          <w:kern w:val="2"/>
          <w:sz w:val="24"/>
          <w:szCs w:val="24"/>
          <w:lang w:bidi="ar"/>
        </w:rPr>
        <w:t>入区企业环境准入清单</w:t>
      </w:r>
      <w:r>
        <w:rPr>
          <w:rFonts w:hint="default" w:ascii="Times New Roman" w:hAnsi="Times New Roman" w:eastAsia="黑体" w:cs="Times New Roman"/>
          <w:bCs/>
          <w:color w:val="auto"/>
          <w:kern w:val="2"/>
          <w:sz w:val="24"/>
          <w:szCs w:val="24"/>
        </w:rPr>
        <w:t>要求对比分析</w:t>
      </w:r>
    </w:p>
    <w:tbl>
      <w:tblPr>
        <w:tblStyle w:val="34"/>
        <w:tblW w:w="4996"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52"/>
        <w:gridCol w:w="4333"/>
        <w:gridCol w:w="3508"/>
        <w:gridCol w:w="4660"/>
        <w:gridCol w:w="856"/>
      </w:tblGrid>
      <w:tr w14:paraId="477B64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58" w:type="pct"/>
            <w:gridSpan w:val="3"/>
            <w:tcBorders>
              <w:tl2br w:val="nil"/>
              <w:tr2bl w:val="nil"/>
            </w:tcBorders>
            <w:shd w:val="clear" w:color="auto" w:fill="auto"/>
            <w:noWrap/>
            <w:vAlign w:val="center"/>
          </w:tcPr>
          <w:p w14:paraId="54C32B7D">
            <w:pPr>
              <w:keepNext w:val="0"/>
              <w:keepLines w:val="0"/>
              <w:pageBreakBefore w:val="0"/>
              <w:widowControl/>
              <w:kinsoku/>
              <w:wordWrap/>
              <w:overflowPunct/>
              <w:topLinePunct w:val="0"/>
              <w:autoSpaceDE/>
              <w:autoSpaceDN/>
              <w:bidi w:val="0"/>
              <w:adjustRightInd/>
              <w:snapToGrid w:val="0"/>
              <w:spacing w:before="63" w:beforeLines="20" w:line="288"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入区企业环境准入清单</w:t>
            </w:r>
          </w:p>
        </w:tc>
        <w:tc>
          <w:tcPr>
            <w:tcW w:w="1639" w:type="pct"/>
            <w:vMerge w:val="restart"/>
            <w:tcBorders>
              <w:tl2br w:val="nil"/>
              <w:tr2bl w:val="nil"/>
            </w:tcBorders>
            <w:shd w:val="clear" w:color="auto" w:fill="auto"/>
            <w:vAlign w:val="center"/>
          </w:tcPr>
          <w:p w14:paraId="4596CC4B">
            <w:pPr>
              <w:keepNext w:val="0"/>
              <w:keepLines w:val="0"/>
              <w:pageBreakBefore w:val="0"/>
              <w:widowControl/>
              <w:kinsoku/>
              <w:wordWrap/>
              <w:overflowPunct/>
              <w:topLinePunct w:val="0"/>
              <w:autoSpaceDE/>
              <w:autoSpaceDN/>
              <w:bidi w:val="0"/>
              <w:adjustRightInd/>
              <w:snapToGrid w:val="0"/>
              <w:spacing w:before="63" w:beforeLines="20" w:line="288" w:lineRule="auto"/>
              <w:jc w:val="center"/>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本项目</w:t>
            </w:r>
          </w:p>
        </w:tc>
        <w:tc>
          <w:tcPr>
            <w:tcW w:w="301" w:type="pct"/>
            <w:vMerge w:val="restart"/>
            <w:tcBorders>
              <w:tl2br w:val="nil"/>
              <w:tr2bl w:val="nil"/>
            </w:tcBorders>
            <w:shd w:val="clear" w:color="auto" w:fill="auto"/>
            <w:vAlign w:val="center"/>
          </w:tcPr>
          <w:p w14:paraId="101BBF87">
            <w:pPr>
              <w:keepNext w:val="0"/>
              <w:keepLines w:val="0"/>
              <w:pageBreakBefore w:val="0"/>
              <w:widowControl/>
              <w:kinsoku/>
              <w:wordWrap/>
              <w:overflowPunct/>
              <w:topLinePunct w:val="0"/>
              <w:autoSpaceDE/>
              <w:autoSpaceDN/>
              <w:bidi w:val="0"/>
              <w:adjustRightInd/>
              <w:snapToGrid w:val="0"/>
              <w:spacing w:before="63" w:beforeLines="20" w:line="288" w:lineRule="auto"/>
              <w:jc w:val="center"/>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符合性</w:t>
            </w:r>
          </w:p>
        </w:tc>
      </w:tr>
      <w:tr w14:paraId="60B72C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300" w:type="pct"/>
            <w:vMerge w:val="restart"/>
            <w:tcBorders>
              <w:tl2br w:val="nil"/>
              <w:tr2bl w:val="nil"/>
            </w:tcBorders>
            <w:shd w:val="clear" w:color="auto" w:fill="auto"/>
            <w:vAlign w:val="center"/>
          </w:tcPr>
          <w:p w14:paraId="6029FF0C">
            <w:pPr>
              <w:keepNext w:val="0"/>
              <w:keepLines w:val="0"/>
              <w:pageBreakBefore w:val="0"/>
              <w:widowControl/>
              <w:kinsoku/>
              <w:wordWrap/>
              <w:overflowPunct/>
              <w:topLinePunct w:val="0"/>
              <w:autoSpaceDE/>
              <w:autoSpaceDN/>
              <w:bidi w:val="0"/>
              <w:adjustRightInd/>
              <w:snapToGrid w:val="0"/>
              <w:spacing w:before="63" w:beforeLines="20" w:line="288"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规划产业涉及行业</w:t>
            </w:r>
          </w:p>
        </w:tc>
        <w:tc>
          <w:tcPr>
            <w:tcW w:w="2758" w:type="pct"/>
            <w:gridSpan w:val="2"/>
            <w:tcBorders>
              <w:tl2br w:val="nil"/>
              <w:tr2bl w:val="nil"/>
            </w:tcBorders>
            <w:shd w:val="clear" w:color="auto" w:fill="auto"/>
            <w:vAlign w:val="center"/>
          </w:tcPr>
          <w:p w14:paraId="3B5E931D">
            <w:pPr>
              <w:keepNext w:val="0"/>
              <w:keepLines w:val="0"/>
              <w:pageBreakBefore w:val="0"/>
              <w:widowControl/>
              <w:kinsoku/>
              <w:wordWrap/>
              <w:overflowPunct/>
              <w:topLinePunct w:val="0"/>
              <w:autoSpaceDE/>
              <w:autoSpaceDN/>
              <w:bidi w:val="0"/>
              <w:adjustRightInd/>
              <w:snapToGrid w:val="0"/>
              <w:spacing w:before="63" w:beforeLines="20" w:line="288" w:lineRule="auto"/>
              <w:jc w:val="center"/>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C33金属制品业</w:t>
            </w:r>
          </w:p>
        </w:tc>
        <w:tc>
          <w:tcPr>
            <w:tcW w:w="1639" w:type="pct"/>
            <w:vMerge w:val="continue"/>
            <w:tcBorders>
              <w:tl2br w:val="nil"/>
              <w:tr2bl w:val="nil"/>
            </w:tcBorders>
            <w:shd w:val="clear" w:color="auto" w:fill="auto"/>
            <w:vAlign w:val="center"/>
          </w:tcPr>
          <w:p w14:paraId="0DBA7E19">
            <w:pPr>
              <w:keepNext w:val="0"/>
              <w:keepLines w:val="0"/>
              <w:pageBreakBefore w:val="0"/>
              <w:kinsoku/>
              <w:wordWrap/>
              <w:overflowPunct/>
              <w:topLinePunct w:val="0"/>
              <w:autoSpaceDE/>
              <w:autoSpaceDN/>
              <w:bidi w:val="0"/>
              <w:adjustRightInd/>
              <w:snapToGrid w:val="0"/>
              <w:spacing w:before="63" w:beforeLines="20" w:line="288" w:lineRule="auto"/>
              <w:jc w:val="center"/>
              <w:rPr>
                <w:rFonts w:hint="default" w:ascii="Times New Roman" w:hAnsi="Times New Roman" w:cs="Times New Roman"/>
                <w:color w:val="auto"/>
                <w:sz w:val="21"/>
                <w:szCs w:val="21"/>
              </w:rPr>
            </w:pPr>
          </w:p>
        </w:tc>
        <w:tc>
          <w:tcPr>
            <w:tcW w:w="301" w:type="pct"/>
            <w:vMerge w:val="continue"/>
            <w:tcBorders>
              <w:tl2br w:val="nil"/>
              <w:tr2bl w:val="nil"/>
            </w:tcBorders>
            <w:shd w:val="clear" w:color="auto" w:fill="auto"/>
            <w:vAlign w:val="center"/>
          </w:tcPr>
          <w:p w14:paraId="74D1FF15">
            <w:pPr>
              <w:keepNext w:val="0"/>
              <w:keepLines w:val="0"/>
              <w:pageBreakBefore w:val="0"/>
              <w:kinsoku/>
              <w:wordWrap/>
              <w:overflowPunct/>
              <w:topLinePunct w:val="0"/>
              <w:autoSpaceDE/>
              <w:autoSpaceDN/>
              <w:bidi w:val="0"/>
              <w:adjustRightInd/>
              <w:snapToGrid w:val="0"/>
              <w:spacing w:before="63" w:beforeLines="20" w:line="288" w:lineRule="auto"/>
              <w:jc w:val="center"/>
              <w:rPr>
                <w:rFonts w:hint="default" w:ascii="Times New Roman" w:hAnsi="Times New Roman" w:cs="Times New Roman"/>
                <w:color w:val="auto"/>
                <w:sz w:val="21"/>
                <w:szCs w:val="21"/>
              </w:rPr>
            </w:pPr>
          </w:p>
        </w:tc>
      </w:tr>
      <w:tr w14:paraId="40A237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40" w:hRule="atLeast"/>
        </w:trPr>
        <w:tc>
          <w:tcPr>
            <w:tcW w:w="300" w:type="pct"/>
            <w:vMerge w:val="continue"/>
            <w:tcBorders>
              <w:tl2br w:val="nil"/>
              <w:tr2bl w:val="nil"/>
            </w:tcBorders>
            <w:shd w:val="clear" w:color="auto" w:fill="auto"/>
            <w:vAlign w:val="center"/>
          </w:tcPr>
          <w:p w14:paraId="6536E6D8">
            <w:pPr>
              <w:keepNext w:val="0"/>
              <w:keepLines w:val="0"/>
              <w:pageBreakBefore w:val="0"/>
              <w:kinsoku/>
              <w:wordWrap/>
              <w:overflowPunct/>
              <w:topLinePunct w:val="0"/>
              <w:autoSpaceDE/>
              <w:autoSpaceDN/>
              <w:bidi w:val="0"/>
              <w:adjustRightInd/>
              <w:snapToGrid w:val="0"/>
              <w:spacing w:before="63" w:beforeLines="20" w:line="288" w:lineRule="auto"/>
              <w:jc w:val="center"/>
              <w:rPr>
                <w:rFonts w:hint="default" w:ascii="Times New Roman" w:hAnsi="Times New Roman" w:cs="Times New Roman"/>
                <w:color w:val="auto"/>
                <w:sz w:val="21"/>
                <w:szCs w:val="21"/>
              </w:rPr>
            </w:pPr>
          </w:p>
        </w:tc>
        <w:tc>
          <w:tcPr>
            <w:tcW w:w="1524" w:type="pct"/>
            <w:tcBorders>
              <w:tl2br w:val="nil"/>
              <w:tr2bl w:val="nil"/>
            </w:tcBorders>
            <w:shd w:val="clear" w:color="auto" w:fill="auto"/>
            <w:vAlign w:val="center"/>
          </w:tcPr>
          <w:p w14:paraId="2F39CE49">
            <w:pPr>
              <w:keepNext w:val="0"/>
              <w:keepLines w:val="0"/>
              <w:pageBreakBefore w:val="0"/>
              <w:widowControl/>
              <w:kinsoku/>
              <w:wordWrap/>
              <w:overflowPunct/>
              <w:topLinePunct w:val="0"/>
              <w:autoSpaceDE/>
              <w:autoSpaceDN/>
              <w:bidi w:val="0"/>
              <w:adjustRightInd/>
              <w:snapToGrid w:val="0"/>
              <w:spacing w:before="63" w:beforeLines="20" w:line="288" w:lineRule="auto"/>
              <w:jc w:val="both"/>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331 结构性金属制品制造；332 金属工具制造；333 集装箱及金属包装容器造；334 金属丝绳及其制品制造；335 建筑、安全用金属制品制造；</w:t>
            </w:r>
          </w:p>
        </w:tc>
        <w:tc>
          <w:tcPr>
            <w:tcW w:w="1233" w:type="pct"/>
            <w:tcBorders>
              <w:tl2br w:val="nil"/>
              <w:tr2bl w:val="nil"/>
            </w:tcBorders>
            <w:shd w:val="clear" w:color="auto" w:fill="auto"/>
            <w:vAlign w:val="center"/>
          </w:tcPr>
          <w:p w14:paraId="7FA3D494">
            <w:pPr>
              <w:keepNext w:val="0"/>
              <w:keepLines w:val="0"/>
              <w:pageBreakBefore w:val="0"/>
              <w:widowControl/>
              <w:kinsoku/>
              <w:wordWrap/>
              <w:overflowPunct/>
              <w:topLinePunct w:val="0"/>
              <w:autoSpaceDE/>
              <w:autoSpaceDN/>
              <w:bidi w:val="0"/>
              <w:adjustRightInd/>
              <w:snapToGrid w:val="0"/>
              <w:spacing w:before="63" w:beforeLines="20" w:line="288" w:lineRule="auto"/>
              <w:jc w:val="both"/>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336 金属表面处理及热处理加工</w:t>
            </w:r>
          </w:p>
        </w:tc>
        <w:tc>
          <w:tcPr>
            <w:tcW w:w="1639" w:type="pct"/>
            <w:tcBorders>
              <w:tl2br w:val="nil"/>
              <w:tr2bl w:val="nil"/>
            </w:tcBorders>
            <w:shd w:val="clear" w:color="auto" w:fill="auto"/>
            <w:vAlign w:val="center"/>
          </w:tcPr>
          <w:p w14:paraId="57C808FE">
            <w:pPr>
              <w:keepNext w:val="0"/>
              <w:keepLines w:val="0"/>
              <w:pageBreakBefore w:val="0"/>
              <w:widowControl/>
              <w:kinsoku/>
              <w:wordWrap/>
              <w:overflowPunct/>
              <w:topLinePunct w:val="0"/>
              <w:autoSpaceDE/>
              <w:autoSpaceDN/>
              <w:bidi w:val="0"/>
              <w:adjustRightInd/>
              <w:snapToGrid w:val="0"/>
              <w:spacing w:before="63" w:beforeLines="20" w:line="288" w:lineRule="auto"/>
              <w:ind w:firstLine="420" w:firstLineChars="200"/>
              <w:jc w:val="both"/>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highlight w:val="none"/>
                <w:lang w:bidi="ar"/>
              </w:rPr>
              <w:t>本项目属于334 金属丝绳及其制品制造和336 金属表面处理及热处理加工</w:t>
            </w:r>
          </w:p>
        </w:tc>
        <w:tc>
          <w:tcPr>
            <w:tcW w:w="301" w:type="pct"/>
            <w:tcBorders>
              <w:tl2br w:val="nil"/>
              <w:tr2bl w:val="nil"/>
            </w:tcBorders>
            <w:shd w:val="clear" w:color="auto" w:fill="auto"/>
            <w:vAlign w:val="center"/>
          </w:tcPr>
          <w:p w14:paraId="15E9A42E">
            <w:pPr>
              <w:keepNext w:val="0"/>
              <w:keepLines w:val="0"/>
              <w:pageBreakBefore w:val="0"/>
              <w:kinsoku/>
              <w:wordWrap/>
              <w:overflowPunct/>
              <w:topLinePunct w:val="0"/>
              <w:autoSpaceDE/>
              <w:autoSpaceDN/>
              <w:bidi w:val="0"/>
              <w:adjustRightInd/>
              <w:snapToGrid w:val="0"/>
              <w:spacing w:before="63" w:beforeLines="20" w:line="288" w:lineRule="auto"/>
              <w:jc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符合</w:t>
            </w:r>
          </w:p>
        </w:tc>
      </w:tr>
      <w:tr w14:paraId="4AA745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40" w:hRule="atLeast"/>
        </w:trPr>
        <w:tc>
          <w:tcPr>
            <w:tcW w:w="300" w:type="pct"/>
            <w:tcBorders>
              <w:tl2br w:val="nil"/>
              <w:tr2bl w:val="nil"/>
            </w:tcBorders>
            <w:shd w:val="clear" w:color="auto" w:fill="auto"/>
            <w:vAlign w:val="center"/>
          </w:tcPr>
          <w:p w14:paraId="25A7B16C">
            <w:pPr>
              <w:keepNext w:val="0"/>
              <w:keepLines w:val="0"/>
              <w:pageBreakBefore w:val="0"/>
              <w:widowControl/>
              <w:kinsoku/>
              <w:wordWrap/>
              <w:overflowPunct/>
              <w:topLinePunct w:val="0"/>
              <w:autoSpaceDE/>
              <w:autoSpaceDN/>
              <w:bidi w:val="0"/>
              <w:adjustRightInd/>
              <w:snapToGrid w:val="0"/>
              <w:spacing w:before="63" w:beforeLines="20" w:line="288"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禁止准入行业</w:t>
            </w:r>
          </w:p>
        </w:tc>
        <w:tc>
          <w:tcPr>
            <w:tcW w:w="2758" w:type="pct"/>
            <w:gridSpan w:val="2"/>
            <w:tcBorders>
              <w:tl2br w:val="nil"/>
              <w:tr2bl w:val="nil"/>
            </w:tcBorders>
            <w:shd w:val="clear" w:color="auto" w:fill="auto"/>
            <w:vAlign w:val="center"/>
          </w:tcPr>
          <w:p w14:paraId="68E77978">
            <w:pPr>
              <w:keepNext w:val="0"/>
              <w:keepLines w:val="0"/>
              <w:pageBreakBefore w:val="0"/>
              <w:widowControl/>
              <w:kinsoku/>
              <w:wordWrap/>
              <w:overflowPunct/>
              <w:topLinePunct w:val="0"/>
              <w:autoSpaceDE/>
              <w:autoSpaceDN/>
              <w:bidi w:val="0"/>
              <w:adjustRightInd/>
              <w:snapToGrid w:val="0"/>
              <w:spacing w:before="63" w:beforeLines="20" w:line="288" w:lineRule="auto"/>
              <w:jc w:val="both"/>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禁止引进集中电镀企业；禁止引入排放铅、汞、铬、镉和类金属砷等五大类重点污染物项目；禁止引入前段冶炼项目（含配套）；原则上按照执行沙县区生态环境准入清单其他要求</w:t>
            </w:r>
          </w:p>
        </w:tc>
        <w:tc>
          <w:tcPr>
            <w:tcW w:w="1639" w:type="pct"/>
            <w:tcBorders>
              <w:tl2br w:val="nil"/>
              <w:tr2bl w:val="nil"/>
            </w:tcBorders>
            <w:shd w:val="clear" w:color="auto" w:fill="auto"/>
            <w:vAlign w:val="center"/>
          </w:tcPr>
          <w:p w14:paraId="5350618A">
            <w:pPr>
              <w:keepNext w:val="0"/>
              <w:keepLines w:val="0"/>
              <w:pageBreakBefore w:val="0"/>
              <w:widowControl/>
              <w:kinsoku/>
              <w:wordWrap/>
              <w:overflowPunct/>
              <w:topLinePunct w:val="0"/>
              <w:autoSpaceDE/>
              <w:autoSpaceDN/>
              <w:bidi w:val="0"/>
              <w:adjustRightInd/>
              <w:snapToGrid w:val="0"/>
              <w:spacing w:before="63" w:beforeLines="20" w:line="288" w:lineRule="auto"/>
              <w:ind w:firstLine="420" w:firstLineChars="200"/>
              <w:jc w:val="both"/>
              <w:textAlignment w:val="top"/>
              <w:rPr>
                <w:rFonts w:hint="default" w:ascii="Times New Roman" w:hAnsi="Times New Roman" w:cs="Times New Roman"/>
                <w:b/>
                <w:bCs/>
                <w:color w:val="auto"/>
                <w:sz w:val="21"/>
                <w:szCs w:val="21"/>
              </w:rPr>
            </w:pPr>
            <w:r>
              <w:rPr>
                <w:rFonts w:hint="default" w:ascii="Times New Roman" w:hAnsi="Times New Roman" w:cs="Times New Roman"/>
                <w:color w:val="auto"/>
                <w:kern w:val="0"/>
                <w:sz w:val="21"/>
                <w:szCs w:val="21"/>
                <w:lang w:bidi="ar"/>
              </w:rPr>
              <w:t>本项目不属于禁止准入行业。不属于电镀行业，不涉及冶炼项目。</w:t>
            </w:r>
            <w:r>
              <w:rPr>
                <w:rFonts w:hint="default" w:ascii="Times New Roman" w:hAnsi="Times New Roman" w:cs="Times New Roman"/>
                <w:color w:val="auto"/>
                <w:kern w:val="0"/>
                <w:sz w:val="21"/>
                <w:szCs w:val="21"/>
                <w:lang w:val="en-US" w:eastAsia="zh-CN" w:bidi="ar"/>
              </w:rPr>
              <w:t>本项目的</w:t>
            </w:r>
            <w:r>
              <w:rPr>
                <w:rFonts w:hint="default" w:ascii="Times New Roman" w:hAnsi="Times New Roman" w:cs="Times New Roman"/>
                <w:color w:val="auto"/>
                <w:kern w:val="0"/>
                <w:sz w:val="21"/>
                <w:szCs w:val="21"/>
                <w:highlight w:val="none"/>
                <w:lang w:bidi="ar"/>
              </w:rPr>
              <w:t>表面处理</w:t>
            </w:r>
            <w:r>
              <w:rPr>
                <w:rFonts w:hint="default" w:ascii="Times New Roman" w:hAnsi="Times New Roman" w:cs="Times New Roman"/>
                <w:color w:val="auto"/>
                <w:sz w:val="21"/>
                <w:szCs w:val="21"/>
                <w:lang w:val="en-US" w:eastAsia="zh-CN"/>
              </w:rPr>
              <w:t>属于</w:t>
            </w:r>
            <w:r>
              <w:rPr>
                <w:rFonts w:hint="default" w:ascii="Times New Roman" w:hAnsi="Times New Roman" w:cs="Times New Roman"/>
                <w:color w:val="auto"/>
                <w:kern w:val="0"/>
                <w:sz w:val="21"/>
                <w:szCs w:val="21"/>
                <w:lang w:val="en-US" w:eastAsia="zh-CN" w:bidi="ar"/>
              </w:rPr>
              <w:t>金属制品业</w:t>
            </w:r>
            <w:r>
              <w:rPr>
                <w:rFonts w:hint="default" w:ascii="Times New Roman" w:hAnsi="Times New Roman" w:cs="Times New Roman"/>
                <w:color w:val="auto"/>
                <w:sz w:val="21"/>
                <w:szCs w:val="21"/>
                <w:lang w:val="en-US" w:eastAsia="zh-CN"/>
              </w:rPr>
              <w:t>配套工序，</w:t>
            </w:r>
            <w:r>
              <w:rPr>
                <w:rFonts w:hint="default" w:ascii="Times New Roman" w:hAnsi="Times New Roman" w:cs="Times New Roman"/>
                <w:color w:val="auto"/>
                <w:kern w:val="0"/>
                <w:sz w:val="21"/>
                <w:szCs w:val="21"/>
                <w:lang w:bidi="ar"/>
              </w:rPr>
              <w:t>不涉及重点管控重金属污染物排放</w:t>
            </w:r>
            <w:r>
              <w:rPr>
                <w:rFonts w:hint="default" w:ascii="Times New Roman" w:hAnsi="Times New Roman" w:cs="Times New Roman"/>
                <w:color w:val="auto"/>
                <w:kern w:val="0"/>
                <w:sz w:val="21"/>
                <w:szCs w:val="21"/>
                <w:lang w:eastAsia="zh-CN" w:bidi="ar"/>
              </w:rPr>
              <w:t>。</w:t>
            </w:r>
            <w:r>
              <w:rPr>
                <w:rFonts w:hint="default" w:ascii="Times New Roman" w:hAnsi="Times New Roman" w:cs="Times New Roman"/>
                <w:color w:val="auto"/>
                <w:kern w:val="0"/>
                <w:sz w:val="21"/>
                <w:szCs w:val="21"/>
                <w:lang w:bidi="ar"/>
              </w:rPr>
              <w:t>符合沙县区生态环境准入清单要求。</w:t>
            </w:r>
          </w:p>
        </w:tc>
        <w:tc>
          <w:tcPr>
            <w:tcW w:w="301" w:type="pct"/>
            <w:tcBorders>
              <w:tl2br w:val="nil"/>
              <w:tr2bl w:val="nil"/>
            </w:tcBorders>
            <w:shd w:val="clear" w:color="auto" w:fill="auto"/>
            <w:vAlign w:val="center"/>
          </w:tcPr>
          <w:p w14:paraId="262E84BF">
            <w:pPr>
              <w:keepNext w:val="0"/>
              <w:keepLines w:val="0"/>
              <w:pageBreakBefore w:val="0"/>
              <w:kinsoku/>
              <w:wordWrap/>
              <w:overflowPunct/>
              <w:topLinePunct w:val="0"/>
              <w:autoSpaceDE/>
              <w:autoSpaceDN/>
              <w:bidi w:val="0"/>
              <w:adjustRightInd/>
              <w:snapToGrid w:val="0"/>
              <w:spacing w:before="63" w:beforeLines="20" w:line="288" w:lineRule="auto"/>
              <w:jc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符合</w:t>
            </w:r>
          </w:p>
        </w:tc>
      </w:tr>
      <w:tr w14:paraId="3FE2EA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20" w:hRule="atLeast"/>
        </w:trPr>
        <w:tc>
          <w:tcPr>
            <w:tcW w:w="300" w:type="pct"/>
            <w:tcBorders>
              <w:tl2br w:val="nil"/>
              <w:tr2bl w:val="nil"/>
            </w:tcBorders>
            <w:shd w:val="clear" w:color="auto" w:fill="auto"/>
            <w:vAlign w:val="center"/>
          </w:tcPr>
          <w:p w14:paraId="4581DCB5">
            <w:pPr>
              <w:keepNext w:val="0"/>
              <w:keepLines w:val="0"/>
              <w:pageBreakBefore w:val="0"/>
              <w:widowControl/>
              <w:kinsoku/>
              <w:wordWrap/>
              <w:overflowPunct/>
              <w:topLinePunct w:val="0"/>
              <w:autoSpaceDE/>
              <w:autoSpaceDN/>
              <w:bidi w:val="0"/>
              <w:adjustRightInd/>
              <w:snapToGrid w:val="0"/>
              <w:spacing w:before="63" w:beforeLines="20" w:line="288"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限制准入行业</w:t>
            </w:r>
          </w:p>
        </w:tc>
        <w:tc>
          <w:tcPr>
            <w:tcW w:w="2758" w:type="pct"/>
            <w:gridSpan w:val="2"/>
            <w:tcBorders>
              <w:tl2br w:val="nil"/>
              <w:tr2bl w:val="nil"/>
            </w:tcBorders>
            <w:shd w:val="clear" w:color="auto" w:fill="auto"/>
            <w:vAlign w:val="center"/>
          </w:tcPr>
          <w:p w14:paraId="18B39DA4">
            <w:pPr>
              <w:keepNext w:val="0"/>
              <w:keepLines w:val="0"/>
              <w:pageBreakBefore w:val="0"/>
              <w:widowControl/>
              <w:kinsoku/>
              <w:wordWrap/>
              <w:overflowPunct/>
              <w:topLinePunct w:val="0"/>
              <w:autoSpaceDE/>
              <w:autoSpaceDN/>
              <w:bidi w:val="0"/>
              <w:adjustRightInd/>
              <w:snapToGrid w:val="0"/>
              <w:spacing w:before="63" w:beforeLines="20" w:line="288" w:lineRule="auto"/>
              <w:jc w:val="both"/>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熔化加工工序及金属铸锻加工（仅允许企业自身生产需要的产业链工艺或工序配套的铸造，不得引入单纯铸造项目）；除企业自身必须配套外，不得单独引进磷化、钝化、电镀等表面处理生产项目</w:t>
            </w:r>
          </w:p>
        </w:tc>
        <w:tc>
          <w:tcPr>
            <w:tcW w:w="1639" w:type="pct"/>
            <w:tcBorders>
              <w:tl2br w:val="nil"/>
              <w:tr2bl w:val="nil"/>
            </w:tcBorders>
            <w:shd w:val="clear" w:color="auto" w:fill="auto"/>
            <w:vAlign w:val="center"/>
          </w:tcPr>
          <w:p w14:paraId="5350D84E">
            <w:pPr>
              <w:keepNext w:val="0"/>
              <w:keepLines w:val="0"/>
              <w:pageBreakBefore w:val="0"/>
              <w:widowControl/>
              <w:kinsoku/>
              <w:wordWrap/>
              <w:overflowPunct/>
              <w:topLinePunct w:val="0"/>
              <w:autoSpaceDE/>
              <w:autoSpaceDN/>
              <w:bidi w:val="0"/>
              <w:adjustRightInd/>
              <w:snapToGrid w:val="0"/>
              <w:spacing w:before="63" w:beforeLines="20" w:line="288" w:lineRule="auto"/>
              <w:ind w:firstLine="420" w:firstLineChars="200"/>
              <w:jc w:val="both"/>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本项目主要生产钢丝，并配套表面处理加工，表面处理采用酸洗磷化、皂化工艺，不属于单独引进磷化等表面处理生产项目，采用的磷化剂不含镍，不涉及重点管控重金属污染物排放。</w:t>
            </w:r>
          </w:p>
        </w:tc>
        <w:tc>
          <w:tcPr>
            <w:tcW w:w="301" w:type="pct"/>
            <w:tcBorders>
              <w:tl2br w:val="nil"/>
              <w:tr2bl w:val="nil"/>
            </w:tcBorders>
            <w:shd w:val="clear" w:color="auto" w:fill="auto"/>
            <w:vAlign w:val="center"/>
          </w:tcPr>
          <w:p w14:paraId="341079BF">
            <w:pPr>
              <w:keepNext w:val="0"/>
              <w:keepLines w:val="0"/>
              <w:pageBreakBefore w:val="0"/>
              <w:kinsoku/>
              <w:wordWrap/>
              <w:overflowPunct/>
              <w:topLinePunct w:val="0"/>
              <w:autoSpaceDE/>
              <w:autoSpaceDN/>
              <w:bidi w:val="0"/>
              <w:adjustRightInd/>
              <w:snapToGrid w:val="0"/>
              <w:spacing w:before="63" w:beforeLines="20" w:line="288" w:lineRule="auto"/>
              <w:jc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符合</w:t>
            </w:r>
          </w:p>
        </w:tc>
      </w:tr>
      <w:tr w14:paraId="04FBE1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50" w:hRule="atLeast"/>
        </w:trPr>
        <w:tc>
          <w:tcPr>
            <w:tcW w:w="300" w:type="pct"/>
            <w:tcBorders>
              <w:tl2br w:val="nil"/>
              <w:tr2bl w:val="nil"/>
            </w:tcBorders>
            <w:shd w:val="clear" w:color="auto" w:fill="auto"/>
            <w:vAlign w:val="center"/>
          </w:tcPr>
          <w:p w14:paraId="363E538C">
            <w:pPr>
              <w:keepNext w:val="0"/>
              <w:keepLines w:val="0"/>
              <w:pageBreakBefore w:val="0"/>
              <w:widowControl/>
              <w:kinsoku/>
              <w:wordWrap/>
              <w:overflowPunct/>
              <w:topLinePunct w:val="0"/>
              <w:autoSpaceDE/>
              <w:autoSpaceDN/>
              <w:bidi w:val="0"/>
              <w:adjustRightInd/>
              <w:snapToGrid w:val="0"/>
              <w:spacing w:before="63" w:beforeLines="20" w:line="288"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生产工艺及生态环境准入要求</w:t>
            </w:r>
          </w:p>
        </w:tc>
        <w:tc>
          <w:tcPr>
            <w:tcW w:w="1524" w:type="pct"/>
            <w:tcBorders>
              <w:tl2br w:val="nil"/>
              <w:tr2bl w:val="nil"/>
            </w:tcBorders>
            <w:shd w:val="clear" w:color="auto" w:fill="auto"/>
            <w:vAlign w:val="center"/>
          </w:tcPr>
          <w:p w14:paraId="6A73A724">
            <w:pPr>
              <w:keepNext w:val="0"/>
              <w:keepLines w:val="0"/>
              <w:pageBreakBefore w:val="0"/>
              <w:widowControl/>
              <w:numPr>
                <w:ilvl w:val="0"/>
                <w:numId w:val="2"/>
              </w:numPr>
              <w:kinsoku/>
              <w:wordWrap/>
              <w:overflowPunct/>
              <w:topLinePunct w:val="0"/>
              <w:autoSpaceDE/>
              <w:autoSpaceDN/>
              <w:bidi w:val="0"/>
              <w:adjustRightInd/>
              <w:snapToGrid w:val="0"/>
              <w:spacing w:before="63" w:beforeLines="20" w:line="288" w:lineRule="auto"/>
              <w:jc w:val="both"/>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关于含表面处理工序的，参照本表“336 金属表面处理及热处理加工”相关要求：使用溶剂型涂料涂装工艺的VOCs 进行有效收集及达标处理排放，收集率不得低于80%；</w:t>
            </w:r>
          </w:p>
          <w:p w14:paraId="2993B854">
            <w:pPr>
              <w:keepNext w:val="0"/>
              <w:keepLines w:val="0"/>
              <w:pageBreakBefore w:val="0"/>
              <w:widowControl/>
              <w:numPr>
                <w:ilvl w:val="0"/>
                <w:numId w:val="2"/>
              </w:numPr>
              <w:kinsoku/>
              <w:wordWrap/>
              <w:overflowPunct/>
              <w:topLinePunct w:val="0"/>
              <w:autoSpaceDE/>
              <w:autoSpaceDN/>
              <w:bidi w:val="0"/>
              <w:adjustRightInd/>
              <w:snapToGrid w:val="0"/>
              <w:spacing w:before="63" w:beforeLines="20" w:line="288" w:lineRule="auto"/>
              <w:jc w:val="both"/>
              <w:textAlignment w:val="top"/>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新建工业涂装项目使用的涂料“三苯”含量低，鼓励使用水性涂料；</w:t>
            </w:r>
          </w:p>
          <w:p w14:paraId="26048D59">
            <w:pPr>
              <w:keepNext w:val="0"/>
              <w:keepLines w:val="0"/>
              <w:pageBreakBefore w:val="0"/>
              <w:widowControl/>
              <w:numPr>
                <w:ilvl w:val="0"/>
                <w:numId w:val="2"/>
              </w:numPr>
              <w:kinsoku/>
              <w:wordWrap/>
              <w:overflowPunct/>
              <w:topLinePunct w:val="0"/>
              <w:autoSpaceDE/>
              <w:autoSpaceDN/>
              <w:bidi w:val="0"/>
              <w:adjustRightInd/>
              <w:snapToGrid w:val="0"/>
              <w:spacing w:before="63" w:beforeLines="20" w:line="288" w:lineRule="auto"/>
              <w:jc w:val="both"/>
              <w:textAlignment w:val="top"/>
              <w:rPr>
                <w:rFonts w:hint="default" w:ascii="Times New Roman" w:hAnsi="Times New Roman" w:cs="Times New Roman"/>
                <w:b/>
                <w:bCs/>
                <w:color w:val="auto"/>
                <w:kern w:val="0"/>
                <w:sz w:val="21"/>
                <w:szCs w:val="21"/>
                <w:lang w:bidi="ar"/>
              </w:rPr>
            </w:pPr>
            <w:r>
              <w:rPr>
                <w:rFonts w:hint="default" w:ascii="Times New Roman" w:hAnsi="Times New Roman" w:cs="Times New Roman"/>
                <w:b/>
                <w:bCs/>
                <w:color w:val="auto"/>
                <w:kern w:val="0"/>
                <w:sz w:val="21"/>
                <w:szCs w:val="21"/>
                <w:lang w:bidi="ar"/>
              </w:rPr>
              <w:t>对于金属切割、打磨等产生的含尘废气、焊接废气等应采取高效净化处理设施；</w:t>
            </w:r>
          </w:p>
          <w:p w14:paraId="36116A9A">
            <w:pPr>
              <w:keepNext w:val="0"/>
              <w:keepLines w:val="0"/>
              <w:pageBreakBefore w:val="0"/>
              <w:widowControl/>
              <w:numPr>
                <w:ilvl w:val="0"/>
                <w:numId w:val="2"/>
              </w:numPr>
              <w:kinsoku/>
              <w:wordWrap/>
              <w:overflowPunct/>
              <w:topLinePunct w:val="0"/>
              <w:autoSpaceDE/>
              <w:autoSpaceDN/>
              <w:bidi w:val="0"/>
              <w:adjustRightInd/>
              <w:snapToGrid w:val="0"/>
              <w:spacing w:before="63" w:beforeLines="20" w:line="288" w:lineRule="auto"/>
              <w:jc w:val="both"/>
              <w:textAlignment w:val="top"/>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集装箱制造生产过程使用的涂料应符合《集装箱涂料》(JH/T E01)的规定。除少数特种集装箱外，所有集装箱制造企业应采用水性涂装线；</w:t>
            </w:r>
          </w:p>
          <w:p w14:paraId="01BA159A">
            <w:pPr>
              <w:keepNext w:val="0"/>
              <w:keepLines w:val="0"/>
              <w:pageBreakBefore w:val="0"/>
              <w:widowControl/>
              <w:numPr>
                <w:ilvl w:val="0"/>
                <w:numId w:val="2"/>
              </w:numPr>
              <w:kinsoku/>
              <w:wordWrap/>
              <w:overflowPunct/>
              <w:topLinePunct w:val="0"/>
              <w:autoSpaceDE/>
              <w:autoSpaceDN/>
              <w:bidi w:val="0"/>
              <w:adjustRightInd/>
              <w:snapToGrid w:val="0"/>
              <w:spacing w:before="63" w:beforeLines="20" w:line="288" w:lineRule="auto"/>
              <w:jc w:val="both"/>
              <w:textAlignment w:val="top"/>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钢制集装箱在整箱打砂、箱内涂装、箱外涂装、底架涂装和木地板涂装等工序全面使用水性涂料。对一次打砂工序，推广采用辊涂涂装工艺；</w:t>
            </w:r>
          </w:p>
          <w:p w14:paraId="77897102">
            <w:pPr>
              <w:keepNext w:val="0"/>
              <w:keepLines w:val="0"/>
              <w:pageBreakBefore w:val="0"/>
              <w:widowControl/>
              <w:numPr>
                <w:ilvl w:val="255"/>
                <w:numId w:val="0"/>
              </w:numPr>
              <w:kinsoku/>
              <w:wordWrap/>
              <w:overflowPunct/>
              <w:topLinePunct w:val="0"/>
              <w:autoSpaceDE/>
              <w:autoSpaceDN/>
              <w:bidi w:val="0"/>
              <w:adjustRightInd/>
              <w:snapToGrid w:val="0"/>
              <w:spacing w:before="63" w:beforeLines="20" w:line="288" w:lineRule="auto"/>
              <w:jc w:val="both"/>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（6）熔化加工工序及金属铸锻加工（仅允许企业自身生产需要的产业链工艺或工序配套的铸造，不得引入单纯铸造项目）。</w:t>
            </w:r>
          </w:p>
        </w:tc>
        <w:tc>
          <w:tcPr>
            <w:tcW w:w="1233" w:type="pct"/>
            <w:tcBorders>
              <w:tl2br w:val="nil"/>
              <w:tr2bl w:val="nil"/>
            </w:tcBorders>
            <w:shd w:val="clear" w:color="auto" w:fill="auto"/>
            <w:vAlign w:val="center"/>
          </w:tcPr>
          <w:p w14:paraId="60AD3128">
            <w:pPr>
              <w:keepNext w:val="0"/>
              <w:keepLines w:val="0"/>
              <w:pageBreakBefore w:val="0"/>
              <w:widowControl/>
              <w:kinsoku/>
              <w:wordWrap/>
              <w:overflowPunct/>
              <w:topLinePunct w:val="0"/>
              <w:autoSpaceDE/>
              <w:autoSpaceDN/>
              <w:bidi w:val="0"/>
              <w:adjustRightInd/>
              <w:snapToGrid w:val="0"/>
              <w:spacing w:before="63" w:beforeLines="20" w:line="288" w:lineRule="auto"/>
              <w:jc w:val="both"/>
              <w:textAlignment w:val="top"/>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（1）</w:t>
            </w:r>
            <w:r>
              <w:rPr>
                <w:rFonts w:hint="default" w:ascii="Times New Roman" w:hAnsi="Times New Roman" w:cs="Times New Roman"/>
                <w:b/>
                <w:bCs/>
                <w:color w:val="auto"/>
                <w:kern w:val="0"/>
                <w:sz w:val="21"/>
                <w:szCs w:val="21"/>
                <w:lang w:bidi="ar"/>
              </w:rPr>
              <w:t>涉及产生重金属废水的，应采用合理的措施处理后全部回用，不外排；</w:t>
            </w:r>
          </w:p>
          <w:p w14:paraId="75854D4C">
            <w:pPr>
              <w:keepNext w:val="0"/>
              <w:keepLines w:val="0"/>
              <w:pageBreakBefore w:val="0"/>
              <w:widowControl/>
              <w:kinsoku/>
              <w:wordWrap/>
              <w:overflowPunct/>
              <w:topLinePunct w:val="0"/>
              <w:autoSpaceDE/>
              <w:autoSpaceDN/>
              <w:bidi w:val="0"/>
              <w:adjustRightInd/>
              <w:snapToGrid w:val="0"/>
              <w:spacing w:before="63" w:beforeLines="20" w:line="288" w:lineRule="auto"/>
              <w:jc w:val="both"/>
              <w:textAlignment w:val="top"/>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（2）涉及表面涂装的，禁止使用以甲苯、二甲苯等挥发性有机物为主溶剂的油漆涂料，可使用不含有机溶剂或低含量有机溶剂涂料，如粉末涂装工艺。表面涂装喷漆工艺采用水性、粉末、高固体分涂料；</w:t>
            </w:r>
          </w:p>
          <w:p w14:paraId="16B1E762">
            <w:pPr>
              <w:keepNext w:val="0"/>
              <w:keepLines w:val="0"/>
              <w:pageBreakBefore w:val="0"/>
              <w:widowControl/>
              <w:kinsoku/>
              <w:wordWrap/>
              <w:overflowPunct/>
              <w:topLinePunct w:val="0"/>
              <w:autoSpaceDE/>
              <w:autoSpaceDN/>
              <w:bidi w:val="0"/>
              <w:adjustRightInd/>
              <w:snapToGrid w:val="0"/>
              <w:spacing w:before="63" w:beforeLines="20" w:line="288" w:lineRule="auto"/>
              <w:jc w:val="both"/>
              <w:textAlignment w:val="top"/>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（3）禁止敞开式喷涂、晾（风）干作业；使用溶剂型涂料涂装工艺的VOCs进行有效收集及达标处理排放；</w:t>
            </w:r>
          </w:p>
          <w:p w14:paraId="2D0FB507">
            <w:pPr>
              <w:keepNext w:val="0"/>
              <w:keepLines w:val="0"/>
              <w:pageBreakBefore w:val="0"/>
              <w:widowControl/>
              <w:kinsoku/>
              <w:wordWrap/>
              <w:overflowPunct/>
              <w:topLinePunct w:val="0"/>
              <w:autoSpaceDE/>
              <w:autoSpaceDN/>
              <w:bidi w:val="0"/>
              <w:adjustRightInd/>
              <w:snapToGrid w:val="0"/>
              <w:spacing w:before="63" w:beforeLines="20" w:line="288" w:lineRule="auto"/>
              <w:jc w:val="both"/>
              <w:textAlignment w:val="top"/>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（4）新建工业涂装项目低VOCs含量的涂料使用比例达到50%以上；</w:t>
            </w:r>
          </w:p>
          <w:p w14:paraId="0219F973">
            <w:pPr>
              <w:keepNext w:val="0"/>
              <w:keepLines w:val="0"/>
              <w:pageBreakBefore w:val="0"/>
              <w:widowControl/>
              <w:kinsoku/>
              <w:wordWrap/>
              <w:overflowPunct/>
              <w:topLinePunct w:val="0"/>
              <w:autoSpaceDE/>
              <w:autoSpaceDN/>
              <w:bidi w:val="0"/>
              <w:adjustRightInd/>
              <w:snapToGrid w:val="0"/>
              <w:spacing w:before="63" w:beforeLines="20" w:line="288" w:lineRule="auto"/>
              <w:jc w:val="both"/>
              <w:textAlignment w:val="top"/>
              <w:rPr>
                <w:rFonts w:hint="default" w:ascii="Times New Roman" w:hAnsi="Times New Roman" w:cs="Times New Roman"/>
                <w:color w:val="auto"/>
                <w:sz w:val="21"/>
                <w:szCs w:val="21"/>
              </w:rPr>
            </w:pPr>
            <w:r>
              <w:rPr>
                <w:rFonts w:hint="default" w:ascii="Times New Roman" w:hAnsi="Times New Roman" w:cs="Times New Roman"/>
                <w:b/>
                <w:bCs/>
                <w:color w:val="auto"/>
                <w:kern w:val="0"/>
                <w:sz w:val="21"/>
                <w:szCs w:val="21"/>
                <w:lang w:bidi="ar"/>
              </w:rPr>
              <w:t>（5）对采用酸洗碱洗工艺的，其酸碱性废气应进行收集处理，处理率达90%以上</w:t>
            </w:r>
          </w:p>
        </w:tc>
        <w:tc>
          <w:tcPr>
            <w:tcW w:w="1639" w:type="pct"/>
            <w:tcBorders>
              <w:tl2br w:val="nil"/>
              <w:tr2bl w:val="nil"/>
            </w:tcBorders>
            <w:shd w:val="clear" w:color="auto" w:fill="auto"/>
            <w:vAlign w:val="center"/>
          </w:tcPr>
          <w:p w14:paraId="77F8AA6A">
            <w:pPr>
              <w:keepNext w:val="0"/>
              <w:keepLines w:val="0"/>
              <w:pageBreakBefore w:val="0"/>
              <w:kinsoku/>
              <w:wordWrap/>
              <w:overflowPunct/>
              <w:topLinePunct w:val="0"/>
              <w:autoSpaceDE/>
              <w:autoSpaceDN/>
              <w:bidi w:val="0"/>
              <w:adjustRightInd/>
              <w:snapToGrid w:val="0"/>
              <w:spacing w:before="63" w:beforeLines="20" w:line="288" w:lineRule="auto"/>
              <w:ind w:firstLine="420" w:firstLineChars="200"/>
              <w:jc w:val="both"/>
              <w:rPr>
                <w:rFonts w:hint="default" w:ascii="Times New Roman" w:hAnsi="Times New Roman" w:cs="Times New Roman"/>
                <w:color w:val="auto"/>
                <w:kern w:val="0"/>
                <w:sz w:val="21"/>
                <w:szCs w:val="21"/>
                <w:lang w:eastAsia="zh-CN" w:bidi="ar"/>
              </w:rPr>
            </w:pPr>
            <w:r>
              <w:rPr>
                <w:rFonts w:hint="default" w:ascii="Times New Roman" w:hAnsi="Times New Roman" w:cs="Times New Roman"/>
                <w:color w:val="auto"/>
                <w:kern w:val="0"/>
                <w:sz w:val="21"/>
                <w:szCs w:val="21"/>
                <w:lang w:bidi="ar"/>
              </w:rPr>
              <w:t>采用的磷化剂不含镍，不涉及重点管控重金属污染物排放</w:t>
            </w:r>
            <w:r>
              <w:rPr>
                <w:rFonts w:hint="default" w:ascii="Times New Roman" w:hAnsi="Times New Roman" w:cs="Times New Roman"/>
                <w:color w:val="auto"/>
                <w:kern w:val="0"/>
                <w:sz w:val="21"/>
                <w:szCs w:val="21"/>
                <w:lang w:eastAsia="zh-CN" w:bidi="ar"/>
              </w:rPr>
              <w:t>，</w:t>
            </w:r>
            <w:r>
              <w:rPr>
                <w:rFonts w:hint="default" w:ascii="Times New Roman" w:hAnsi="Times New Roman" w:cs="Times New Roman"/>
                <w:color w:val="auto"/>
                <w:kern w:val="0"/>
                <w:sz w:val="21"/>
                <w:szCs w:val="21"/>
                <w:lang w:val="en-US" w:eastAsia="zh-CN" w:bidi="ar"/>
              </w:rPr>
              <w:t>磷化液含锌，磷化槽</w:t>
            </w:r>
            <w:r>
              <w:rPr>
                <w:rFonts w:hint="default" w:ascii="Times New Roman" w:hAnsi="Times New Roman" w:cs="Times New Roman"/>
                <w:color w:val="auto"/>
                <w:kern w:val="0"/>
                <w:sz w:val="21"/>
                <w:szCs w:val="21"/>
                <w:lang w:bidi="ar"/>
              </w:rPr>
              <w:t>内磷化液循环使用，不外排，使用一段时间槽底产生磷化渣，经磷渣脱水机脱水后，磷化液回用，磷渣暂存于危废间</w:t>
            </w:r>
            <w:r>
              <w:rPr>
                <w:rFonts w:hint="default" w:ascii="Times New Roman" w:hAnsi="Times New Roman" w:cs="Times New Roman"/>
                <w:color w:val="auto"/>
                <w:kern w:val="0"/>
                <w:sz w:val="21"/>
                <w:szCs w:val="21"/>
                <w:lang w:eastAsia="zh-CN" w:bidi="ar"/>
              </w:rPr>
              <w:t>。</w:t>
            </w:r>
          </w:p>
          <w:p w14:paraId="6D35DA25">
            <w:pPr>
              <w:keepNext w:val="0"/>
              <w:keepLines w:val="0"/>
              <w:pageBreakBefore w:val="0"/>
              <w:kinsoku/>
              <w:wordWrap/>
              <w:overflowPunct/>
              <w:topLinePunct w:val="0"/>
              <w:autoSpaceDE/>
              <w:autoSpaceDN/>
              <w:bidi w:val="0"/>
              <w:adjustRightInd/>
              <w:snapToGrid w:val="0"/>
              <w:spacing w:before="63" w:beforeLines="20" w:line="288" w:lineRule="auto"/>
              <w:ind w:firstLine="420" w:firstLineChars="200"/>
              <w:jc w:val="both"/>
              <w:rPr>
                <w:rFonts w:hint="default" w:ascii="Times New Roman" w:hAnsi="Times New Roman"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本项目</w:t>
            </w:r>
            <w:r>
              <w:rPr>
                <w:rFonts w:hint="default" w:ascii="Times New Roman" w:hAnsi="Times New Roman" w:cs="Times New Roman"/>
                <w:color w:val="auto"/>
                <w:kern w:val="0"/>
                <w:sz w:val="21"/>
                <w:szCs w:val="21"/>
                <w:lang w:bidi="ar"/>
              </w:rPr>
              <w:t>剥壳除锈、打磨工序</w:t>
            </w:r>
            <w:r>
              <w:rPr>
                <w:rFonts w:hint="default" w:ascii="Times New Roman" w:hAnsi="Times New Roman" w:cs="Times New Roman"/>
                <w:color w:val="auto"/>
                <w:kern w:val="0"/>
                <w:sz w:val="21"/>
                <w:szCs w:val="21"/>
                <w:lang w:val="en-US" w:eastAsia="zh-CN" w:bidi="ar"/>
              </w:rPr>
              <w:t>产生的含尘气体采用自带的滤筒除尘器处理后由排气筒排放；</w:t>
            </w:r>
          </w:p>
          <w:p w14:paraId="0EB86E6C">
            <w:pPr>
              <w:keepNext w:val="0"/>
              <w:keepLines w:val="0"/>
              <w:pageBreakBefore w:val="0"/>
              <w:kinsoku/>
              <w:wordWrap/>
              <w:overflowPunct/>
              <w:topLinePunct w:val="0"/>
              <w:autoSpaceDE/>
              <w:autoSpaceDN/>
              <w:bidi w:val="0"/>
              <w:adjustRightInd/>
              <w:snapToGrid w:val="0"/>
              <w:spacing w:before="63" w:beforeLines="20" w:line="288" w:lineRule="auto"/>
              <w:ind w:firstLine="420" w:firstLineChars="200"/>
              <w:jc w:val="both"/>
              <w:rPr>
                <w:rFonts w:hint="default" w:ascii="Times New Roman" w:hAnsi="Times New Roman"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表面处理生产线为全封闭，酸洗过程中产生的酸雾经引风机引入碱液喷淋吸收塔处理后，经18m排气筒排放，收集处理率能达90%以上；盐酸储罐呼吸废气、低位回用酸罐废气、低位废酸罐废气，经管道引入碱液喷淋吸收塔处理后，与酸洗槽废气共用1套处理系统处理。</w:t>
            </w:r>
          </w:p>
        </w:tc>
        <w:tc>
          <w:tcPr>
            <w:tcW w:w="301" w:type="pct"/>
            <w:tcBorders>
              <w:tl2br w:val="nil"/>
              <w:tr2bl w:val="nil"/>
            </w:tcBorders>
            <w:shd w:val="clear" w:color="auto" w:fill="auto"/>
            <w:vAlign w:val="center"/>
          </w:tcPr>
          <w:p w14:paraId="572B8192">
            <w:pPr>
              <w:keepNext w:val="0"/>
              <w:keepLines w:val="0"/>
              <w:pageBreakBefore w:val="0"/>
              <w:kinsoku/>
              <w:wordWrap/>
              <w:overflowPunct/>
              <w:topLinePunct w:val="0"/>
              <w:autoSpaceDE/>
              <w:autoSpaceDN/>
              <w:bidi w:val="0"/>
              <w:adjustRightInd/>
              <w:snapToGrid w:val="0"/>
              <w:spacing w:before="63" w:beforeLines="20" w:line="288" w:lineRule="auto"/>
              <w:jc w:val="center"/>
              <w:rPr>
                <w:rFonts w:hint="default" w:ascii="Times New Roman" w:hAnsi="Times New Roman" w:cs="Times New Roman"/>
                <w:color w:val="auto"/>
                <w:sz w:val="21"/>
                <w:szCs w:val="21"/>
                <w:highlight w:val="yellow"/>
              </w:rPr>
            </w:pPr>
            <w:r>
              <w:rPr>
                <w:rFonts w:hint="default" w:ascii="Times New Roman" w:hAnsi="Times New Roman" w:cs="Times New Roman"/>
                <w:color w:val="auto"/>
                <w:kern w:val="0"/>
                <w:sz w:val="21"/>
                <w:szCs w:val="21"/>
                <w:highlight w:val="none"/>
                <w:lang w:bidi="ar"/>
              </w:rPr>
              <w:t>符合</w:t>
            </w:r>
          </w:p>
        </w:tc>
      </w:tr>
      <w:tr w14:paraId="04994C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300" w:type="pct"/>
            <w:tcBorders>
              <w:tl2br w:val="nil"/>
              <w:tr2bl w:val="nil"/>
            </w:tcBorders>
            <w:shd w:val="clear" w:color="auto" w:fill="auto"/>
            <w:vAlign w:val="center"/>
          </w:tcPr>
          <w:p w14:paraId="3C9D98B3">
            <w:pPr>
              <w:keepNext w:val="0"/>
              <w:keepLines w:val="0"/>
              <w:pageBreakBefore w:val="0"/>
              <w:widowControl/>
              <w:kinsoku/>
              <w:wordWrap/>
              <w:overflowPunct/>
              <w:topLinePunct w:val="0"/>
              <w:autoSpaceDE/>
              <w:autoSpaceDN/>
              <w:bidi w:val="0"/>
              <w:adjustRightInd/>
              <w:snapToGrid w:val="0"/>
              <w:spacing w:before="63" w:beforeLines="20" w:line="288" w:lineRule="auto"/>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其他</w:t>
            </w:r>
          </w:p>
          <w:p w14:paraId="656F3454">
            <w:pPr>
              <w:keepNext w:val="0"/>
              <w:keepLines w:val="0"/>
              <w:pageBreakBefore w:val="0"/>
              <w:widowControl/>
              <w:kinsoku/>
              <w:wordWrap/>
              <w:overflowPunct/>
              <w:topLinePunct w:val="0"/>
              <w:autoSpaceDE/>
              <w:autoSpaceDN/>
              <w:bidi w:val="0"/>
              <w:adjustRightInd/>
              <w:snapToGrid w:val="0"/>
              <w:spacing w:before="63" w:beforeLines="20" w:line="288"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要求</w:t>
            </w:r>
          </w:p>
        </w:tc>
        <w:tc>
          <w:tcPr>
            <w:tcW w:w="2758" w:type="pct"/>
            <w:gridSpan w:val="2"/>
            <w:tcBorders>
              <w:tl2br w:val="nil"/>
              <w:tr2bl w:val="nil"/>
            </w:tcBorders>
            <w:shd w:val="clear" w:color="auto" w:fill="auto"/>
            <w:vAlign w:val="center"/>
          </w:tcPr>
          <w:p w14:paraId="52AF13BD">
            <w:pPr>
              <w:keepNext w:val="0"/>
              <w:keepLines w:val="0"/>
              <w:pageBreakBefore w:val="0"/>
              <w:widowControl/>
              <w:numPr>
                <w:ilvl w:val="0"/>
                <w:numId w:val="3"/>
              </w:numPr>
              <w:kinsoku/>
              <w:wordWrap/>
              <w:overflowPunct/>
              <w:topLinePunct w:val="0"/>
              <w:autoSpaceDE/>
              <w:autoSpaceDN/>
              <w:bidi w:val="0"/>
              <w:adjustRightInd/>
              <w:snapToGrid w:val="0"/>
              <w:spacing w:before="63" w:beforeLines="20" w:line="288" w:lineRule="auto"/>
              <w:jc w:val="left"/>
              <w:textAlignment w:val="top"/>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产生恶臭、VOCs 的大气污染型企业以及存在生产、使用、储存有毒有害、易燃易爆的项目在环评阶段应充分论证；禁止引进高耗水、排放重金属或有毒有害物质、氮磷营养盐以及不能满足污水处理厂处理水质要求的企业。</w:t>
            </w:r>
          </w:p>
          <w:p w14:paraId="3B177B75">
            <w:pPr>
              <w:keepNext w:val="0"/>
              <w:keepLines w:val="0"/>
              <w:pageBreakBefore w:val="0"/>
              <w:widowControl/>
              <w:numPr>
                <w:ilvl w:val="0"/>
                <w:numId w:val="0"/>
              </w:numPr>
              <w:kinsoku/>
              <w:wordWrap/>
              <w:overflowPunct/>
              <w:topLinePunct w:val="0"/>
              <w:autoSpaceDE/>
              <w:autoSpaceDN/>
              <w:bidi w:val="0"/>
              <w:adjustRightInd/>
              <w:snapToGrid w:val="0"/>
              <w:spacing w:before="63" w:beforeLines="20" w:line="288" w:lineRule="auto"/>
              <w:jc w:val="left"/>
              <w:textAlignment w:val="top"/>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2、对于限制类项目及其他未明确项目，应符合低能耗、低水耗、低污染、低风险等特性，事先进行入园选址环境可行性论证，优先引入与主导产业配套或可延伸产业链条的相关项目，如塑料零件制品（C2929）、电器设备绝缘零件（C3037）等。</w:t>
            </w:r>
            <w:r>
              <w:rPr>
                <w:rFonts w:hint="default" w:ascii="Times New Roman" w:hAnsi="Times New Roman" w:cs="Times New Roman"/>
                <w:color w:val="auto"/>
                <w:kern w:val="0"/>
                <w:sz w:val="21"/>
                <w:szCs w:val="21"/>
                <w:highlight w:val="none"/>
                <w:lang w:bidi="ar"/>
              </w:rPr>
              <w:br w:type="textWrapping"/>
            </w:r>
            <w:r>
              <w:rPr>
                <w:rFonts w:hint="default" w:ascii="Times New Roman" w:hAnsi="Times New Roman" w:cs="Times New Roman"/>
                <w:color w:val="auto"/>
                <w:kern w:val="0"/>
                <w:sz w:val="21"/>
                <w:szCs w:val="21"/>
                <w:highlight w:val="none"/>
                <w:lang w:bidi="ar"/>
              </w:rPr>
              <w:t>3、建设项目应符合《福建省工业项目建设用地控制指标》要求；禁止清洁生产水平低于二级的企业入驻；</w:t>
            </w:r>
            <w:r>
              <w:rPr>
                <w:rFonts w:hint="default" w:ascii="Times New Roman" w:hAnsi="Times New Roman" w:cs="Times New Roman"/>
                <w:color w:val="auto"/>
                <w:kern w:val="0"/>
                <w:sz w:val="21"/>
                <w:szCs w:val="21"/>
                <w:highlight w:val="none"/>
                <w:lang w:bidi="ar"/>
              </w:rPr>
              <w:br w:type="textWrapping"/>
            </w:r>
            <w:r>
              <w:rPr>
                <w:rFonts w:hint="default" w:ascii="Times New Roman" w:hAnsi="Times New Roman" w:cs="Times New Roman"/>
                <w:color w:val="auto"/>
                <w:kern w:val="0"/>
                <w:sz w:val="21"/>
                <w:szCs w:val="21"/>
                <w:highlight w:val="none"/>
                <w:lang w:bidi="ar"/>
              </w:rPr>
              <w:t>4、不符合产业定位的现状企业除环保设施和生产工艺环境友好型技术提升外，不得进行改扩建，并引导逐步搬迁。</w:t>
            </w:r>
          </w:p>
        </w:tc>
        <w:tc>
          <w:tcPr>
            <w:tcW w:w="1639" w:type="pct"/>
            <w:tcBorders>
              <w:tl2br w:val="nil"/>
              <w:tr2bl w:val="nil"/>
            </w:tcBorders>
            <w:shd w:val="clear" w:color="auto" w:fill="auto"/>
            <w:vAlign w:val="center"/>
          </w:tcPr>
          <w:p w14:paraId="2C96A156">
            <w:pPr>
              <w:keepNext w:val="0"/>
              <w:keepLines w:val="0"/>
              <w:pageBreakBefore w:val="0"/>
              <w:kinsoku/>
              <w:wordWrap/>
              <w:overflowPunct/>
              <w:topLinePunct w:val="0"/>
              <w:autoSpaceDE/>
              <w:autoSpaceDN/>
              <w:bidi w:val="0"/>
              <w:adjustRightInd/>
              <w:snapToGrid w:val="0"/>
              <w:spacing w:before="63" w:beforeLines="20" w:line="288" w:lineRule="auto"/>
              <w:ind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本项目废气污染物均采取相应的治理措施处理达标后排放；产生的生产废水处理达标后排入金古北片区污水处理厂处理，处理后的废水能达到接管要求；</w:t>
            </w:r>
          </w:p>
          <w:p w14:paraId="386FCE89">
            <w:pPr>
              <w:keepNext w:val="0"/>
              <w:keepLines w:val="0"/>
              <w:pageBreakBefore w:val="0"/>
              <w:kinsoku/>
              <w:wordWrap/>
              <w:overflowPunct/>
              <w:topLinePunct w:val="0"/>
              <w:autoSpaceDE/>
              <w:autoSpaceDN/>
              <w:bidi w:val="0"/>
              <w:adjustRightInd/>
              <w:snapToGrid w:val="0"/>
              <w:spacing w:before="63" w:beforeLines="20" w:line="288" w:lineRule="auto"/>
              <w:ind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项目选址位于工业用地，取得入园许可</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附件十三</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；本项目采用清洁能源电和天然气作为能源，与同类型行业相比，生产设备先进，</w:t>
            </w:r>
            <w:r>
              <w:rPr>
                <w:rFonts w:hint="default" w:ascii="Times New Roman" w:hAnsi="Times New Roman" w:cs="Times New Roman"/>
                <w:color w:val="auto"/>
                <w:kern w:val="0"/>
                <w:sz w:val="21"/>
                <w:szCs w:val="21"/>
                <w:highlight w:val="none"/>
                <w:lang w:bidi="ar"/>
              </w:rPr>
              <w:t>清洁生产水平为国内先进企业；</w:t>
            </w:r>
            <w:r>
              <w:rPr>
                <w:rFonts w:hint="default" w:ascii="Times New Roman" w:hAnsi="Times New Roman" w:cs="Times New Roman"/>
                <w:color w:val="auto"/>
                <w:sz w:val="21"/>
                <w:szCs w:val="21"/>
                <w:highlight w:val="none"/>
              </w:rPr>
              <w:t>本项目</w:t>
            </w:r>
            <w:r>
              <w:rPr>
                <w:rFonts w:hint="default" w:ascii="Times New Roman" w:hAnsi="Times New Roman" w:cs="Times New Roman"/>
                <w:snapToGrid w:val="0"/>
                <w:color w:val="auto"/>
                <w:kern w:val="0"/>
                <w:sz w:val="21"/>
                <w:szCs w:val="21"/>
                <w:highlight w:val="none"/>
              </w:rPr>
              <w:t>属于</w:t>
            </w:r>
            <w:r>
              <w:rPr>
                <w:rFonts w:hint="default" w:ascii="Times New Roman" w:hAnsi="Times New Roman" w:cs="Times New Roman"/>
                <w:color w:val="auto"/>
                <w:sz w:val="21"/>
                <w:szCs w:val="21"/>
                <w:highlight w:val="none"/>
              </w:rPr>
              <w:t>金属制品业，符合《沙县金古经济开发区北片区控制性详细规划》及规划环评产业定位。</w:t>
            </w:r>
          </w:p>
        </w:tc>
        <w:tc>
          <w:tcPr>
            <w:tcW w:w="301" w:type="pct"/>
            <w:tcBorders>
              <w:tl2br w:val="nil"/>
              <w:tr2bl w:val="nil"/>
            </w:tcBorders>
            <w:shd w:val="clear" w:color="auto" w:fill="auto"/>
            <w:vAlign w:val="center"/>
          </w:tcPr>
          <w:p w14:paraId="146A5E7E">
            <w:pPr>
              <w:keepNext w:val="0"/>
              <w:keepLines w:val="0"/>
              <w:pageBreakBefore w:val="0"/>
              <w:kinsoku/>
              <w:wordWrap/>
              <w:overflowPunct/>
              <w:topLinePunct w:val="0"/>
              <w:autoSpaceDE/>
              <w:autoSpaceDN/>
              <w:bidi w:val="0"/>
              <w:adjustRightInd/>
              <w:snapToGrid w:val="0"/>
              <w:spacing w:before="63" w:beforeLines="20" w:line="288" w:lineRule="auto"/>
              <w:jc w:val="center"/>
              <w:rPr>
                <w:rFonts w:hint="default" w:ascii="Times New Roman" w:hAnsi="Times New Roman" w:cs="Times New Roman"/>
                <w:color w:val="auto"/>
                <w:sz w:val="21"/>
                <w:szCs w:val="21"/>
              </w:rPr>
            </w:pPr>
          </w:p>
        </w:tc>
      </w:tr>
    </w:tbl>
    <w:p w14:paraId="4D89F009">
      <w:pPr>
        <w:pStyle w:val="17"/>
        <w:snapToGrid w:val="0"/>
        <w:spacing w:before="72" w:beforeLines="30" w:after="72" w:afterLines="30"/>
        <w:ind w:firstLine="480"/>
        <w:jc w:val="center"/>
        <w:rPr>
          <w:rFonts w:hint="default" w:ascii="Times New Roman" w:hAnsi="Times New Roman" w:eastAsia="黑体" w:cs="Times New Roman"/>
          <w:bCs/>
          <w:color w:val="auto"/>
          <w:kern w:val="2"/>
          <w:sz w:val="24"/>
          <w:szCs w:val="24"/>
        </w:rPr>
      </w:pPr>
    </w:p>
    <w:p w14:paraId="02584D7C">
      <w:pPr>
        <w:pStyle w:val="17"/>
        <w:snapToGrid w:val="0"/>
        <w:spacing w:before="72" w:beforeLines="30" w:after="72" w:afterLines="30"/>
        <w:ind w:firstLine="480"/>
        <w:jc w:val="center"/>
        <w:rPr>
          <w:rFonts w:hint="default" w:ascii="Times New Roman" w:hAnsi="Times New Roman" w:eastAsia="黑体" w:cs="Times New Roman"/>
          <w:bCs/>
          <w:color w:val="auto"/>
          <w:kern w:val="2"/>
          <w:sz w:val="24"/>
          <w:szCs w:val="24"/>
        </w:rPr>
      </w:pPr>
    </w:p>
    <w:p w14:paraId="0252F301">
      <w:pPr>
        <w:pStyle w:val="17"/>
        <w:adjustRightInd w:val="0"/>
        <w:snapToGrid w:val="0"/>
        <w:spacing w:after="0"/>
        <w:ind w:left="0" w:leftChars="0" w:firstLine="0" w:firstLineChars="0"/>
        <w:jc w:val="center"/>
        <w:rPr>
          <w:rFonts w:hint="default" w:ascii="Times New Roman" w:hAnsi="Times New Roman" w:cs="Times New Roman"/>
          <w:b/>
          <w:color w:val="auto"/>
          <w:kern w:val="2"/>
          <w:sz w:val="24"/>
          <w:szCs w:val="24"/>
        </w:rPr>
      </w:pPr>
    </w:p>
    <w:p w14:paraId="5FFF456D">
      <w:pPr>
        <w:rPr>
          <w:rFonts w:hint="default" w:ascii="Times New Roman" w:hAnsi="Times New Roman" w:cs="Times New Roman"/>
          <w:color w:val="auto"/>
        </w:rPr>
        <w:sectPr>
          <w:pgSz w:w="16838" w:h="11906" w:orient="landscape"/>
          <w:pgMar w:top="1417" w:right="1417" w:bottom="1417" w:left="1417" w:header="851" w:footer="1077" w:gutter="0"/>
          <w:pgBorders>
            <w:top w:val="none" w:sz="0" w:space="0"/>
            <w:left w:val="none" w:sz="0" w:space="0"/>
            <w:bottom w:val="none" w:sz="0" w:space="0"/>
            <w:right w:val="none" w:sz="0" w:space="0"/>
          </w:pgBorders>
          <w:cols w:space="720" w:num="1"/>
          <w:docGrid w:linePitch="312" w:charSpace="0"/>
        </w:sectPr>
      </w:pPr>
    </w:p>
    <w:p w14:paraId="4967BDAC">
      <w:pPr>
        <w:pStyle w:val="17"/>
        <w:adjustRightInd w:val="0"/>
        <w:snapToGrid w:val="0"/>
        <w:spacing w:before="113" w:beforeLines="30" w:after="113" w:afterLines="30"/>
        <w:ind w:left="0" w:leftChars="0" w:firstLine="0" w:firstLineChars="0"/>
        <w:jc w:val="center"/>
        <w:rPr>
          <w:rFonts w:hint="default" w:ascii="Times New Roman" w:hAnsi="Times New Roman" w:eastAsia="黑体" w:cs="Times New Roman"/>
          <w:bCs/>
          <w:color w:val="auto"/>
          <w:kern w:val="2"/>
          <w:sz w:val="24"/>
          <w:szCs w:val="24"/>
        </w:rPr>
      </w:pPr>
      <w:r>
        <w:rPr>
          <w:rFonts w:hint="default" w:ascii="Times New Roman" w:hAnsi="Times New Roman" w:eastAsia="黑体" w:cs="Times New Roman"/>
          <w:bCs/>
          <w:color w:val="auto"/>
          <w:kern w:val="2"/>
          <w:sz w:val="24"/>
          <w:szCs w:val="24"/>
        </w:rPr>
        <w:t>表1-2  项目与《沙县金古经济开发区北片区控制性详细规划（2021年版）环境影响报告书》审查意见符合性分析</w:t>
      </w:r>
    </w:p>
    <w:tbl>
      <w:tblPr>
        <w:tblStyle w:val="3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85"/>
        <w:gridCol w:w="6732"/>
      </w:tblGrid>
      <w:tr w14:paraId="79F7F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blHeader/>
        </w:trPr>
        <w:tc>
          <w:tcPr>
            <w:tcW w:w="2632" w:type="pct"/>
            <w:shd w:val="clear" w:color="auto" w:fill="auto"/>
            <w:vAlign w:val="center"/>
          </w:tcPr>
          <w:p w14:paraId="27C72EC3">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规划环评审查意见</w:t>
            </w:r>
          </w:p>
        </w:tc>
        <w:tc>
          <w:tcPr>
            <w:tcW w:w="2367" w:type="pct"/>
            <w:shd w:val="clear" w:color="auto" w:fill="auto"/>
            <w:vAlign w:val="center"/>
          </w:tcPr>
          <w:p w14:paraId="7B7E0FC6">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本项目</w:t>
            </w:r>
          </w:p>
        </w:tc>
      </w:tr>
      <w:tr w14:paraId="3EC53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5" w:hRule="atLeast"/>
        </w:trPr>
        <w:tc>
          <w:tcPr>
            <w:tcW w:w="2632" w:type="pct"/>
            <w:shd w:val="clear" w:color="auto" w:fill="auto"/>
            <w:vAlign w:val="center"/>
          </w:tcPr>
          <w:p w14:paraId="13D672ED">
            <w:pPr>
              <w:widowControl/>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坚持规划引领发展。坚持生态优先和绿色发展，严格产业准入，合理安排建设时序，控制开发强度。规划实施过程应坚持生态功能不降低、水土资源不超载、污染物排放总量不突破、环境准入不降低的原则，推动区域生态环境质量的持续改善。</w:t>
            </w:r>
          </w:p>
        </w:tc>
        <w:tc>
          <w:tcPr>
            <w:tcW w:w="2367" w:type="pct"/>
            <w:shd w:val="clear" w:color="auto" w:fill="auto"/>
            <w:vAlign w:val="center"/>
          </w:tcPr>
          <w:p w14:paraId="03631B53">
            <w:pPr>
              <w:keepNext w:val="0"/>
              <w:keepLines w:val="0"/>
              <w:pageBreakBefore w:val="0"/>
              <w:widowControl/>
              <w:kinsoku/>
              <w:wordWrap/>
              <w:overflowPunct/>
              <w:topLinePunct w:val="0"/>
              <w:autoSpaceDE/>
              <w:autoSpaceDN/>
              <w:bidi w:val="0"/>
              <w:adjustRightInd/>
              <w:snapToGrid/>
              <w:ind w:firstLine="420" w:firstLineChars="200"/>
              <w:textAlignment w:val="center"/>
              <w:rPr>
                <w:rFonts w:hint="default" w:ascii="Times New Roman" w:hAnsi="Times New Roman" w:cs="Times New Roman"/>
                <w:color w:val="auto"/>
                <w:sz w:val="21"/>
                <w:szCs w:val="21"/>
                <w:highlight w:val="yellow"/>
              </w:rPr>
            </w:pPr>
            <w:r>
              <w:rPr>
                <w:rFonts w:hint="default" w:ascii="Times New Roman" w:hAnsi="Times New Roman" w:cs="Times New Roman"/>
                <w:color w:val="auto"/>
                <w:sz w:val="21"/>
                <w:szCs w:val="21"/>
              </w:rPr>
              <w:t>项</w:t>
            </w:r>
            <w:r>
              <w:rPr>
                <w:rFonts w:hint="default" w:ascii="Times New Roman" w:hAnsi="Times New Roman" w:cs="Times New Roman"/>
                <w:color w:val="auto"/>
                <w:sz w:val="21"/>
                <w:szCs w:val="21"/>
                <w:highlight w:val="none"/>
              </w:rPr>
              <w:t>目属于金属制品业，项目的建设符合园区规划及产业发展规划</w:t>
            </w:r>
            <w:r>
              <w:rPr>
                <w:rFonts w:hint="default" w:ascii="Times New Roman" w:hAnsi="Times New Roman" w:cs="Times New Roman"/>
                <w:color w:val="auto"/>
                <w:kern w:val="0"/>
                <w:sz w:val="21"/>
                <w:szCs w:val="21"/>
                <w:highlight w:val="none"/>
                <w:lang w:bidi="ar"/>
              </w:rPr>
              <w:t>，符合园区产业准入条件，本项目建成运行后严格执行本报告提出的环保措施，不会突破区域环境质量底线。</w:t>
            </w:r>
          </w:p>
        </w:tc>
      </w:tr>
      <w:tr w14:paraId="3DACA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0" w:hRule="atLeast"/>
        </w:trPr>
        <w:tc>
          <w:tcPr>
            <w:tcW w:w="2632" w:type="pct"/>
            <w:shd w:val="clear" w:color="auto" w:fill="auto"/>
            <w:vAlign w:val="center"/>
          </w:tcPr>
          <w:p w14:paraId="12AE779A">
            <w:pPr>
              <w:widowControl/>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优化园区空间布局。规划实施应充分衔接国土空间规划和省市“三线一单”等成果。落实报告书提出的空间管控要求，在规划工业用地与周边规划居住用地预留足够的环保隔离带，减缓企业生产对居民生活的影响。</w:t>
            </w:r>
          </w:p>
        </w:tc>
        <w:tc>
          <w:tcPr>
            <w:tcW w:w="2367" w:type="pct"/>
            <w:shd w:val="clear" w:color="auto" w:fill="auto"/>
            <w:vAlign w:val="center"/>
          </w:tcPr>
          <w:p w14:paraId="227C969A">
            <w:pPr>
              <w:keepNext w:val="0"/>
              <w:keepLines w:val="0"/>
              <w:pageBreakBefore w:val="0"/>
              <w:widowControl/>
              <w:kinsoku/>
              <w:wordWrap/>
              <w:overflowPunct/>
              <w:topLinePunct w:val="0"/>
              <w:autoSpaceDE/>
              <w:autoSpaceDN/>
              <w:bidi w:val="0"/>
              <w:adjustRightInd/>
              <w:snapToGrid/>
              <w:ind w:firstLine="420" w:firstLineChars="200"/>
              <w:textAlignment w:val="center"/>
              <w:rPr>
                <w:rFonts w:hint="default" w:ascii="Times New Roman" w:hAnsi="Times New Roman" w:cs="Times New Roman"/>
                <w:color w:val="auto"/>
                <w:sz w:val="21"/>
                <w:szCs w:val="21"/>
                <w:highlight w:val="yellow"/>
              </w:rPr>
            </w:pPr>
            <w:r>
              <w:rPr>
                <w:rFonts w:hint="default" w:ascii="Times New Roman" w:hAnsi="Times New Roman" w:cs="Times New Roman"/>
                <w:color w:val="auto"/>
                <w:kern w:val="0"/>
                <w:sz w:val="21"/>
                <w:szCs w:val="21"/>
                <w:highlight w:val="none"/>
                <w:lang w:bidi="ar"/>
              </w:rPr>
              <w:t>项目选址和建设符合</w:t>
            </w:r>
            <w:r>
              <w:rPr>
                <w:rFonts w:hint="default" w:ascii="Times New Roman" w:hAnsi="Times New Roman" w:cs="Times New Roman"/>
                <w:color w:val="auto"/>
                <w:lang w:val="en-US" w:eastAsia="zh-CN"/>
              </w:rPr>
              <w:t>三明市国土空间规划及</w:t>
            </w:r>
            <w:r>
              <w:rPr>
                <w:rFonts w:hint="default" w:ascii="Times New Roman" w:hAnsi="Times New Roman" w:cs="Times New Roman"/>
                <w:color w:val="auto"/>
                <w:kern w:val="0"/>
                <w:sz w:val="21"/>
                <w:szCs w:val="21"/>
                <w:highlight w:val="none"/>
                <w:lang w:bidi="ar"/>
              </w:rPr>
              <w:t>“三线一单”控制要求，项目用地为工业用地，</w:t>
            </w:r>
            <w:r>
              <w:rPr>
                <w:rFonts w:hint="default" w:ascii="Times New Roman" w:hAnsi="Times New Roman" w:cs="Times New Roman"/>
                <w:color w:val="auto"/>
                <w:kern w:val="0"/>
                <w:sz w:val="21"/>
                <w:szCs w:val="21"/>
                <w:highlight w:val="none"/>
                <w:lang w:val="en-US" w:eastAsia="zh-CN" w:bidi="ar"/>
              </w:rPr>
              <w:t>厂界</w:t>
            </w:r>
            <w:r>
              <w:rPr>
                <w:rFonts w:hint="default" w:ascii="Times New Roman" w:hAnsi="Times New Roman" w:cs="Times New Roman"/>
                <w:color w:val="auto"/>
                <w:kern w:val="0"/>
                <w:sz w:val="21"/>
                <w:szCs w:val="21"/>
                <w:highlight w:val="none"/>
                <w:lang w:bidi="ar"/>
              </w:rPr>
              <w:t>距离最近敏感目标古县村10</w:t>
            </w:r>
            <w:r>
              <w:rPr>
                <w:rFonts w:hint="default" w:ascii="Times New Roman" w:hAnsi="Times New Roman" w:cs="Times New Roman"/>
                <w:color w:val="auto"/>
                <w:kern w:val="0"/>
                <w:sz w:val="21"/>
                <w:szCs w:val="21"/>
                <w:highlight w:val="none"/>
                <w:lang w:val="en-US" w:eastAsia="zh-CN" w:bidi="ar"/>
              </w:rPr>
              <w:t>9</w:t>
            </w:r>
            <w:r>
              <w:rPr>
                <w:rFonts w:hint="default" w:ascii="Times New Roman" w:hAnsi="Times New Roman" w:cs="Times New Roman"/>
                <w:color w:val="auto"/>
                <w:kern w:val="0"/>
                <w:sz w:val="21"/>
                <w:szCs w:val="21"/>
                <w:highlight w:val="none"/>
                <w:lang w:bidi="ar"/>
              </w:rPr>
              <w:t>m。</w:t>
            </w:r>
          </w:p>
        </w:tc>
      </w:tr>
      <w:tr w14:paraId="72777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5" w:hRule="atLeast"/>
        </w:trPr>
        <w:tc>
          <w:tcPr>
            <w:tcW w:w="2632" w:type="pct"/>
            <w:shd w:val="clear" w:color="auto" w:fill="auto"/>
            <w:vAlign w:val="center"/>
          </w:tcPr>
          <w:p w14:paraId="074F26AC">
            <w:pPr>
              <w:widowControl/>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严守环境质量底线。根据国家和省、市关于大气、水、土壤等污染防治攻坚战和蓝天保卫战的相关要求，进一步强化污染物总量控制，采取有效措施减少主要污染物、重金属污染物和挥发性有机物等的排放量。</w:t>
            </w:r>
          </w:p>
        </w:tc>
        <w:tc>
          <w:tcPr>
            <w:tcW w:w="2367" w:type="pct"/>
            <w:shd w:val="clear" w:color="auto" w:fill="auto"/>
            <w:vAlign w:val="center"/>
          </w:tcPr>
          <w:p w14:paraId="4710E5B3">
            <w:pPr>
              <w:keepNext w:val="0"/>
              <w:keepLines w:val="0"/>
              <w:pageBreakBefore w:val="0"/>
              <w:widowControl/>
              <w:kinsoku/>
              <w:wordWrap/>
              <w:overflowPunct/>
              <w:topLinePunct w:val="0"/>
              <w:autoSpaceDE/>
              <w:autoSpaceDN/>
              <w:bidi w:val="0"/>
              <w:adjustRightInd/>
              <w:snapToGrid/>
              <w:ind w:firstLine="420" w:firstLineChars="200"/>
              <w:textAlignment w:val="center"/>
              <w:rPr>
                <w:rFonts w:hint="default" w:ascii="Times New Roman" w:hAnsi="Times New Roman" w:cs="Times New Roman"/>
                <w:color w:val="auto"/>
                <w:sz w:val="21"/>
                <w:szCs w:val="21"/>
                <w:highlight w:val="yellow"/>
              </w:rPr>
            </w:pPr>
            <w:r>
              <w:rPr>
                <w:rFonts w:hint="default" w:ascii="Times New Roman" w:hAnsi="Times New Roman" w:cs="Times New Roman"/>
                <w:color w:val="auto"/>
                <w:kern w:val="0"/>
                <w:sz w:val="21"/>
                <w:szCs w:val="21"/>
                <w:highlight w:val="none"/>
                <w:lang w:bidi="ar"/>
              </w:rPr>
              <w:t>项目不涉及重点管控重金属和挥发性有机物排放，各项污染物经防治措施处理后，各种污染物能够达标排放。工程建设的环境影响较小，不会</w:t>
            </w:r>
            <w:r>
              <w:rPr>
                <w:rFonts w:hint="default" w:ascii="Times New Roman" w:hAnsi="Times New Roman" w:cs="Times New Roman"/>
                <w:color w:val="auto"/>
                <w:lang w:val="en-US" w:eastAsia="zh-CN"/>
              </w:rPr>
              <w:t>突破区域环境质量底线</w:t>
            </w:r>
            <w:r>
              <w:rPr>
                <w:rFonts w:hint="default" w:ascii="Times New Roman" w:hAnsi="Times New Roman" w:cs="Times New Roman"/>
                <w:color w:val="auto"/>
                <w:kern w:val="0"/>
                <w:sz w:val="21"/>
                <w:szCs w:val="21"/>
                <w:highlight w:val="none"/>
                <w:lang w:bidi="ar"/>
              </w:rPr>
              <w:t>。</w:t>
            </w:r>
          </w:p>
        </w:tc>
      </w:tr>
      <w:tr w14:paraId="685BD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0" w:hRule="atLeast"/>
        </w:trPr>
        <w:tc>
          <w:tcPr>
            <w:tcW w:w="2632" w:type="pct"/>
            <w:shd w:val="clear" w:color="auto" w:fill="auto"/>
            <w:vAlign w:val="center"/>
          </w:tcPr>
          <w:p w14:paraId="5E8A3A0C">
            <w:pPr>
              <w:widowControl/>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严格生态环境准入。落实报告书提出的生态环境准入要求，引进项目的污染治理技术水平以及单位产品能耗、水耗等应达到国内同行业清洁生产先进水平。做好重点管控重金属水污染物、氮、磷污染物排放的控制。</w:t>
            </w:r>
          </w:p>
        </w:tc>
        <w:tc>
          <w:tcPr>
            <w:tcW w:w="2367" w:type="pct"/>
            <w:shd w:val="clear" w:color="auto" w:fill="auto"/>
            <w:vAlign w:val="center"/>
          </w:tcPr>
          <w:p w14:paraId="61C80547">
            <w:pPr>
              <w:keepNext w:val="0"/>
              <w:keepLines w:val="0"/>
              <w:pageBreakBefore w:val="0"/>
              <w:widowControl/>
              <w:kinsoku/>
              <w:wordWrap/>
              <w:overflowPunct/>
              <w:topLinePunct w:val="0"/>
              <w:autoSpaceDE/>
              <w:autoSpaceDN/>
              <w:bidi w:val="0"/>
              <w:adjustRightInd/>
              <w:snapToGrid/>
              <w:ind w:firstLine="420" w:firstLineChars="200"/>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项目的污染治理技术水平以及单位产品能耗、水耗等能达到国内同行业清洁生产先进水平。</w:t>
            </w:r>
            <w:r>
              <w:rPr>
                <w:rFonts w:hint="default" w:ascii="Times New Roman" w:hAnsi="Times New Roman" w:cs="Times New Roman"/>
                <w:color w:val="auto"/>
                <w:kern w:val="0"/>
                <w:sz w:val="21"/>
                <w:szCs w:val="21"/>
                <w:highlight w:val="none"/>
                <w:lang w:val="en-US" w:eastAsia="zh-CN" w:bidi="ar"/>
              </w:rPr>
              <w:t>表面处理生产线废水污染物含锌、</w:t>
            </w:r>
            <w:r>
              <w:rPr>
                <w:rFonts w:hint="default" w:ascii="Times New Roman" w:hAnsi="Times New Roman" w:cs="Times New Roman"/>
                <w:color w:val="auto"/>
                <w:kern w:val="0"/>
                <w:sz w:val="21"/>
                <w:szCs w:val="21"/>
                <w:highlight w:val="none"/>
                <w:lang w:bidi="ar"/>
              </w:rPr>
              <w:t>氮、磷</w:t>
            </w:r>
            <w:r>
              <w:rPr>
                <w:rFonts w:hint="default" w:ascii="Times New Roman" w:hAnsi="Times New Roman" w:cs="Times New Roman"/>
                <w:color w:val="auto"/>
                <w:kern w:val="0"/>
                <w:sz w:val="21"/>
                <w:szCs w:val="21"/>
                <w:highlight w:val="none"/>
                <w:lang w:val="en-US" w:eastAsia="zh-CN" w:bidi="ar"/>
              </w:rPr>
              <w:t>等，采用中和-絮凝</w:t>
            </w:r>
            <w:r>
              <w:rPr>
                <w:rFonts w:hint="default" w:ascii="Times New Roman" w:hAnsi="Times New Roman" w:cs="Times New Roman"/>
                <w:color w:val="auto"/>
                <w:sz w:val="21"/>
                <w:szCs w:val="21"/>
                <w:lang w:val="en-US" w:eastAsia="zh-CN"/>
              </w:rPr>
              <w:t>沉淀-过滤法治理后，</w:t>
            </w:r>
            <w:r>
              <w:rPr>
                <w:rFonts w:hint="default" w:ascii="Times New Roman" w:hAnsi="Times New Roman" w:cs="Times New Roman"/>
                <w:color w:val="auto"/>
                <w:kern w:val="0"/>
                <w:sz w:val="21"/>
                <w:szCs w:val="21"/>
                <w:highlight w:val="none"/>
                <w:lang w:bidi="ar"/>
              </w:rPr>
              <w:t>废水污染物能</w:t>
            </w:r>
            <w:r>
              <w:rPr>
                <w:rFonts w:hint="default" w:ascii="Times New Roman" w:hAnsi="Times New Roman" w:cs="Times New Roman"/>
                <w:color w:val="auto"/>
                <w:kern w:val="0"/>
                <w:sz w:val="21"/>
                <w:szCs w:val="21"/>
                <w:highlight w:val="none"/>
                <w:lang w:val="en-US" w:eastAsia="zh-CN" w:bidi="ar"/>
              </w:rPr>
              <w:t>得到相应的</w:t>
            </w:r>
            <w:r>
              <w:rPr>
                <w:rFonts w:hint="default" w:ascii="Times New Roman" w:hAnsi="Times New Roman" w:cs="Times New Roman"/>
                <w:color w:val="auto"/>
                <w:kern w:val="0"/>
                <w:sz w:val="21"/>
                <w:szCs w:val="21"/>
                <w:lang w:bidi="ar"/>
              </w:rPr>
              <w:t>控制</w:t>
            </w:r>
            <w:r>
              <w:rPr>
                <w:rFonts w:hint="default" w:ascii="Times New Roman" w:hAnsi="Times New Roman" w:cs="Times New Roman"/>
                <w:color w:val="auto"/>
                <w:kern w:val="0"/>
                <w:sz w:val="21"/>
                <w:szCs w:val="21"/>
                <w:lang w:eastAsia="zh-CN" w:bidi="ar"/>
              </w:rPr>
              <w:t>，</w:t>
            </w:r>
            <w:r>
              <w:rPr>
                <w:rFonts w:hint="default" w:ascii="Times New Roman" w:hAnsi="Times New Roman" w:cs="Times New Roman"/>
                <w:color w:val="auto"/>
                <w:kern w:val="0"/>
                <w:sz w:val="21"/>
                <w:szCs w:val="21"/>
                <w:lang w:val="en-US" w:eastAsia="zh-CN" w:bidi="ar"/>
              </w:rPr>
              <w:t>可以</w:t>
            </w:r>
            <w:r>
              <w:rPr>
                <w:rFonts w:hint="default" w:ascii="Times New Roman" w:hAnsi="Times New Roman" w:cs="Times New Roman"/>
                <w:color w:val="auto"/>
                <w:kern w:val="0"/>
                <w:sz w:val="21"/>
                <w:szCs w:val="21"/>
                <w:highlight w:val="none"/>
                <w:lang w:bidi="ar"/>
              </w:rPr>
              <w:t>达</w:t>
            </w:r>
            <w:r>
              <w:rPr>
                <w:rFonts w:hint="default" w:ascii="Times New Roman" w:hAnsi="Times New Roman" w:cs="Times New Roman"/>
                <w:color w:val="auto"/>
                <w:kern w:val="0"/>
                <w:sz w:val="21"/>
                <w:szCs w:val="21"/>
                <w:highlight w:val="none"/>
                <w:lang w:val="en-US" w:eastAsia="zh-CN" w:bidi="ar"/>
              </w:rPr>
              <w:t>到相应的排放标准</w:t>
            </w:r>
            <w:r>
              <w:rPr>
                <w:rFonts w:hint="default" w:ascii="Times New Roman" w:hAnsi="Times New Roman" w:cs="Times New Roman"/>
                <w:color w:val="auto"/>
                <w:kern w:val="0"/>
                <w:sz w:val="21"/>
                <w:szCs w:val="21"/>
                <w:highlight w:val="none"/>
                <w:lang w:bidi="ar"/>
              </w:rPr>
              <w:t>。</w:t>
            </w:r>
          </w:p>
          <w:p w14:paraId="089FA676">
            <w:pPr>
              <w:keepNext w:val="0"/>
              <w:keepLines w:val="0"/>
              <w:pageBreakBefore w:val="0"/>
              <w:widowControl/>
              <w:kinsoku/>
              <w:wordWrap/>
              <w:overflowPunct/>
              <w:topLinePunct w:val="0"/>
              <w:autoSpaceDE/>
              <w:autoSpaceDN/>
              <w:bidi w:val="0"/>
              <w:adjustRightInd/>
              <w:snapToGrid/>
              <w:ind w:firstLine="420" w:firstLineChars="200"/>
              <w:textAlignment w:val="center"/>
              <w:rPr>
                <w:rFonts w:hint="default" w:ascii="Times New Roman" w:hAnsi="Times New Roman" w:cs="Times New Roman"/>
                <w:color w:val="auto"/>
                <w:kern w:val="0"/>
                <w:sz w:val="21"/>
                <w:szCs w:val="21"/>
                <w:highlight w:val="yellow"/>
                <w:lang w:bidi="ar"/>
              </w:rPr>
            </w:pPr>
            <w:r>
              <w:rPr>
                <w:rFonts w:hint="default" w:ascii="Times New Roman" w:hAnsi="Times New Roman" w:cs="Times New Roman"/>
                <w:color w:val="auto"/>
                <w:kern w:val="0"/>
                <w:sz w:val="21"/>
                <w:szCs w:val="21"/>
                <w:lang w:bidi="ar"/>
              </w:rPr>
              <w:t>根据《关于进一步加强重金属污染防控的意见》（环固体〔2022〕17号）：重点防控的重金属污染物是铅、汞、镉、铬、砷、铊和锑，并对铅、汞、镉、铬和砷五种重点重金属污染物排放量实施总量控制。本项目不涉及以上</w:t>
            </w:r>
            <w:r>
              <w:rPr>
                <w:rFonts w:hint="default" w:ascii="Times New Roman" w:hAnsi="Times New Roman" w:cs="Times New Roman"/>
                <w:color w:val="auto"/>
                <w:lang w:val="en-US" w:eastAsia="zh-CN"/>
              </w:rPr>
              <w:t>重</w:t>
            </w:r>
            <w:r>
              <w:rPr>
                <w:rFonts w:hint="default" w:ascii="Times New Roman" w:hAnsi="Times New Roman" w:cs="Times New Roman"/>
                <w:color w:val="auto"/>
                <w:kern w:val="0"/>
                <w:sz w:val="21"/>
                <w:szCs w:val="21"/>
                <w:lang w:bidi="ar"/>
              </w:rPr>
              <w:t>金属。</w:t>
            </w:r>
          </w:p>
        </w:tc>
      </w:tr>
      <w:tr w14:paraId="48C43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2632" w:type="pct"/>
            <w:shd w:val="clear" w:color="auto" w:fill="auto"/>
            <w:vAlign w:val="center"/>
          </w:tcPr>
          <w:p w14:paraId="0C81DC02">
            <w:pPr>
              <w:widowControl/>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加快基础设施建设。完善园区污水管网等配套设施建设，加快推进污水处理厂提标改造，推行园区中水回用，减少污水排放量。做好工业固体废物的分类收集、资源化利用和安全处置。</w:t>
            </w:r>
          </w:p>
        </w:tc>
        <w:tc>
          <w:tcPr>
            <w:tcW w:w="2367" w:type="pct"/>
            <w:shd w:val="clear" w:color="auto" w:fill="auto"/>
            <w:vAlign w:val="center"/>
          </w:tcPr>
          <w:p w14:paraId="433B46A4">
            <w:pPr>
              <w:keepNext w:val="0"/>
              <w:keepLines w:val="0"/>
              <w:pageBreakBefore w:val="0"/>
              <w:widowControl/>
              <w:kinsoku/>
              <w:wordWrap/>
              <w:overflowPunct/>
              <w:topLinePunct w:val="0"/>
              <w:autoSpaceDE/>
              <w:autoSpaceDN/>
              <w:bidi w:val="0"/>
              <w:adjustRightInd/>
              <w:snapToGrid/>
              <w:ind w:firstLine="420" w:firstLineChars="200"/>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本项目生产废水经过治理后能达标排放，生活污水经化粪池处理后</w:t>
            </w:r>
            <w:r>
              <w:rPr>
                <w:rFonts w:hint="default" w:ascii="Times New Roman" w:hAnsi="Times New Roman" w:cs="Times New Roman"/>
                <w:color w:val="auto"/>
                <w:kern w:val="0"/>
                <w:sz w:val="21"/>
                <w:szCs w:val="21"/>
                <w:highlight w:val="none"/>
                <w:lang w:val="en-US" w:eastAsia="zh-CN" w:bidi="ar"/>
              </w:rPr>
              <w:t>按要求</w:t>
            </w:r>
            <w:r>
              <w:rPr>
                <w:rFonts w:hint="default" w:ascii="Times New Roman" w:hAnsi="Times New Roman" w:cs="Times New Roman"/>
                <w:color w:val="auto"/>
                <w:kern w:val="0"/>
                <w:sz w:val="21"/>
                <w:szCs w:val="21"/>
                <w:highlight w:val="none"/>
                <w:lang w:bidi="ar"/>
              </w:rPr>
              <w:t>排入沙县金古北区污水处理厂处理。根据《沙县区金沙金古片区地下管网改造工程一金古北区地下管网改造工程设计说明》，金古北区雨污水管道计划进行改造，改造后管道图见</w:t>
            </w:r>
            <w:r>
              <w:rPr>
                <w:rFonts w:hint="default" w:ascii="Times New Roman" w:hAnsi="Times New Roman" w:cs="Times New Roman"/>
                <w:color w:val="auto"/>
                <w:kern w:val="0"/>
                <w:sz w:val="21"/>
                <w:szCs w:val="21"/>
                <w:highlight w:val="none"/>
                <w:lang w:val="en-US" w:eastAsia="zh-CN" w:bidi="ar"/>
              </w:rPr>
              <w:t>表4.2-5</w:t>
            </w:r>
            <w:r>
              <w:rPr>
                <w:rFonts w:hint="default" w:ascii="Times New Roman" w:hAnsi="Times New Roman" w:cs="Times New Roman"/>
                <w:color w:val="auto"/>
                <w:kern w:val="0"/>
                <w:sz w:val="21"/>
                <w:szCs w:val="21"/>
                <w:highlight w:val="none"/>
                <w:lang w:bidi="ar"/>
              </w:rPr>
              <w:t>。本项目产生的废水处理后接入园区污水管道，本评价要求在厂区管道建设完成前，排放废水污染物的项目不得投入运营。</w:t>
            </w:r>
          </w:p>
          <w:p w14:paraId="0CBBCE83">
            <w:pPr>
              <w:keepNext w:val="0"/>
              <w:keepLines w:val="0"/>
              <w:pageBreakBefore w:val="0"/>
              <w:widowControl/>
              <w:kinsoku/>
              <w:wordWrap/>
              <w:overflowPunct/>
              <w:topLinePunct w:val="0"/>
              <w:autoSpaceDE/>
              <w:autoSpaceDN/>
              <w:bidi w:val="0"/>
              <w:adjustRightInd/>
              <w:snapToGrid/>
              <w:ind w:firstLine="420" w:firstLineChars="200"/>
              <w:textAlignment w:val="center"/>
              <w:rPr>
                <w:rFonts w:hint="default" w:ascii="Times New Roman" w:hAnsi="Times New Roman" w:cs="Times New Roman"/>
                <w:color w:val="auto"/>
                <w:sz w:val="21"/>
                <w:szCs w:val="21"/>
                <w:highlight w:val="yellow"/>
              </w:rPr>
            </w:pPr>
            <w:r>
              <w:rPr>
                <w:rFonts w:hint="default" w:ascii="Times New Roman" w:hAnsi="Times New Roman" w:cs="Times New Roman"/>
                <w:color w:val="auto"/>
                <w:kern w:val="0"/>
                <w:sz w:val="21"/>
                <w:szCs w:val="21"/>
                <w:highlight w:val="none"/>
                <w:lang w:bidi="ar"/>
              </w:rPr>
              <w:t>本项目产生的一般固废统一收集后外售综合利用，危废贮存于危废间委托有资质单位处置。</w:t>
            </w:r>
          </w:p>
        </w:tc>
      </w:tr>
      <w:tr w14:paraId="780CE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trPr>
        <w:tc>
          <w:tcPr>
            <w:tcW w:w="2632" w:type="pct"/>
            <w:shd w:val="clear" w:color="auto" w:fill="auto"/>
            <w:vAlign w:val="center"/>
          </w:tcPr>
          <w:p w14:paraId="16695F17">
            <w:pPr>
              <w:widowControl/>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节约集约资源利用。集约使用土地资源和水资源，加强水资源再生利用，持续提高水资源利用率。优化能源结构，积极推进使用LNG或电能等清洁能源。</w:t>
            </w:r>
          </w:p>
        </w:tc>
        <w:tc>
          <w:tcPr>
            <w:tcW w:w="2367" w:type="pct"/>
            <w:shd w:val="clear" w:color="auto" w:fill="auto"/>
            <w:vAlign w:val="center"/>
          </w:tcPr>
          <w:p w14:paraId="4A2762D3">
            <w:pPr>
              <w:keepNext w:val="0"/>
              <w:keepLines w:val="0"/>
              <w:pageBreakBefore w:val="0"/>
              <w:widowControl/>
              <w:kinsoku/>
              <w:wordWrap/>
              <w:overflowPunct/>
              <w:topLinePunct w:val="0"/>
              <w:autoSpaceDE/>
              <w:autoSpaceDN/>
              <w:bidi w:val="0"/>
              <w:adjustRightInd/>
              <w:snapToGrid/>
              <w:ind w:firstLine="420" w:firstLineChars="200"/>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项目主要使用电能和天然气，属于清洁能源。</w:t>
            </w:r>
          </w:p>
        </w:tc>
      </w:tr>
      <w:tr w14:paraId="67BE8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0" w:hRule="atLeast"/>
        </w:trPr>
        <w:tc>
          <w:tcPr>
            <w:tcW w:w="2632" w:type="pct"/>
            <w:shd w:val="clear" w:color="auto" w:fill="auto"/>
            <w:vAlign w:val="center"/>
          </w:tcPr>
          <w:p w14:paraId="5A261316">
            <w:pPr>
              <w:widowControl/>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加强环境风险防控。完善区域环境风险预警体系、环境风险防控工程、环境应急保障体系，建立集中区和企业环境风险联防联控机制。设置足够容积的公共事故应急池，并与企业事故应急池实现互联互通。</w:t>
            </w:r>
          </w:p>
        </w:tc>
        <w:tc>
          <w:tcPr>
            <w:tcW w:w="2367" w:type="pct"/>
            <w:shd w:val="clear" w:color="auto" w:fill="auto"/>
            <w:vAlign w:val="center"/>
          </w:tcPr>
          <w:p w14:paraId="2491796B">
            <w:pPr>
              <w:keepNext w:val="0"/>
              <w:keepLines w:val="0"/>
              <w:pageBreakBefore w:val="0"/>
              <w:widowControl/>
              <w:kinsoku/>
              <w:wordWrap/>
              <w:overflowPunct/>
              <w:topLinePunct w:val="0"/>
              <w:autoSpaceDE/>
              <w:autoSpaceDN/>
              <w:bidi w:val="0"/>
              <w:adjustRightInd/>
              <w:snapToGrid/>
              <w:ind w:firstLine="420" w:firstLineChars="200"/>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项目运营前应根据建设情况</w:t>
            </w:r>
            <w:r>
              <w:rPr>
                <w:rFonts w:hint="default" w:ascii="Times New Roman" w:hAnsi="Times New Roman" w:cs="Times New Roman"/>
                <w:color w:val="auto"/>
                <w:kern w:val="0"/>
                <w:sz w:val="21"/>
                <w:szCs w:val="21"/>
                <w:highlight w:val="none"/>
                <w:lang w:val="en-US" w:eastAsia="zh-CN" w:bidi="ar"/>
              </w:rPr>
              <w:t>编制</w:t>
            </w:r>
            <w:r>
              <w:rPr>
                <w:rFonts w:hint="default" w:ascii="Times New Roman" w:hAnsi="Times New Roman" w:cs="Times New Roman"/>
                <w:color w:val="auto"/>
                <w:kern w:val="0"/>
                <w:sz w:val="21"/>
                <w:szCs w:val="21"/>
                <w:highlight w:val="none"/>
                <w:lang w:bidi="ar"/>
              </w:rPr>
              <w:t>《突发环境应急预案》，按要求建立风险防控体系。</w:t>
            </w:r>
            <w:r>
              <w:rPr>
                <w:rFonts w:hint="default" w:ascii="Times New Roman" w:hAnsi="Times New Roman" w:cs="Times New Roman"/>
                <w:color w:val="auto"/>
                <w:kern w:val="0"/>
                <w:sz w:val="21"/>
                <w:szCs w:val="21"/>
                <w:highlight w:val="none"/>
                <w:lang w:val="en-US" w:eastAsia="zh-CN" w:bidi="ar"/>
              </w:rPr>
              <w:t>本评价要求</w:t>
            </w:r>
            <w:r>
              <w:rPr>
                <w:rFonts w:hint="default" w:ascii="Times New Roman" w:hAnsi="Times New Roman" w:cs="Times New Roman"/>
                <w:color w:val="auto"/>
                <w:kern w:val="0"/>
                <w:sz w:val="21"/>
                <w:szCs w:val="21"/>
                <w:highlight w:val="none"/>
                <w:lang w:bidi="ar"/>
              </w:rPr>
              <w:t>设置</w:t>
            </w:r>
            <w:r>
              <w:rPr>
                <w:rFonts w:hint="default" w:ascii="Times New Roman" w:hAnsi="Times New Roman" w:cs="Times New Roman"/>
                <w:color w:val="auto"/>
                <w:sz w:val="21"/>
                <w:szCs w:val="21"/>
              </w:rPr>
              <w:t>容积</w:t>
            </w:r>
            <w:r>
              <w:rPr>
                <w:rFonts w:hint="default" w:ascii="Times New Roman" w:hAnsi="Times New Roman" w:cs="Times New Roman"/>
                <w:color w:val="auto"/>
                <w:sz w:val="21"/>
                <w:szCs w:val="21"/>
                <w:highlight w:val="none"/>
                <w:lang w:val="en-US" w:eastAsia="zh-CN"/>
              </w:rPr>
              <w:t>302</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的</w:t>
            </w:r>
            <w:r>
              <w:rPr>
                <w:rFonts w:hint="default" w:ascii="Times New Roman" w:hAnsi="Times New Roman" w:cs="Times New Roman"/>
                <w:color w:val="auto"/>
                <w:sz w:val="21"/>
                <w:szCs w:val="21"/>
                <w:highlight w:val="none"/>
                <w:lang w:val="en-US" w:eastAsia="zh-CN"/>
              </w:rPr>
              <w:t>全厂</w:t>
            </w:r>
            <w:r>
              <w:rPr>
                <w:rFonts w:hint="default" w:ascii="Times New Roman" w:hAnsi="Times New Roman" w:cs="Times New Roman"/>
                <w:color w:val="auto"/>
                <w:sz w:val="21"/>
                <w:szCs w:val="21"/>
              </w:rPr>
              <w:t>事故应急池</w:t>
            </w:r>
            <w:r>
              <w:rPr>
                <w:rFonts w:hint="default" w:ascii="Times New Roman" w:hAnsi="Times New Roman" w:cs="Times New Roman"/>
                <w:color w:val="auto"/>
                <w:kern w:val="0"/>
                <w:sz w:val="21"/>
                <w:szCs w:val="21"/>
                <w:highlight w:val="none"/>
                <w:lang w:bidi="ar"/>
              </w:rPr>
              <w:t>，并与园区公共事故应急池实现互联互通。</w:t>
            </w:r>
          </w:p>
        </w:tc>
      </w:tr>
      <w:tr w14:paraId="50E60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5" w:hRule="atLeast"/>
        </w:trPr>
        <w:tc>
          <w:tcPr>
            <w:tcW w:w="2632" w:type="pct"/>
            <w:shd w:val="clear" w:color="auto" w:fill="auto"/>
            <w:vAlign w:val="center"/>
          </w:tcPr>
          <w:p w14:paraId="59E38E7F">
            <w:pPr>
              <w:widowControl/>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强化园区环境监测。加强周边环境质量监测和评估，在规划实施过程中，做好园区环境质量的长期跟踪监测；每年开展一次园区环境质量分析，并根据分析结果采取相应的污染防治综合治理措施</w:t>
            </w:r>
          </w:p>
        </w:tc>
        <w:tc>
          <w:tcPr>
            <w:tcW w:w="2367" w:type="pct"/>
            <w:shd w:val="clear" w:color="auto" w:fill="auto"/>
            <w:vAlign w:val="center"/>
          </w:tcPr>
          <w:p w14:paraId="209E7C86">
            <w:pPr>
              <w:keepNext w:val="0"/>
              <w:keepLines w:val="0"/>
              <w:pageBreakBefore w:val="0"/>
              <w:widowControl/>
              <w:kinsoku/>
              <w:wordWrap/>
              <w:overflowPunct/>
              <w:topLinePunct w:val="0"/>
              <w:autoSpaceDE/>
              <w:autoSpaceDN/>
              <w:bidi w:val="0"/>
              <w:adjustRightInd/>
              <w:snapToGrid/>
              <w:ind w:firstLine="420" w:firstLineChars="200"/>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企业按要求定期开展自行监测。</w:t>
            </w:r>
          </w:p>
        </w:tc>
      </w:tr>
    </w:tbl>
    <w:p w14:paraId="4A414A0C">
      <w:pPr>
        <w:rPr>
          <w:rFonts w:hint="default" w:ascii="Times New Roman" w:hAnsi="Times New Roman" w:eastAsia="黑体" w:cs="Times New Roman"/>
          <w:bCs/>
          <w:color w:val="auto"/>
          <w:sz w:val="24"/>
        </w:rPr>
      </w:pPr>
    </w:p>
    <w:p w14:paraId="72BE6814">
      <w:pPr>
        <w:pStyle w:val="17"/>
        <w:ind w:firstLine="560"/>
        <w:rPr>
          <w:rFonts w:hint="default" w:ascii="Times New Roman" w:hAnsi="Times New Roman" w:cs="Times New Roman"/>
          <w:color w:val="auto"/>
        </w:rPr>
      </w:pPr>
    </w:p>
    <w:p w14:paraId="652F853D">
      <w:pPr>
        <w:widowControl/>
        <w:jc w:val="left"/>
        <w:rPr>
          <w:rFonts w:hint="default" w:ascii="Times New Roman" w:hAnsi="Times New Roman" w:cs="Times New Roman"/>
          <w:color w:val="auto"/>
        </w:rPr>
      </w:pPr>
    </w:p>
    <w:p w14:paraId="43A334A7">
      <w:pPr>
        <w:rPr>
          <w:rFonts w:hint="default" w:ascii="Times New Roman" w:hAnsi="Times New Roman" w:cs="Times New Roman"/>
          <w:color w:val="auto"/>
        </w:rPr>
      </w:pPr>
    </w:p>
    <w:p w14:paraId="0873D102">
      <w:pPr>
        <w:rPr>
          <w:rFonts w:hint="default" w:ascii="Times New Roman" w:hAnsi="Times New Roman" w:cs="Times New Roman"/>
          <w:color w:val="auto"/>
        </w:rPr>
      </w:pPr>
    </w:p>
    <w:p w14:paraId="0F7FFD38">
      <w:pPr>
        <w:rPr>
          <w:rFonts w:hint="default" w:ascii="Times New Roman" w:hAnsi="Times New Roman" w:cs="Times New Roman"/>
          <w:color w:val="auto"/>
        </w:rPr>
      </w:pPr>
    </w:p>
    <w:p w14:paraId="05D4E31E">
      <w:pPr>
        <w:rPr>
          <w:rFonts w:hint="default" w:ascii="Times New Roman" w:hAnsi="Times New Roman" w:cs="Times New Roman"/>
          <w:color w:val="auto"/>
        </w:rPr>
        <w:sectPr>
          <w:pgSz w:w="16838" w:h="11905" w:orient="landscape"/>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p w14:paraId="59C1DA93">
      <w:pPr>
        <w:pStyle w:val="72"/>
        <w:snapToGrid w:val="0"/>
        <w:spacing w:before="113" w:beforeLines="30" w:after="113" w:afterLines="30" w:line="240" w:lineRule="auto"/>
        <w:ind w:left="0" w:leftChars="0"/>
        <w:jc w:val="center"/>
        <w:textAlignment w:val="auto"/>
        <w:outlineLvl w:val="4"/>
        <w:rPr>
          <w:rFonts w:hint="default" w:ascii="Times New Roman" w:hAnsi="Times New Roman" w:cs="Times New Roman"/>
          <w:bCs/>
          <w:snapToGrid/>
          <w:color w:val="auto"/>
          <w:sz w:val="24"/>
          <w:szCs w:val="24"/>
        </w:rPr>
      </w:pPr>
      <w:r>
        <w:rPr>
          <w:rFonts w:hint="default" w:ascii="Times New Roman" w:hAnsi="Times New Roman" w:cs="Times New Roman"/>
          <w:bCs/>
          <w:snapToGrid/>
          <w:color w:val="auto"/>
          <w:sz w:val="24"/>
          <w:szCs w:val="24"/>
        </w:rPr>
        <w:t>表1-3</w:t>
      </w:r>
      <w:r>
        <w:rPr>
          <w:rFonts w:hint="eastAsia" w:ascii="Times New Roman" w:hAnsi="Times New Roman" w:cs="Times New Roman"/>
          <w:bCs/>
          <w:snapToGrid/>
          <w:color w:val="auto"/>
          <w:sz w:val="24"/>
          <w:szCs w:val="24"/>
          <w:lang w:val="en-US" w:eastAsia="zh-CN"/>
        </w:rPr>
        <w:t xml:space="preserve">  </w:t>
      </w:r>
      <w:r>
        <w:rPr>
          <w:rFonts w:hint="default" w:ascii="Times New Roman" w:hAnsi="Times New Roman" w:cs="Times New Roman"/>
          <w:bCs/>
          <w:snapToGrid/>
          <w:color w:val="auto"/>
          <w:sz w:val="24"/>
          <w:szCs w:val="24"/>
        </w:rPr>
        <w:t>关于深化闽江流域生态环境综合治理的工作措施</w:t>
      </w:r>
    </w:p>
    <w:tbl>
      <w:tblPr>
        <w:tblStyle w:val="34"/>
        <w:tblW w:w="4996" w:type="pct"/>
        <w:tblInd w:w="0" w:type="dxa"/>
        <w:tblLayout w:type="autofit"/>
        <w:tblCellMar>
          <w:top w:w="0" w:type="dxa"/>
          <w:left w:w="108" w:type="dxa"/>
          <w:bottom w:w="0" w:type="dxa"/>
          <w:right w:w="108" w:type="dxa"/>
        </w:tblCellMar>
      </w:tblPr>
      <w:tblGrid>
        <w:gridCol w:w="1563"/>
        <w:gridCol w:w="8206"/>
        <w:gridCol w:w="4440"/>
      </w:tblGrid>
      <w:tr w14:paraId="56E0E9EB">
        <w:tblPrEx>
          <w:tblCellMar>
            <w:top w:w="0" w:type="dxa"/>
            <w:left w:w="108" w:type="dxa"/>
            <w:bottom w:w="0" w:type="dxa"/>
            <w:right w:w="108" w:type="dxa"/>
          </w:tblCellMar>
        </w:tblPrEx>
        <w:trPr>
          <w:trHeight w:val="300" w:hRule="atLeast"/>
        </w:trPr>
        <w:tc>
          <w:tcPr>
            <w:tcW w:w="3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3587F34">
            <w:pPr>
              <w:keepNext w:val="0"/>
              <w:keepLines w:val="0"/>
              <w:pageBreakBefore w:val="0"/>
              <w:widowControl/>
              <w:kinsoku/>
              <w:wordWrap/>
              <w:overflowPunct/>
              <w:topLinePunct w:val="0"/>
              <w:autoSpaceDE/>
              <w:autoSpaceDN/>
              <w:bidi w:val="0"/>
              <w:snapToGrid/>
              <w:jc w:val="center"/>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要求</w:t>
            </w:r>
          </w:p>
        </w:tc>
        <w:tc>
          <w:tcPr>
            <w:tcW w:w="15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D89C71">
            <w:pPr>
              <w:keepNext w:val="0"/>
              <w:keepLines w:val="0"/>
              <w:pageBreakBefore w:val="0"/>
              <w:widowControl/>
              <w:kinsoku/>
              <w:wordWrap/>
              <w:overflowPunct/>
              <w:topLinePunct w:val="0"/>
              <w:autoSpaceDE/>
              <w:autoSpaceDN/>
              <w:bidi w:val="0"/>
              <w:snapToGrid/>
              <w:jc w:val="center"/>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本项目</w:t>
            </w:r>
          </w:p>
        </w:tc>
      </w:tr>
      <w:tr w14:paraId="2C9EE5E4">
        <w:tblPrEx>
          <w:tblCellMar>
            <w:top w:w="0" w:type="dxa"/>
            <w:left w:w="108" w:type="dxa"/>
            <w:bottom w:w="0" w:type="dxa"/>
            <w:right w:w="108" w:type="dxa"/>
          </w:tblCellMar>
        </w:tblPrEx>
        <w:trPr>
          <w:trHeight w:val="270" w:hRule="atLeast"/>
        </w:trPr>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EB09C9">
            <w:pPr>
              <w:keepNext w:val="0"/>
              <w:keepLines w:val="0"/>
              <w:pageBreakBefore w:val="0"/>
              <w:widowControl/>
              <w:kinsoku/>
              <w:wordWrap/>
              <w:overflowPunct/>
              <w:topLinePunct w:val="0"/>
              <w:autoSpaceDE/>
              <w:autoSpaceDN/>
              <w:bidi w:val="0"/>
              <w:adjustRightInd w:val="0"/>
              <w:snapToGrid/>
              <w:jc w:val="center"/>
              <w:textAlignment w:val="top"/>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严格环境准入</w:t>
            </w:r>
          </w:p>
        </w:tc>
        <w:tc>
          <w:tcPr>
            <w:tcW w:w="28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D38323">
            <w:pPr>
              <w:keepNext w:val="0"/>
              <w:keepLines w:val="0"/>
              <w:pageBreakBefore w:val="0"/>
              <w:widowControl/>
              <w:kinsoku/>
              <w:wordWrap/>
              <w:overflowPunct/>
              <w:topLinePunct w:val="0"/>
              <w:autoSpaceDE/>
              <w:autoSpaceDN/>
              <w:bidi w:val="0"/>
              <w:adjustRightInd w:val="0"/>
              <w:snapToGrid/>
              <w:jc w:val="both"/>
              <w:textAlignment w:val="top"/>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严格落实国土空间规划和生态环境分区管控。其中，水口库区坝址以上流域范围严控现有化工园区规模，原则上不再新增化工园区，新建化工项目应进入化工园区；开展现有化工园区复核，现有园区应结合产业特色，做专做优做精做强化工产业中下游，不得引进产业链上游高耗能高排放低水平化工项目；园区外现有化工企业可进行有利于改善环境和保障安全的技改提升，并引导其逐步搬迁入园；禁止新建、扩建制革项目，严控制浆造纸、原料药、印染、电镀、农药、铅锌采（选）矿、化工、氟化工项目。禁止在流域上游新建、扩建重污染企业和项目，禁止重污染企业和项目向流域上游转移。</w:t>
            </w:r>
          </w:p>
        </w:tc>
        <w:tc>
          <w:tcPr>
            <w:tcW w:w="15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7080D6">
            <w:pPr>
              <w:pStyle w:val="10"/>
              <w:keepNext w:val="0"/>
              <w:keepLines w:val="0"/>
              <w:pageBreakBefore w:val="0"/>
              <w:widowControl w:val="0"/>
              <w:kinsoku/>
              <w:wordWrap/>
              <w:overflowPunct/>
              <w:topLinePunct w:val="0"/>
              <w:autoSpaceDE/>
              <w:autoSpaceDN/>
              <w:bidi w:val="0"/>
              <w:adjustRightInd w:val="0"/>
              <w:snapToGrid/>
              <w:spacing w:line="240" w:lineRule="auto"/>
              <w:ind w:firstLine="420" w:firstLineChars="20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本项目不属于环境准入禁止的项目，符合《三明市国土空间总体规划（2021-2035）》和沙县金古空港经济开发区生态环境分区管控要求。</w:t>
            </w:r>
          </w:p>
        </w:tc>
      </w:tr>
      <w:tr w14:paraId="117F0C70">
        <w:tblPrEx>
          <w:tblCellMar>
            <w:top w:w="0" w:type="dxa"/>
            <w:left w:w="108" w:type="dxa"/>
            <w:bottom w:w="0" w:type="dxa"/>
            <w:right w:w="108" w:type="dxa"/>
          </w:tblCellMar>
        </w:tblPrEx>
        <w:trPr>
          <w:trHeight w:val="1580" w:hRule="atLeast"/>
        </w:trPr>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7BDBB8">
            <w:pPr>
              <w:keepNext w:val="0"/>
              <w:keepLines w:val="0"/>
              <w:pageBreakBefore w:val="0"/>
              <w:widowControl/>
              <w:kinsoku/>
              <w:wordWrap/>
              <w:overflowPunct/>
              <w:topLinePunct w:val="0"/>
              <w:autoSpaceDE/>
              <w:autoSpaceDN/>
              <w:bidi w:val="0"/>
              <w:adjustRightInd w:val="0"/>
              <w:snapToGrid/>
              <w:jc w:val="center"/>
              <w:textAlignment w:val="top"/>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加强工矿企业污染防治</w:t>
            </w:r>
          </w:p>
        </w:tc>
        <w:tc>
          <w:tcPr>
            <w:tcW w:w="28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15B635">
            <w:pPr>
              <w:keepNext w:val="0"/>
              <w:keepLines w:val="0"/>
              <w:pageBreakBefore w:val="0"/>
              <w:widowControl/>
              <w:kinsoku/>
              <w:wordWrap/>
              <w:overflowPunct/>
              <w:topLinePunct w:val="0"/>
              <w:autoSpaceDE/>
              <w:autoSpaceDN/>
              <w:bidi w:val="0"/>
              <w:adjustRightInd w:val="0"/>
              <w:snapToGrid/>
              <w:jc w:val="both"/>
              <w:textAlignment w:val="top"/>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在造纸、印染、制革、化工、电镀等重点行业开展废水深度治理，实行废水分质分流处理，强化脱氮除磷工艺，提升企业清洁生产水平。根据我省产业实际水平和环境保护要求，推动氟化工、印染和电镀等行业实行水污染物特别排放限值，尤溪县、大田县铅锌矿产集中区内要执行铅、锌工业污染物特别排放限值规定。</w:t>
            </w:r>
          </w:p>
        </w:tc>
        <w:tc>
          <w:tcPr>
            <w:tcW w:w="15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760867">
            <w:pPr>
              <w:keepNext w:val="0"/>
              <w:keepLines w:val="0"/>
              <w:pageBreakBefore w:val="0"/>
              <w:widowControl w:val="0"/>
              <w:kinsoku/>
              <w:wordWrap/>
              <w:overflowPunct/>
              <w:topLinePunct w:val="0"/>
              <w:autoSpaceDE/>
              <w:autoSpaceDN/>
              <w:bidi w:val="0"/>
              <w:adjustRightInd w:val="0"/>
              <w:snapToGrid/>
              <w:spacing w:line="240" w:lineRule="auto"/>
              <w:ind w:firstLine="420" w:firstLineChars="20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要求建设单位实行废水分质分流处理，生产废水经过治理后达到《污水综合排放标准》（GB8978-1996）中的三级排放标准，以及金古北片区污水处理厂进厂（接管）污水水质要求，其中氨氮执行《污水排入城镇下水道水质标准》（GB/T 31962-2015）表1中B等级标准，锌执行《城镇污水处理厂污染物排放标准》（GB18918-2002）表3“总锌”标准限值。</w:t>
            </w:r>
          </w:p>
        </w:tc>
      </w:tr>
      <w:tr w14:paraId="4FA76355">
        <w:tblPrEx>
          <w:tblCellMar>
            <w:top w:w="0" w:type="dxa"/>
            <w:left w:w="108" w:type="dxa"/>
            <w:bottom w:w="0" w:type="dxa"/>
            <w:right w:w="108" w:type="dxa"/>
          </w:tblCellMar>
        </w:tblPrEx>
        <w:trPr>
          <w:trHeight w:val="980" w:hRule="atLeast"/>
        </w:trPr>
        <w:tc>
          <w:tcPr>
            <w:tcW w:w="5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C6BAB7">
            <w:pPr>
              <w:keepNext w:val="0"/>
              <w:keepLines w:val="0"/>
              <w:pageBreakBefore w:val="0"/>
              <w:widowControl/>
              <w:kinsoku/>
              <w:wordWrap/>
              <w:overflowPunct/>
              <w:topLinePunct w:val="0"/>
              <w:autoSpaceDE/>
              <w:autoSpaceDN/>
              <w:bidi w:val="0"/>
              <w:adjustRightInd w:val="0"/>
              <w:snapToGrid/>
              <w:jc w:val="center"/>
              <w:textAlignment w:val="top"/>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推进“污水零直排区”建设和明管化改造</w:t>
            </w:r>
          </w:p>
        </w:tc>
        <w:tc>
          <w:tcPr>
            <w:tcW w:w="28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E52499">
            <w:pPr>
              <w:keepNext w:val="0"/>
              <w:keepLines w:val="0"/>
              <w:pageBreakBefore w:val="0"/>
              <w:widowControl/>
              <w:kinsoku/>
              <w:wordWrap/>
              <w:overflowPunct/>
              <w:topLinePunct w:val="0"/>
              <w:autoSpaceDE/>
              <w:autoSpaceDN/>
              <w:bidi w:val="0"/>
              <w:adjustRightInd w:val="0"/>
              <w:snapToGrid/>
              <w:jc w:val="both"/>
              <w:textAlignment w:val="top"/>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落实污水管网全覆盖、雨污分流全到位、污水排放全纳管、排放污水全达标、重点园区及园区内企业污水管道可视化全明化的“四全一明”要求，2025年底前，全面完成闽江流域化工园区和省级以上开发区“污水零直排区”建设。2024年底前，化工、印染等园区内的企业，完成初期雨水控制工程，实现初期雨水收集处理达标后排放或回用，雨洪排口安装在线监控监测设施。支持将再生水作为园区工业生产用水的重要来源，鼓励工业园区及企业将处理达标后的尾水回用于厂区生产等。</w:t>
            </w:r>
          </w:p>
        </w:tc>
        <w:tc>
          <w:tcPr>
            <w:tcW w:w="15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F3B019">
            <w:pPr>
              <w:keepNext w:val="0"/>
              <w:keepLines w:val="0"/>
              <w:pageBreakBefore w:val="0"/>
              <w:widowControl w:val="0"/>
              <w:kinsoku/>
              <w:wordWrap/>
              <w:overflowPunct/>
              <w:topLinePunct w:val="0"/>
              <w:autoSpaceDE/>
              <w:autoSpaceDN/>
              <w:bidi w:val="0"/>
              <w:adjustRightInd w:val="0"/>
              <w:snapToGrid/>
              <w:spacing w:line="240" w:lineRule="auto"/>
              <w:ind w:firstLine="420" w:firstLineChars="20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highlight w:val="none"/>
                <w:lang w:bidi="ar"/>
              </w:rPr>
              <w:t>本项目</w:t>
            </w:r>
            <w:r>
              <w:rPr>
                <w:rFonts w:hint="default" w:ascii="Times New Roman" w:hAnsi="Times New Roman" w:cs="Times New Roman"/>
                <w:color w:val="auto"/>
                <w:sz w:val="21"/>
                <w:szCs w:val="21"/>
                <w:highlight w:val="none"/>
              </w:rPr>
              <w:t>要求废水分质分流处理，项目运营</w:t>
            </w:r>
            <w:r>
              <w:rPr>
                <w:rFonts w:hint="default" w:ascii="Times New Roman" w:hAnsi="Times New Roman" w:cs="Times New Roman"/>
                <w:color w:val="auto"/>
                <w:kern w:val="0"/>
                <w:sz w:val="21"/>
                <w:szCs w:val="21"/>
                <w:highlight w:val="none"/>
                <w:lang w:bidi="ar"/>
              </w:rPr>
              <w:t>产生的废水处理后接入</w:t>
            </w:r>
            <w:r>
              <w:rPr>
                <w:rFonts w:hint="default" w:ascii="Times New Roman" w:hAnsi="Times New Roman" w:cs="Times New Roman"/>
                <w:color w:val="auto"/>
                <w:kern w:val="0"/>
                <w:sz w:val="21"/>
                <w:szCs w:val="21"/>
                <w:highlight w:val="none"/>
                <w:lang w:val="en-US" w:eastAsia="zh-CN" w:bidi="ar"/>
              </w:rPr>
              <w:t>市政</w:t>
            </w:r>
            <w:r>
              <w:rPr>
                <w:rFonts w:hint="default" w:ascii="Times New Roman" w:hAnsi="Times New Roman" w:cs="Times New Roman"/>
                <w:color w:val="auto"/>
                <w:kern w:val="0"/>
                <w:sz w:val="21"/>
                <w:szCs w:val="21"/>
                <w:highlight w:val="none"/>
                <w:lang w:bidi="ar"/>
              </w:rPr>
              <w:t>管道排入</w:t>
            </w:r>
            <w:r>
              <w:rPr>
                <w:rFonts w:hint="default" w:ascii="Times New Roman" w:hAnsi="Times New Roman" w:cs="Times New Roman"/>
                <w:color w:val="auto"/>
                <w:kern w:val="0"/>
                <w:sz w:val="21"/>
                <w:szCs w:val="21"/>
                <w:highlight w:val="none"/>
                <w:lang w:val="en-US" w:eastAsia="zh-CN" w:bidi="ar"/>
              </w:rPr>
              <w:t>沙县</w:t>
            </w:r>
            <w:r>
              <w:rPr>
                <w:rFonts w:hint="default" w:ascii="Times New Roman" w:hAnsi="Times New Roman" w:cs="Times New Roman"/>
                <w:color w:val="auto"/>
                <w:kern w:val="0"/>
                <w:sz w:val="21"/>
                <w:szCs w:val="21"/>
                <w:highlight w:val="none"/>
                <w:lang w:bidi="ar"/>
              </w:rPr>
              <w:t>金古北片区污水处理厂；</w:t>
            </w:r>
            <w:r>
              <w:rPr>
                <w:rFonts w:hint="default" w:ascii="Times New Roman" w:hAnsi="Times New Roman" w:cs="Times New Roman"/>
                <w:color w:val="auto"/>
                <w:sz w:val="21"/>
                <w:szCs w:val="21"/>
                <w:highlight w:val="none"/>
              </w:rPr>
              <w:t>初期雨水收集处理达标后</w:t>
            </w:r>
            <w:r>
              <w:rPr>
                <w:rFonts w:hint="default" w:ascii="Times New Roman" w:hAnsi="Times New Roman" w:cs="Times New Roman"/>
                <w:color w:val="auto"/>
                <w:kern w:val="0"/>
                <w:sz w:val="21"/>
                <w:szCs w:val="21"/>
                <w:highlight w:val="none"/>
                <w:lang w:bidi="ar"/>
              </w:rPr>
              <w:t>排入</w:t>
            </w:r>
            <w:r>
              <w:rPr>
                <w:rFonts w:hint="default" w:ascii="Times New Roman" w:hAnsi="Times New Roman" w:cs="Times New Roman"/>
                <w:color w:val="auto"/>
                <w:kern w:val="0"/>
                <w:sz w:val="21"/>
                <w:szCs w:val="21"/>
                <w:highlight w:val="none"/>
                <w:lang w:val="en-US" w:eastAsia="zh-CN" w:bidi="ar"/>
              </w:rPr>
              <w:t>市政</w:t>
            </w:r>
            <w:r>
              <w:rPr>
                <w:rFonts w:hint="default" w:ascii="Times New Roman" w:hAnsi="Times New Roman" w:cs="Times New Roman"/>
                <w:color w:val="auto"/>
                <w:kern w:val="0"/>
                <w:sz w:val="21"/>
                <w:szCs w:val="21"/>
                <w:highlight w:val="none"/>
                <w:lang w:bidi="ar"/>
              </w:rPr>
              <w:t>雨水管道。</w:t>
            </w:r>
          </w:p>
        </w:tc>
      </w:tr>
    </w:tbl>
    <w:p w14:paraId="419131E8">
      <w:pPr>
        <w:pStyle w:val="72"/>
        <w:snapToGrid w:val="0"/>
        <w:spacing w:before="113" w:beforeLines="30" w:after="113" w:afterLines="30" w:line="240" w:lineRule="auto"/>
        <w:ind w:left="0" w:leftChars="0"/>
        <w:jc w:val="center"/>
        <w:textAlignment w:val="auto"/>
        <w:outlineLvl w:val="4"/>
        <w:rPr>
          <w:rFonts w:hint="default" w:ascii="Times New Roman" w:hAnsi="Times New Roman" w:cs="Times New Roman"/>
          <w:bCs/>
          <w:snapToGrid/>
          <w:color w:val="auto"/>
          <w:sz w:val="24"/>
          <w:szCs w:val="24"/>
        </w:rPr>
      </w:pPr>
      <w:r>
        <w:rPr>
          <w:rFonts w:hint="default" w:ascii="Times New Roman" w:hAnsi="Times New Roman" w:cs="Times New Roman"/>
          <w:bCs/>
          <w:snapToGrid/>
          <w:color w:val="auto"/>
          <w:sz w:val="24"/>
          <w:szCs w:val="24"/>
        </w:rPr>
        <w:t xml:space="preserve">表1-4 </w:t>
      </w:r>
      <w:r>
        <w:rPr>
          <w:rFonts w:hint="eastAsia" w:ascii="Times New Roman" w:hAnsi="Times New Roman" w:cs="Times New Roman"/>
          <w:bCs/>
          <w:snapToGrid/>
          <w:color w:val="auto"/>
          <w:sz w:val="24"/>
          <w:szCs w:val="24"/>
          <w:lang w:val="en-US" w:eastAsia="zh-CN"/>
        </w:rPr>
        <w:t xml:space="preserve"> </w:t>
      </w:r>
      <w:r>
        <w:rPr>
          <w:rFonts w:hint="default" w:ascii="Times New Roman" w:hAnsi="Times New Roman" w:cs="Times New Roman"/>
          <w:bCs/>
          <w:snapToGrid/>
          <w:color w:val="auto"/>
          <w:sz w:val="24"/>
          <w:szCs w:val="24"/>
        </w:rPr>
        <w:t>沙县金古空港经济开发区环境管控单元管控要求</w:t>
      </w:r>
    </w:p>
    <w:tbl>
      <w:tblPr>
        <w:tblStyle w:val="35"/>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1"/>
        <w:gridCol w:w="987"/>
        <w:gridCol w:w="782"/>
        <w:gridCol w:w="1063"/>
        <w:gridCol w:w="5902"/>
        <w:gridCol w:w="3510"/>
        <w:gridCol w:w="787"/>
      </w:tblGrid>
      <w:tr w14:paraId="2C3AD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363" w:type="pct"/>
            <w:tcBorders>
              <w:tl2br w:val="nil"/>
              <w:tr2bl w:val="nil"/>
            </w:tcBorders>
            <w:tcMar>
              <w:top w:w="0" w:type="dxa"/>
              <w:left w:w="28" w:type="dxa"/>
              <w:bottom w:w="0" w:type="dxa"/>
              <w:right w:w="28" w:type="dxa"/>
            </w:tcMar>
            <w:vAlign w:val="center"/>
          </w:tcPr>
          <w:p w14:paraId="55039BB7">
            <w:pPr>
              <w:widowControl/>
              <w:adjustRightInd w:val="0"/>
              <w:snapToGrid w:val="0"/>
              <w:spacing w:before="75" w:beforeLines="20" w:line="288" w:lineRule="auto"/>
              <w:jc w:val="center"/>
              <w:rPr>
                <w:rFonts w:hint="default" w:ascii="Times New Roman" w:hAnsi="Times New Roman" w:cs="Times New Roman"/>
                <w:bCs/>
                <w:color w:val="auto"/>
                <w:kern w:val="0"/>
                <w:szCs w:val="21"/>
                <w:lang w:bidi="ar"/>
              </w:rPr>
            </w:pPr>
            <w:bookmarkStart w:id="22" w:name="OLE_LINK31"/>
            <w:r>
              <w:rPr>
                <w:rFonts w:hint="default" w:ascii="Times New Roman" w:hAnsi="Times New Roman" w:cs="Times New Roman"/>
                <w:bCs/>
                <w:color w:val="auto"/>
                <w:kern w:val="0"/>
                <w:szCs w:val="21"/>
              </w:rPr>
              <w:t>环境管控单元编码</w:t>
            </w:r>
          </w:p>
        </w:tc>
        <w:tc>
          <w:tcPr>
            <w:tcW w:w="351" w:type="pct"/>
            <w:tcBorders>
              <w:tl2br w:val="nil"/>
              <w:tr2bl w:val="nil"/>
            </w:tcBorders>
            <w:tcMar>
              <w:top w:w="0" w:type="dxa"/>
              <w:left w:w="28" w:type="dxa"/>
              <w:bottom w:w="0" w:type="dxa"/>
              <w:right w:w="28" w:type="dxa"/>
            </w:tcMar>
            <w:vAlign w:val="center"/>
          </w:tcPr>
          <w:p w14:paraId="2C75698E">
            <w:pPr>
              <w:widowControl/>
              <w:adjustRightInd w:val="0"/>
              <w:snapToGrid w:val="0"/>
              <w:spacing w:before="75" w:beforeLines="20" w:line="288" w:lineRule="auto"/>
              <w:jc w:val="center"/>
              <w:rPr>
                <w:rFonts w:hint="default" w:ascii="Times New Roman" w:hAnsi="Times New Roman" w:cs="Times New Roman"/>
                <w:bCs/>
                <w:color w:val="auto"/>
                <w:kern w:val="0"/>
                <w:szCs w:val="21"/>
                <w:lang w:bidi="ar"/>
              </w:rPr>
            </w:pPr>
            <w:r>
              <w:rPr>
                <w:rFonts w:hint="default" w:ascii="Times New Roman" w:hAnsi="Times New Roman" w:cs="Times New Roman"/>
                <w:bCs/>
                <w:color w:val="auto"/>
                <w:kern w:val="0"/>
                <w:szCs w:val="21"/>
              </w:rPr>
              <w:t>环境管控单元名称</w:t>
            </w:r>
          </w:p>
        </w:tc>
        <w:tc>
          <w:tcPr>
            <w:tcW w:w="278" w:type="pct"/>
            <w:tcBorders>
              <w:tl2br w:val="nil"/>
              <w:tr2bl w:val="nil"/>
            </w:tcBorders>
            <w:tcMar>
              <w:top w:w="0" w:type="dxa"/>
              <w:left w:w="28" w:type="dxa"/>
              <w:bottom w:w="0" w:type="dxa"/>
              <w:right w:w="28" w:type="dxa"/>
            </w:tcMar>
            <w:vAlign w:val="center"/>
          </w:tcPr>
          <w:p w14:paraId="3E9DFE93">
            <w:pPr>
              <w:widowControl/>
              <w:adjustRightInd w:val="0"/>
              <w:snapToGrid w:val="0"/>
              <w:spacing w:before="75" w:beforeLines="20" w:line="288" w:lineRule="auto"/>
              <w:jc w:val="center"/>
              <w:rPr>
                <w:rFonts w:hint="default" w:ascii="Times New Roman" w:hAnsi="Times New Roman" w:cs="Times New Roman"/>
                <w:bCs/>
                <w:color w:val="auto"/>
                <w:szCs w:val="21"/>
              </w:rPr>
            </w:pPr>
            <w:r>
              <w:rPr>
                <w:rFonts w:hint="default" w:ascii="Times New Roman" w:hAnsi="Times New Roman" w:cs="Times New Roman"/>
                <w:bCs/>
                <w:color w:val="auto"/>
                <w:kern w:val="0"/>
                <w:szCs w:val="21"/>
              </w:rPr>
              <w:t>管控单元类别</w:t>
            </w:r>
          </w:p>
        </w:tc>
        <w:tc>
          <w:tcPr>
            <w:tcW w:w="2477" w:type="pct"/>
            <w:gridSpan w:val="2"/>
            <w:tcBorders>
              <w:tl2br w:val="nil"/>
              <w:tr2bl w:val="nil"/>
            </w:tcBorders>
            <w:tcMar>
              <w:top w:w="0" w:type="dxa"/>
              <w:left w:w="28" w:type="dxa"/>
              <w:bottom w:w="0" w:type="dxa"/>
              <w:right w:w="28" w:type="dxa"/>
            </w:tcMar>
            <w:vAlign w:val="center"/>
          </w:tcPr>
          <w:p w14:paraId="42E499D1">
            <w:pPr>
              <w:pStyle w:val="31"/>
              <w:adjustRightInd w:val="0"/>
              <w:snapToGrid w:val="0"/>
              <w:spacing w:before="75" w:beforeLines="20" w:after="0" w:line="288" w:lineRule="auto"/>
              <w:ind w:right="0"/>
              <w:outlineLvl w:val="9"/>
              <w:rPr>
                <w:rFonts w:hint="default" w:ascii="Times New Roman" w:hAnsi="Times New Roman" w:cs="Times New Roman"/>
                <w:b w:val="0"/>
                <w:bCs/>
                <w:color w:val="auto"/>
                <w:kern w:val="0"/>
                <w:sz w:val="21"/>
                <w:szCs w:val="21"/>
              </w:rPr>
            </w:pPr>
            <w:bookmarkStart w:id="23" w:name="_Toc1623"/>
            <w:bookmarkStart w:id="24" w:name="_Toc2723"/>
            <w:bookmarkStart w:id="25" w:name="_Toc4536"/>
            <w:bookmarkStart w:id="26" w:name="_Toc27079"/>
            <w:bookmarkStart w:id="27" w:name="_Toc21671"/>
            <w:bookmarkStart w:id="28" w:name="_Toc20272"/>
            <w:bookmarkStart w:id="29" w:name="_Toc17903"/>
            <w:bookmarkStart w:id="30" w:name="_Toc9241"/>
            <w:bookmarkStart w:id="31" w:name="_Toc9037"/>
            <w:bookmarkStart w:id="32" w:name="_Toc9261"/>
            <w:bookmarkStart w:id="33" w:name="_Toc9494"/>
            <w:bookmarkStart w:id="34" w:name="_Toc2103"/>
            <w:bookmarkStart w:id="35" w:name="_Toc10455"/>
            <w:r>
              <w:rPr>
                <w:rFonts w:hint="default" w:ascii="Times New Roman" w:hAnsi="Times New Roman" w:cs="Times New Roman"/>
                <w:b w:val="0"/>
                <w:bCs/>
                <w:color w:val="auto"/>
                <w:kern w:val="0"/>
                <w:sz w:val="21"/>
                <w:szCs w:val="21"/>
              </w:rPr>
              <w:t>管控要求</w:t>
            </w:r>
            <w:bookmarkEnd w:id="23"/>
            <w:bookmarkEnd w:id="24"/>
            <w:bookmarkEnd w:id="25"/>
            <w:bookmarkEnd w:id="26"/>
            <w:bookmarkEnd w:id="27"/>
            <w:bookmarkEnd w:id="28"/>
            <w:bookmarkEnd w:id="29"/>
            <w:bookmarkEnd w:id="30"/>
            <w:bookmarkEnd w:id="31"/>
            <w:bookmarkEnd w:id="32"/>
            <w:bookmarkEnd w:id="33"/>
            <w:bookmarkEnd w:id="34"/>
            <w:bookmarkEnd w:id="35"/>
          </w:p>
        </w:tc>
        <w:tc>
          <w:tcPr>
            <w:tcW w:w="1248" w:type="pct"/>
            <w:tcBorders>
              <w:tl2br w:val="nil"/>
              <w:tr2bl w:val="nil"/>
            </w:tcBorders>
            <w:tcMar>
              <w:top w:w="0" w:type="dxa"/>
              <w:left w:w="28" w:type="dxa"/>
              <w:bottom w:w="0" w:type="dxa"/>
              <w:right w:w="28" w:type="dxa"/>
            </w:tcMar>
            <w:vAlign w:val="center"/>
          </w:tcPr>
          <w:p w14:paraId="3FA33D3D">
            <w:pPr>
              <w:pStyle w:val="31"/>
              <w:adjustRightInd w:val="0"/>
              <w:snapToGrid w:val="0"/>
              <w:spacing w:before="75" w:beforeLines="20" w:after="0" w:line="288" w:lineRule="auto"/>
              <w:ind w:right="0"/>
              <w:outlineLvl w:val="9"/>
              <w:rPr>
                <w:rFonts w:hint="default" w:ascii="Times New Roman" w:hAnsi="Times New Roman" w:cs="Times New Roman"/>
                <w:b w:val="0"/>
                <w:bCs/>
                <w:color w:val="auto"/>
                <w:kern w:val="0"/>
                <w:sz w:val="21"/>
                <w:szCs w:val="21"/>
              </w:rPr>
            </w:pPr>
            <w:bookmarkStart w:id="36" w:name="_Toc9932"/>
            <w:bookmarkStart w:id="37" w:name="_Toc21859"/>
            <w:bookmarkStart w:id="38" w:name="_Toc17201"/>
            <w:bookmarkStart w:id="39" w:name="_Toc11851"/>
            <w:bookmarkStart w:id="40" w:name="_Toc9610"/>
            <w:bookmarkStart w:id="41" w:name="_Toc18270"/>
            <w:bookmarkStart w:id="42" w:name="_Toc23039"/>
            <w:bookmarkStart w:id="43" w:name="_Toc30236"/>
            <w:bookmarkStart w:id="44" w:name="_Toc7070"/>
            <w:bookmarkStart w:id="45" w:name="_Toc26952"/>
            <w:bookmarkStart w:id="46" w:name="_Toc9057"/>
            <w:bookmarkStart w:id="47" w:name="_Toc26296"/>
            <w:bookmarkStart w:id="48" w:name="_Toc25558"/>
            <w:r>
              <w:rPr>
                <w:rFonts w:hint="default" w:ascii="Times New Roman" w:hAnsi="Times New Roman" w:cs="Times New Roman"/>
                <w:b w:val="0"/>
                <w:bCs/>
                <w:color w:val="auto"/>
                <w:sz w:val="21"/>
                <w:szCs w:val="21"/>
              </w:rPr>
              <w:t>拟建项目情况</w:t>
            </w:r>
            <w:bookmarkEnd w:id="36"/>
            <w:bookmarkEnd w:id="37"/>
            <w:bookmarkEnd w:id="38"/>
            <w:bookmarkEnd w:id="39"/>
            <w:bookmarkEnd w:id="40"/>
            <w:bookmarkEnd w:id="41"/>
            <w:bookmarkEnd w:id="42"/>
            <w:bookmarkEnd w:id="43"/>
            <w:bookmarkEnd w:id="44"/>
            <w:bookmarkEnd w:id="45"/>
            <w:bookmarkEnd w:id="46"/>
            <w:bookmarkEnd w:id="47"/>
            <w:bookmarkEnd w:id="48"/>
          </w:p>
        </w:tc>
        <w:tc>
          <w:tcPr>
            <w:tcW w:w="280" w:type="pct"/>
            <w:tcBorders>
              <w:tl2br w:val="nil"/>
              <w:tr2bl w:val="nil"/>
            </w:tcBorders>
            <w:tcMar>
              <w:top w:w="0" w:type="dxa"/>
              <w:left w:w="28" w:type="dxa"/>
              <w:bottom w:w="0" w:type="dxa"/>
              <w:right w:w="28" w:type="dxa"/>
            </w:tcMar>
            <w:vAlign w:val="center"/>
          </w:tcPr>
          <w:p w14:paraId="2B8D9070">
            <w:pPr>
              <w:pStyle w:val="31"/>
              <w:adjustRightInd w:val="0"/>
              <w:snapToGrid w:val="0"/>
              <w:spacing w:before="75" w:beforeLines="20" w:after="0" w:line="288" w:lineRule="auto"/>
              <w:ind w:right="0"/>
              <w:outlineLvl w:val="9"/>
              <w:rPr>
                <w:rFonts w:hint="default" w:ascii="Times New Roman" w:hAnsi="Times New Roman" w:cs="Times New Roman"/>
                <w:b w:val="0"/>
                <w:bCs/>
                <w:color w:val="auto"/>
                <w:sz w:val="21"/>
                <w:szCs w:val="21"/>
              </w:rPr>
            </w:pPr>
            <w:bookmarkStart w:id="49" w:name="_Toc11849"/>
            <w:bookmarkStart w:id="50" w:name="_Toc21970"/>
            <w:bookmarkStart w:id="51" w:name="_Toc8695"/>
            <w:bookmarkStart w:id="52" w:name="_Toc3835"/>
            <w:bookmarkStart w:id="53" w:name="_Toc778"/>
            <w:bookmarkStart w:id="54" w:name="_Toc17810"/>
            <w:bookmarkStart w:id="55" w:name="_Toc30278"/>
            <w:bookmarkStart w:id="56" w:name="_Toc2430"/>
            <w:bookmarkStart w:id="57" w:name="_Toc30389"/>
            <w:bookmarkStart w:id="58" w:name="_Toc6307"/>
            <w:bookmarkStart w:id="59" w:name="_Toc6226"/>
            <w:bookmarkStart w:id="60" w:name="_Toc2932"/>
            <w:bookmarkStart w:id="61" w:name="_Toc31732"/>
            <w:r>
              <w:rPr>
                <w:rFonts w:hint="default" w:ascii="Times New Roman" w:hAnsi="Times New Roman" w:cs="Times New Roman"/>
                <w:b w:val="0"/>
                <w:bCs/>
                <w:color w:val="auto"/>
                <w:sz w:val="21"/>
                <w:szCs w:val="21"/>
              </w:rPr>
              <w:t>符合性</w:t>
            </w:r>
            <w:bookmarkEnd w:id="49"/>
            <w:bookmarkEnd w:id="50"/>
            <w:bookmarkEnd w:id="51"/>
            <w:bookmarkEnd w:id="52"/>
            <w:bookmarkEnd w:id="53"/>
            <w:bookmarkEnd w:id="54"/>
            <w:bookmarkEnd w:id="55"/>
            <w:bookmarkEnd w:id="56"/>
            <w:bookmarkEnd w:id="57"/>
            <w:bookmarkEnd w:id="58"/>
            <w:bookmarkEnd w:id="59"/>
            <w:bookmarkEnd w:id="60"/>
            <w:bookmarkEnd w:id="61"/>
          </w:p>
        </w:tc>
      </w:tr>
      <w:tr w14:paraId="25BE6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363" w:type="pct"/>
            <w:vMerge w:val="restart"/>
            <w:tcBorders>
              <w:tl2br w:val="nil"/>
              <w:tr2bl w:val="nil"/>
            </w:tcBorders>
            <w:tcMar>
              <w:top w:w="0" w:type="dxa"/>
              <w:left w:w="28" w:type="dxa"/>
              <w:bottom w:w="0" w:type="dxa"/>
              <w:right w:w="28" w:type="dxa"/>
            </w:tcMar>
            <w:vAlign w:val="center"/>
          </w:tcPr>
          <w:p w14:paraId="0617E633">
            <w:pPr>
              <w:widowControl/>
              <w:adjustRightInd w:val="0"/>
              <w:snapToGrid w:val="0"/>
              <w:spacing w:before="75" w:beforeLines="20" w:line="288" w:lineRule="auto"/>
              <w:jc w:val="center"/>
              <w:textAlignment w:val="center"/>
              <w:rPr>
                <w:rFonts w:hint="default" w:ascii="Times New Roman" w:hAnsi="Times New Roman" w:cs="Times New Roman"/>
                <w:bCs/>
                <w:color w:val="auto"/>
                <w:kern w:val="0"/>
                <w:szCs w:val="21"/>
                <w:lang w:bidi="ar"/>
              </w:rPr>
            </w:pPr>
            <w:r>
              <w:rPr>
                <w:rFonts w:hint="default" w:ascii="Times New Roman" w:hAnsi="Times New Roman" w:cs="Times New Roman"/>
                <w:bCs/>
                <w:color w:val="auto"/>
                <w:kern w:val="0"/>
                <w:szCs w:val="21"/>
                <w:lang w:bidi="ar"/>
              </w:rPr>
              <w:t>ZH35098120009</w:t>
            </w:r>
          </w:p>
        </w:tc>
        <w:tc>
          <w:tcPr>
            <w:tcW w:w="351" w:type="pct"/>
            <w:vMerge w:val="restart"/>
            <w:tcBorders>
              <w:tl2br w:val="nil"/>
              <w:tr2bl w:val="nil"/>
            </w:tcBorders>
            <w:tcMar>
              <w:top w:w="0" w:type="dxa"/>
              <w:left w:w="28" w:type="dxa"/>
              <w:bottom w:w="0" w:type="dxa"/>
              <w:right w:w="28" w:type="dxa"/>
            </w:tcMar>
            <w:vAlign w:val="center"/>
          </w:tcPr>
          <w:p w14:paraId="2B923399">
            <w:pPr>
              <w:widowControl/>
              <w:adjustRightInd w:val="0"/>
              <w:snapToGrid w:val="0"/>
              <w:spacing w:before="75" w:beforeLines="20" w:line="288" w:lineRule="auto"/>
              <w:jc w:val="center"/>
              <w:textAlignment w:val="center"/>
              <w:rPr>
                <w:rFonts w:hint="default" w:ascii="Times New Roman" w:hAnsi="Times New Roman" w:cs="Times New Roman"/>
                <w:bCs/>
                <w:color w:val="auto"/>
                <w:kern w:val="0"/>
                <w:szCs w:val="21"/>
                <w:lang w:bidi="ar"/>
              </w:rPr>
            </w:pPr>
            <w:r>
              <w:rPr>
                <w:rFonts w:hint="default" w:ascii="Times New Roman" w:hAnsi="Times New Roman" w:cs="Times New Roman"/>
                <w:color w:val="auto"/>
                <w:szCs w:val="21"/>
              </w:rPr>
              <w:t>沙县金古空港经济开发区</w:t>
            </w:r>
          </w:p>
        </w:tc>
        <w:tc>
          <w:tcPr>
            <w:tcW w:w="278" w:type="pct"/>
            <w:vMerge w:val="restart"/>
            <w:tcBorders>
              <w:tl2br w:val="nil"/>
              <w:tr2bl w:val="nil"/>
            </w:tcBorders>
            <w:tcMar>
              <w:top w:w="0" w:type="dxa"/>
              <w:left w:w="28" w:type="dxa"/>
              <w:bottom w:w="0" w:type="dxa"/>
              <w:right w:w="28" w:type="dxa"/>
            </w:tcMar>
            <w:vAlign w:val="center"/>
          </w:tcPr>
          <w:p w14:paraId="49A1E716">
            <w:pPr>
              <w:widowControl/>
              <w:adjustRightInd w:val="0"/>
              <w:snapToGrid w:val="0"/>
              <w:spacing w:before="75" w:beforeLines="20" w:line="288" w:lineRule="auto"/>
              <w:jc w:val="center"/>
              <w:textAlignment w:val="center"/>
              <w:rPr>
                <w:rFonts w:hint="default" w:ascii="Times New Roman" w:hAnsi="Times New Roman" w:cs="Times New Roman"/>
                <w:bCs/>
                <w:color w:val="auto"/>
                <w:szCs w:val="21"/>
              </w:rPr>
            </w:pPr>
            <w:r>
              <w:rPr>
                <w:rFonts w:hint="default" w:ascii="Times New Roman" w:hAnsi="Times New Roman" w:cs="Times New Roman"/>
                <w:bCs/>
                <w:color w:val="auto"/>
                <w:kern w:val="0"/>
                <w:szCs w:val="21"/>
              </w:rPr>
              <w:t>重点管控单元</w:t>
            </w:r>
          </w:p>
        </w:tc>
        <w:tc>
          <w:tcPr>
            <w:tcW w:w="378" w:type="pct"/>
            <w:tcBorders>
              <w:tl2br w:val="nil"/>
              <w:tr2bl w:val="nil"/>
            </w:tcBorders>
            <w:tcMar>
              <w:top w:w="0" w:type="dxa"/>
              <w:left w:w="28" w:type="dxa"/>
              <w:bottom w:w="0" w:type="dxa"/>
              <w:right w:w="28" w:type="dxa"/>
            </w:tcMar>
            <w:vAlign w:val="center"/>
          </w:tcPr>
          <w:p w14:paraId="72A34655">
            <w:pPr>
              <w:widowControl/>
              <w:adjustRightInd w:val="0"/>
              <w:snapToGrid w:val="0"/>
              <w:spacing w:line="288" w:lineRule="auto"/>
              <w:jc w:val="center"/>
              <w:rPr>
                <w:rFonts w:hint="default" w:ascii="Times New Roman" w:hAnsi="Times New Roman" w:cs="Times New Roman"/>
                <w:bCs/>
                <w:color w:val="auto"/>
                <w:szCs w:val="21"/>
              </w:rPr>
            </w:pPr>
            <w:r>
              <w:rPr>
                <w:rFonts w:hint="default" w:ascii="Times New Roman" w:hAnsi="Times New Roman" w:cs="Times New Roman"/>
                <w:bCs/>
                <w:color w:val="auto"/>
                <w:kern w:val="0"/>
                <w:szCs w:val="21"/>
              </w:rPr>
              <w:t>空间布局约束</w:t>
            </w:r>
          </w:p>
        </w:tc>
        <w:tc>
          <w:tcPr>
            <w:tcW w:w="2098" w:type="pct"/>
            <w:tcBorders>
              <w:tl2br w:val="nil"/>
              <w:tr2bl w:val="nil"/>
            </w:tcBorders>
            <w:tcMar>
              <w:top w:w="0" w:type="dxa"/>
              <w:left w:w="28" w:type="dxa"/>
              <w:bottom w:w="0" w:type="dxa"/>
              <w:right w:w="28" w:type="dxa"/>
            </w:tcMar>
            <w:vAlign w:val="center"/>
          </w:tcPr>
          <w:p w14:paraId="0786B2C9">
            <w:pPr>
              <w:pStyle w:val="30"/>
              <w:numPr>
                <w:ilvl w:val="0"/>
                <w:numId w:val="4"/>
              </w:numPr>
              <w:adjustRightInd w:val="0"/>
              <w:snapToGrid w:val="0"/>
              <w:spacing w:before="0" w:beforeAutospacing="0" w:after="0" w:afterAutospacing="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东区：竹木加工行业应严格控制利用天然阔叶林为原料的木材加工资源消耗型项目。</w:t>
            </w:r>
          </w:p>
          <w:p w14:paraId="3B0C7159">
            <w:pPr>
              <w:pStyle w:val="30"/>
              <w:numPr>
                <w:ilvl w:val="0"/>
                <w:numId w:val="4"/>
              </w:numPr>
              <w:adjustRightInd w:val="0"/>
              <w:snapToGrid w:val="0"/>
              <w:spacing w:before="0" w:beforeAutospacing="0" w:after="0" w:afterAutospacing="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北片区：新材料产业禁止引入电子元件前端污染严重的工序，禁止引入多晶硅生产项目。金属深加工业禁止引进前端冶炼项目。</w:t>
            </w:r>
          </w:p>
          <w:p w14:paraId="2EF55897">
            <w:pPr>
              <w:pStyle w:val="30"/>
              <w:numPr>
                <w:ilvl w:val="0"/>
                <w:numId w:val="4"/>
              </w:numPr>
              <w:adjustRightInd w:val="0"/>
              <w:snapToGrid w:val="0"/>
              <w:spacing w:before="0" w:beforeAutospacing="0" w:after="0" w:afterAutospacing="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东区二期:严格限制建设生产和使用高VOCs含量的溶剂涂料、油墨、胶黏剂等项目。</w:t>
            </w:r>
          </w:p>
          <w:p w14:paraId="508113A7">
            <w:pPr>
              <w:pStyle w:val="30"/>
              <w:numPr>
                <w:ilvl w:val="0"/>
                <w:numId w:val="4"/>
              </w:numPr>
              <w:adjustRightInd w:val="0"/>
              <w:snapToGrid w:val="0"/>
              <w:spacing w:before="0" w:beforeAutospacing="0" w:after="0" w:afterAutospacing="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按三明沙县机场控高要求控制本区域企业污染物排放高度、方式及开发强度。</w:t>
            </w:r>
          </w:p>
          <w:p w14:paraId="291197A2">
            <w:pPr>
              <w:pStyle w:val="30"/>
              <w:adjustRightInd w:val="0"/>
              <w:snapToGrid w:val="0"/>
              <w:spacing w:before="0" w:beforeAutospacing="0" w:after="0" w:afterAutospacing="0"/>
              <w:jc w:val="both"/>
              <w:rPr>
                <w:rFonts w:hint="default" w:ascii="Times New Roman" w:hAnsi="Times New Roman" w:cs="Times New Roman"/>
                <w:bCs/>
                <w:color w:val="auto"/>
                <w:sz w:val="21"/>
                <w:szCs w:val="21"/>
              </w:rPr>
            </w:pPr>
            <w:r>
              <w:rPr>
                <w:rFonts w:hint="default" w:ascii="Times New Roman" w:hAnsi="Times New Roman" w:cs="Times New Roman"/>
                <w:color w:val="auto"/>
                <w:sz w:val="21"/>
                <w:szCs w:val="21"/>
              </w:rPr>
              <w:t>5.居住用地周边禁止布局潜在废气扰民的建设项目。</w:t>
            </w:r>
          </w:p>
        </w:tc>
        <w:tc>
          <w:tcPr>
            <w:tcW w:w="1248" w:type="pct"/>
            <w:tcBorders>
              <w:tl2br w:val="nil"/>
              <w:tr2bl w:val="nil"/>
            </w:tcBorders>
            <w:tcMar>
              <w:top w:w="0" w:type="dxa"/>
              <w:left w:w="28" w:type="dxa"/>
              <w:bottom w:w="0" w:type="dxa"/>
              <w:right w:w="28" w:type="dxa"/>
            </w:tcMar>
            <w:vAlign w:val="center"/>
          </w:tcPr>
          <w:p w14:paraId="3AE6A002">
            <w:pPr>
              <w:keepNext w:val="0"/>
              <w:keepLines w:val="0"/>
              <w:pageBreakBefore w:val="0"/>
              <w:widowControl/>
              <w:kinsoku/>
              <w:wordWrap/>
              <w:overflowPunct/>
              <w:topLinePunct w:val="0"/>
              <w:autoSpaceDE/>
              <w:autoSpaceDN/>
              <w:bidi w:val="0"/>
              <w:adjustRightInd w:val="0"/>
              <w:snapToGrid w:val="0"/>
              <w:spacing w:line="360" w:lineRule="auto"/>
              <w:ind w:firstLine="420" w:firstLineChars="200"/>
              <w:textAlignment w:val="center"/>
              <w:rPr>
                <w:rFonts w:hint="default" w:ascii="Times New Roman" w:hAnsi="Times New Roman" w:cs="Times New Roman"/>
                <w:bCs/>
                <w:color w:val="auto"/>
                <w:szCs w:val="21"/>
                <w:highlight w:val="yellow"/>
              </w:rPr>
            </w:pPr>
            <w:r>
              <w:rPr>
                <w:rFonts w:hint="default" w:ascii="Times New Roman" w:hAnsi="Times New Roman" w:cs="Times New Roman"/>
                <w:color w:val="auto"/>
                <w:szCs w:val="21"/>
              </w:rPr>
              <w:t>项</w:t>
            </w:r>
            <w:r>
              <w:rPr>
                <w:rFonts w:hint="default" w:ascii="Times New Roman" w:hAnsi="Times New Roman" w:cs="Times New Roman"/>
                <w:color w:val="auto"/>
                <w:szCs w:val="21"/>
                <w:highlight w:val="none"/>
              </w:rPr>
              <w:t>目位于北片区，属于金属制品业，并配套表面处理深加工，不属于禁止引进的前端冶炼项目</w:t>
            </w:r>
            <w:r>
              <w:rPr>
                <w:rFonts w:hint="default" w:ascii="Times New Roman" w:hAnsi="Times New Roman" w:cs="Times New Roman"/>
                <w:bCs/>
                <w:color w:val="auto"/>
                <w:szCs w:val="21"/>
                <w:highlight w:val="none"/>
              </w:rPr>
              <w:t>。</w:t>
            </w:r>
          </w:p>
        </w:tc>
        <w:tc>
          <w:tcPr>
            <w:tcW w:w="280" w:type="pct"/>
            <w:tcBorders>
              <w:tl2br w:val="nil"/>
              <w:tr2bl w:val="nil"/>
            </w:tcBorders>
            <w:tcMar>
              <w:top w:w="0" w:type="dxa"/>
              <w:left w:w="28" w:type="dxa"/>
              <w:bottom w:w="0" w:type="dxa"/>
              <w:right w:w="28" w:type="dxa"/>
            </w:tcMar>
            <w:vAlign w:val="center"/>
          </w:tcPr>
          <w:p w14:paraId="1563353D">
            <w:pPr>
              <w:widowControl/>
              <w:adjustRightInd w:val="0"/>
              <w:snapToGrid w:val="0"/>
              <w:spacing w:before="75" w:beforeLines="20" w:line="288" w:lineRule="auto"/>
              <w:jc w:val="center"/>
              <w:textAlignment w:val="center"/>
              <w:rPr>
                <w:rFonts w:hint="default" w:ascii="Times New Roman" w:hAnsi="Times New Roman" w:cs="Times New Roman"/>
                <w:bCs/>
                <w:color w:val="auto"/>
                <w:szCs w:val="21"/>
              </w:rPr>
            </w:pPr>
            <w:r>
              <w:rPr>
                <w:rFonts w:hint="default" w:ascii="Times New Roman" w:hAnsi="Times New Roman" w:cs="Times New Roman"/>
                <w:color w:val="auto"/>
                <w:szCs w:val="21"/>
              </w:rPr>
              <w:t>符合</w:t>
            </w:r>
          </w:p>
        </w:tc>
      </w:tr>
      <w:tr w14:paraId="3E984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363" w:type="pct"/>
            <w:vMerge w:val="continue"/>
            <w:tcBorders>
              <w:tl2br w:val="nil"/>
              <w:tr2bl w:val="nil"/>
            </w:tcBorders>
            <w:tcMar>
              <w:top w:w="0" w:type="dxa"/>
              <w:left w:w="28" w:type="dxa"/>
              <w:bottom w:w="0" w:type="dxa"/>
              <w:right w:w="28" w:type="dxa"/>
            </w:tcMar>
            <w:vAlign w:val="center"/>
          </w:tcPr>
          <w:p w14:paraId="1D0ED3DD">
            <w:pPr>
              <w:widowControl/>
              <w:adjustRightInd w:val="0"/>
              <w:snapToGrid w:val="0"/>
              <w:spacing w:before="75" w:beforeLines="20" w:line="288" w:lineRule="auto"/>
              <w:jc w:val="center"/>
              <w:textAlignment w:val="center"/>
              <w:rPr>
                <w:rFonts w:hint="default" w:ascii="Times New Roman" w:hAnsi="Times New Roman" w:cs="Times New Roman"/>
                <w:bCs/>
                <w:color w:val="auto"/>
                <w:kern w:val="0"/>
                <w:szCs w:val="21"/>
                <w:lang w:bidi="ar"/>
              </w:rPr>
            </w:pPr>
          </w:p>
        </w:tc>
        <w:tc>
          <w:tcPr>
            <w:tcW w:w="351" w:type="pct"/>
            <w:vMerge w:val="continue"/>
            <w:tcBorders>
              <w:tl2br w:val="nil"/>
              <w:tr2bl w:val="nil"/>
            </w:tcBorders>
            <w:tcMar>
              <w:top w:w="0" w:type="dxa"/>
              <w:left w:w="28" w:type="dxa"/>
              <w:bottom w:w="0" w:type="dxa"/>
              <w:right w:w="28" w:type="dxa"/>
            </w:tcMar>
            <w:vAlign w:val="center"/>
          </w:tcPr>
          <w:p w14:paraId="69648F12">
            <w:pPr>
              <w:widowControl/>
              <w:adjustRightInd w:val="0"/>
              <w:snapToGrid w:val="0"/>
              <w:spacing w:before="75" w:beforeLines="20" w:line="288" w:lineRule="auto"/>
              <w:jc w:val="center"/>
              <w:textAlignment w:val="center"/>
              <w:rPr>
                <w:rFonts w:hint="default" w:ascii="Times New Roman" w:hAnsi="Times New Roman" w:cs="Times New Roman"/>
                <w:bCs/>
                <w:color w:val="auto"/>
                <w:kern w:val="0"/>
                <w:szCs w:val="21"/>
                <w:lang w:bidi="ar"/>
              </w:rPr>
            </w:pPr>
          </w:p>
        </w:tc>
        <w:tc>
          <w:tcPr>
            <w:tcW w:w="278" w:type="pct"/>
            <w:vMerge w:val="continue"/>
            <w:tcBorders>
              <w:tl2br w:val="nil"/>
              <w:tr2bl w:val="nil"/>
            </w:tcBorders>
            <w:tcMar>
              <w:top w:w="0" w:type="dxa"/>
              <w:left w:w="28" w:type="dxa"/>
              <w:bottom w:w="0" w:type="dxa"/>
              <w:right w:w="28" w:type="dxa"/>
            </w:tcMar>
            <w:vAlign w:val="center"/>
          </w:tcPr>
          <w:p w14:paraId="6B6F1FD7">
            <w:pPr>
              <w:widowControl/>
              <w:adjustRightInd w:val="0"/>
              <w:snapToGrid w:val="0"/>
              <w:spacing w:before="75" w:beforeLines="20" w:line="288" w:lineRule="auto"/>
              <w:jc w:val="center"/>
              <w:textAlignment w:val="center"/>
              <w:rPr>
                <w:rFonts w:hint="default" w:ascii="Times New Roman" w:hAnsi="Times New Roman" w:cs="Times New Roman"/>
                <w:bCs/>
                <w:color w:val="auto"/>
                <w:szCs w:val="21"/>
              </w:rPr>
            </w:pPr>
          </w:p>
        </w:tc>
        <w:tc>
          <w:tcPr>
            <w:tcW w:w="378" w:type="pct"/>
            <w:tcBorders>
              <w:tl2br w:val="nil"/>
              <w:tr2bl w:val="nil"/>
            </w:tcBorders>
            <w:tcMar>
              <w:top w:w="0" w:type="dxa"/>
              <w:left w:w="28" w:type="dxa"/>
              <w:bottom w:w="0" w:type="dxa"/>
              <w:right w:w="28" w:type="dxa"/>
            </w:tcMar>
            <w:vAlign w:val="center"/>
          </w:tcPr>
          <w:p w14:paraId="0144A341">
            <w:pPr>
              <w:widowControl/>
              <w:adjustRightInd w:val="0"/>
              <w:snapToGrid w:val="0"/>
              <w:spacing w:before="75" w:beforeLines="20" w:line="288" w:lineRule="auto"/>
              <w:jc w:val="center"/>
              <w:rPr>
                <w:rFonts w:hint="default" w:ascii="Times New Roman" w:hAnsi="Times New Roman" w:cs="Times New Roman"/>
                <w:bCs/>
                <w:color w:val="auto"/>
                <w:szCs w:val="21"/>
              </w:rPr>
            </w:pPr>
            <w:r>
              <w:rPr>
                <w:rFonts w:hint="default" w:ascii="Times New Roman" w:hAnsi="Times New Roman" w:cs="Times New Roman"/>
                <w:bCs/>
                <w:color w:val="auto"/>
                <w:kern w:val="0"/>
                <w:szCs w:val="21"/>
              </w:rPr>
              <w:t>污染物排放管控</w:t>
            </w:r>
          </w:p>
        </w:tc>
        <w:tc>
          <w:tcPr>
            <w:tcW w:w="2098" w:type="pct"/>
            <w:tcBorders>
              <w:tl2br w:val="nil"/>
              <w:tr2bl w:val="nil"/>
            </w:tcBorders>
            <w:tcMar>
              <w:top w:w="0" w:type="dxa"/>
              <w:left w:w="28" w:type="dxa"/>
              <w:bottom w:w="0" w:type="dxa"/>
              <w:right w:w="28" w:type="dxa"/>
            </w:tcMar>
            <w:vAlign w:val="center"/>
          </w:tcPr>
          <w:p w14:paraId="72732659">
            <w:pPr>
              <w:adjustRightInd w:val="0"/>
              <w:snapToGrid w:val="0"/>
              <w:spacing w:before="75" w:beforeLines="20" w:line="288" w:lineRule="auto"/>
              <w:rPr>
                <w:rFonts w:hint="default" w:ascii="Times New Roman" w:hAnsi="Times New Roman" w:cs="Times New Roman"/>
                <w:bCs/>
                <w:color w:val="auto"/>
                <w:szCs w:val="21"/>
              </w:rPr>
            </w:pPr>
            <w:r>
              <w:rPr>
                <w:rFonts w:hint="default" w:ascii="Times New Roman" w:hAnsi="Times New Roman" w:cs="Times New Roman"/>
                <w:color w:val="auto"/>
                <w:szCs w:val="21"/>
              </w:rPr>
              <w:t>1.新建、改建、扩建项目，新增污染物排放按照福建省排污权有偿使用和交易相关文件执行。新建涉VOCs项目，VOCs排放按照福建省相关政策要求落实。</w:t>
            </w:r>
          </w:p>
        </w:tc>
        <w:tc>
          <w:tcPr>
            <w:tcW w:w="1248" w:type="pct"/>
            <w:tcBorders>
              <w:tl2br w:val="nil"/>
              <w:tr2bl w:val="nil"/>
            </w:tcBorders>
            <w:tcMar>
              <w:top w:w="0" w:type="dxa"/>
              <w:left w:w="28" w:type="dxa"/>
              <w:bottom w:w="0" w:type="dxa"/>
              <w:right w:w="28" w:type="dxa"/>
            </w:tcMar>
            <w:vAlign w:val="center"/>
          </w:tcPr>
          <w:p w14:paraId="1EB60F43">
            <w:pPr>
              <w:widowControl/>
              <w:adjustRightInd w:val="0"/>
              <w:snapToGrid w:val="0"/>
              <w:spacing w:before="75" w:beforeLines="20" w:line="288" w:lineRule="auto"/>
              <w:ind w:firstLine="420" w:firstLineChars="200"/>
              <w:textAlignment w:val="center"/>
              <w:rPr>
                <w:rFonts w:hint="default" w:ascii="Times New Roman" w:hAnsi="Times New Roman" w:eastAsia="宋体" w:cs="Times New Roman"/>
                <w:bCs/>
                <w:color w:val="auto"/>
                <w:szCs w:val="21"/>
                <w:highlight w:val="yellow"/>
                <w:lang w:eastAsia="zh-CN"/>
              </w:rPr>
            </w:pPr>
            <w:r>
              <w:rPr>
                <w:rFonts w:hint="default" w:ascii="Times New Roman" w:hAnsi="Times New Roman" w:cs="Times New Roman"/>
                <w:color w:val="auto"/>
                <w:szCs w:val="21"/>
              </w:rPr>
              <w:t>本项目新增的COD、氨氮、二氧化硫、氮氧化物污染物排放应按照福建省排污权有偿使用和交易相关文件执行</w:t>
            </w:r>
            <w:r>
              <w:rPr>
                <w:rFonts w:hint="default" w:ascii="Times New Roman" w:hAnsi="Times New Roman" w:cs="Times New Roman"/>
                <w:color w:val="auto"/>
                <w:szCs w:val="21"/>
                <w:lang w:eastAsia="zh-CN"/>
              </w:rPr>
              <w:t>。</w:t>
            </w:r>
          </w:p>
        </w:tc>
        <w:tc>
          <w:tcPr>
            <w:tcW w:w="280" w:type="pct"/>
            <w:tcBorders>
              <w:tl2br w:val="nil"/>
              <w:tr2bl w:val="nil"/>
            </w:tcBorders>
            <w:tcMar>
              <w:top w:w="0" w:type="dxa"/>
              <w:left w:w="28" w:type="dxa"/>
              <w:bottom w:w="0" w:type="dxa"/>
              <w:right w:w="28" w:type="dxa"/>
            </w:tcMar>
            <w:vAlign w:val="center"/>
          </w:tcPr>
          <w:p w14:paraId="0527E54A">
            <w:pPr>
              <w:widowControl/>
              <w:adjustRightInd w:val="0"/>
              <w:snapToGrid w:val="0"/>
              <w:spacing w:before="75" w:beforeLines="20" w:line="288" w:lineRule="auto"/>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bookmarkEnd w:id="22"/>
      <w:tr w14:paraId="79C3C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363" w:type="pct"/>
            <w:vMerge w:val="continue"/>
            <w:tcBorders>
              <w:tl2br w:val="nil"/>
              <w:tr2bl w:val="nil"/>
            </w:tcBorders>
            <w:tcMar>
              <w:top w:w="0" w:type="dxa"/>
              <w:left w:w="28" w:type="dxa"/>
              <w:bottom w:w="0" w:type="dxa"/>
              <w:right w:w="28" w:type="dxa"/>
            </w:tcMar>
            <w:vAlign w:val="center"/>
          </w:tcPr>
          <w:p w14:paraId="765F85A5">
            <w:pPr>
              <w:widowControl/>
              <w:adjustRightInd w:val="0"/>
              <w:snapToGrid w:val="0"/>
              <w:spacing w:before="75" w:beforeLines="20" w:line="288" w:lineRule="auto"/>
              <w:jc w:val="center"/>
              <w:textAlignment w:val="center"/>
              <w:rPr>
                <w:rFonts w:hint="default" w:ascii="Times New Roman" w:hAnsi="Times New Roman" w:cs="Times New Roman"/>
                <w:bCs/>
                <w:color w:val="auto"/>
                <w:kern w:val="0"/>
                <w:szCs w:val="21"/>
                <w:lang w:bidi="ar"/>
              </w:rPr>
            </w:pPr>
          </w:p>
        </w:tc>
        <w:tc>
          <w:tcPr>
            <w:tcW w:w="351" w:type="pct"/>
            <w:vMerge w:val="continue"/>
            <w:tcBorders>
              <w:tl2br w:val="nil"/>
              <w:tr2bl w:val="nil"/>
            </w:tcBorders>
            <w:tcMar>
              <w:top w:w="0" w:type="dxa"/>
              <w:left w:w="28" w:type="dxa"/>
              <w:bottom w:w="0" w:type="dxa"/>
              <w:right w:w="28" w:type="dxa"/>
            </w:tcMar>
            <w:vAlign w:val="center"/>
          </w:tcPr>
          <w:p w14:paraId="05E40EA6">
            <w:pPr>
              <w:widowControl/>
              <w:adjustRightInd w:val="0"/>
              <w:snapToGrid w:val="0"/>
              <w:spacing w:before="75" w:beforeLines="20" w:line="288" w:lineRule="auto"/>
              <w:jc w:val="center"/>
              <w:textAlignment w:val="center"/>
              <w:rPr>
                <w:rFonts w:hint="default" w:ascii="Times New Roman" w:hAnsi="Times New Roman" w:cs="Times New Roman"/>
                <w:bCs/>
                <w:color w:val="auto"/>
                <w:kern w:val="0"/>
                <w:szCs w:val="21"/>
                <w:lang w:bidi="ar"/>
              </w:rPr>
            </w:pPr>
          </w:p>
        </w:tc>
        <w:tc>
          <w:tcPr>
            <w:tcW w:w="278" w:type="pct"/>
            <w:vMerge w:val="continue"/>
            <w:tcBorders>
              <w:tl2br w:val="nil"/>
              <w:tr2bl w:val="nil"/>
            </w:tcBorders>
            <w:tcMar>
              <w:top w:w="0" w:type="dxa"/>
              <w:left w:w="28" w:type="dxa"/>
              <w:bottom w:w="0" w:type="dxa"/>
              <w:right w:w="28" w:type="dxa"/>
            </w:tcMar>
            <w:vAlign w:val="center"/>
          </w:tcPr>
          <w:p w14:paraId="10989A2A">
            <w:pPr>
              <w:widowControl/>
              <w:adjustRightInd w:val="0"/>
              <w:snapToGrid w:val="0"/>
              <w:spacing w:before="75" w:beforeLines="20" w:line="288" w:lineRule="auto"/>
              <w:jc w:val="center"/>
              <w:textAlignment w:val="center"/>
              <w:rPr>
                <w:rFonts w:hint="default" w:ascii="Times New Roman" w:hAnsi="Times New Roman" w:cs="Times New Roman"/>
                <w:bCs/>
                <w:color w:val="auto"/>
                <w:szCs w:val="21"/>
              </w:rPr>
            </w:pPr>
          </w:p>
        </w:tc>
        <w:tc>
          <w:tcPr>
            <w:tcW w:w="378" w:type="pct"/>
            <w:tcBorders>
              <w:tl2br w:val="nil"/>
              <w:tr2bl w:val="nil"/>
            </w:tcBorders>
            <w:tcMar>
              <w:top w:w="0" w:type="dxa"/>
              <w:left w:w="28" w:type="dxa"/>
              <w:bottom w:w="0" w:type="dxa"/>
              <w:right w:w="28" w:type="dxa"/>
            </w:tcMar>
            <w:vAlign w:val="center"/>
          </w:tcPr>
          <w:p w14:paraId="33E59110">
            <w:pPr>
              <w:widowControl/>
              <w:adjustRightInd w:val="0"/>
              <w:snapToGrid w:val="0"/>
              <w:spacing w:before="75" w:beforeLines="20" w:line="288" w:lineRule="auto"/>
              <w:jc w:val="center"/>
              <w:rPr>
                <w:rFonts w:hint="default" w:ascii="Times New Roman" w:hAnsi="Times New Roman" w:cs="Times New Roman"/>
                <w:bCs/>
                <w:color w:val="auto"/>
                <w:szCs w:val="21"/>
              </w:rPr>
            </w:pPr>
            <w:r>
              <w:rPr>
                <w:rFonts w:hint="default" w:ascii="Times New Roman" w:hAnsi="Times New Roman" w:cs="Times New Roman"/>
                <w:bCs/>
                <w:color w:val="auto"/>
                <w:kern w:val="0"/>
                <w:szCs w:val="21"/>
              </w:rPr>
              <w:t>环境风险防控</w:t>
            </w:r>
          </w:p>
        </w:tc>
        <w:tc>
          <w:tcPr>
            <w:tcW w:w="2098" w:type="pct"/>
            <w:tcBorders>
              <w:tl2br w:val="nil"/>
              <w:tr2bl w:val="nil"/>
            </w:tcBorders>
            <w:tcMar>
              <w:top w:w="0" w:type="dxa"/>
              <w:left w:w="28" w:type="dxa"/>
              <w:bottom w:w="0" w:type="dxa"/>
              <w:right w:w="28" w:type="dxa"/>
            </w:tcMar>
            <w:vAlign w:val="center"/>
          </w:tcPr>
          <w:p w14:paraId="5FB1F1EB">
            <w:pPr>
              <w:pStyle w:val="30"/>
              <w:numPr>
                <w:ilvl w:val="255"/>
                <w:numId w:val="0"/>
              </w:numPr>
              <w:adjustRightInd w:val="0"/>
              <w:snapToGrid w:val="0"/>
              <w:spacing w:before="0" w:beforeAutospacing="0" w:after="0" w:afterAutospacing="0"/>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1.切实加强化工等重污染行业、企业污染及应急防控，所有化工企业，要配套建设事故应急池和雨水总排口切换阀，配备应急救援物资，安装特征污染物在线监控设施。</w:t>
            </w:r>
          </w:p>
          <w:p w14:paraId="4A9E9EE2">
            <w:pPr>
              <w:pStyle w:val="30"/>
              <w:numPr>
                <w:ilvl w:val="0"/>
                <w:numId w:val="5"/>
              </w:numPr>
              <w:adjustRightInd w:val="0"/>
              <w:snapToGrid w:val="0"/>
              <w:spacing w:before="0" w:beforeAutospacing="0" w:after="0" w:afterAutospacing="0"/>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建设企业、园区和周边水系三级环境风险防控工程，确保有效拦截、降污和导流；受园区排污影响的周边水系应建设应急闸门，防止泄漏物和消防水等排入外环境。</w:t>
            </w:r>
          </w:p>
          <w:p w14:paraId="291EDB64">
            <w:pPr>
              <w:pStyle w:val="30"/>
              <w:numPr>
                <w:ilvl w:val="255"/>
                <w:numId w:val="0"/>
              </w:numPr>
              <w:adjustRightInd w:val="0"/>
              <w:snapToGrid w:val="0"/>
              <w:spacing w:before="0" w:beforeAutospacing="0" w:after="0" w:afterAutospacing="0"/>
              <w:rPr>
                <w:rFonts w:hint="default" w:ascii="Times New Roman" w:hAnsi="Times New Roman" w:cs="Times New Roman"/>
                <w:bCs/>
                <w:color w:val="auto"/>
                <w:sz w:val="21"/>
                <w:szCs w:val="21"/>
              </w:rPr>
            </w:pPr>
            <w:r>
              <w:rPr>
                <w:rFonts w:hint="default" w:ascii="Times New Roman" w:hAnsi="Times New Roman" w:cs="Times New Roman"/>
                <w:color w:val="auto"/>
                <w:kern w:val="2"/>
                <w:sz w:val="21"/>
                <w:szCs w:val="21"/>
              </w:rPr>
              <w:t>3.应采取有效措施防止园区建设对区域地下水、土壤造成污染。</w:t>
            </w:r>
          </w:p>
        </w:tc>
        <w:tc>
          <w:tcPr>
            <w:tcW w:w="1248" w:type="pct"/>
            <w:tcBorders>
              <w:tl2br w:val="nil"/>
              <w:tr2bl w:val="nil"/>
            </w:tcBorders>
            <w:tcMar>
              <w:top w:w="0" w:type="dxa"/>
              <w:left w:w="28" w:type="dxa"/>
              <w:bottom w:w="0" w:type="dxa"/>
              <w:right w:w="28" w:type="dxa"/>
            </w:tcMar>
            <w:vAlign w:val="center"/>
          </w:tcPr>
          <w:p w14:paraId="2ED46BFF">
            <w:pPr>
              <w:keepNext w:val="0"/>
              <w:keepLines w:val="0"/>
              <w:pageBreakBefore w:val="0"/>
              <w:widowControl/>
              <w:kinsoku/>
              <w:wordWrap/>
              <w:overflowPunct/>
              <w:topLinePunct w:val="0"/>
              <w:autoSpaceDE/>
              <w:autoSpaceDN/>
              <w:bidi w:val="0"/>
              <w:adjustRightInd w:val="0"/>
              <w:snapToGrid w:val="0"/>
              <w:spacing w:line="240" w:lineRule="auto"/>
              <w:ind w:firstLine="420" w:firstLineChars="200"/>
              <w:textAlignment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本项目建设</w:t>
            </w:r>
            <w:r>
              <w:rPr>
                <w:rFonts w:hint="default" w:ascii="Times New Roman" w:hAnsi="Times New Roman" w:cs="Times New Roman"/>
                <w:color w:val="auto"/>
                <w:highlight w:val="none"/>
                <w:lang w:val="en-US" w:eastAsia="zh-CN"/>
              </w:rPr>
              <w:t>302</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szCs w:val="21"/>
                <w:highlight w:val="none"/>
              </w:rPr>
              <w:t>事故应急池，对厂区雨污分流进行改造，雨水总排口设置切换阀。</w:t>
            </w:r>
          </w:p>
          <w:p w14:paraId="60572FB9">
            <w:pPr>
              <w:keepNext w:val="0"/>
              <w:keepLines w:val="0"/>
              <w:pageBreakBefore w:val="0"/>
              <w:widowControl/>
              <w:kinsoku/>
              <w:wordWrap/>
              <w:overflowPunct/>
              <w:topLinePunct w:val="0"/>
              <w:autoSpaceDE/>
              <w:autoSpaceDN/>
              <w:bidi w:val="0"/>
              <w:adjustRightInd w:val="0"/>
              <w:snapToGrid w:val="0"/>
              <w:spacing w:line="240" w:lineRule="auto"/>
              <w:ind w:firstLine="420" w:firstLineChars="200"/>
              <w:textAlignment w:val="center"/>
              <w:rPr>
                <w:rFonts w:hint="default" w:ascii="Times New Roman" w:hAnsi="Times New Roman" w:cs="Times New Roman"/>
                <w:bCs/>
                <w:color w:val="auto"/>
                <w:szCs w:val="21"/>
                <w:highlight w:val="yellow"/>
              </w:rPr>
            </w:pPr>
            <w:r>
              <w:rPr>
                <w:rFonts w:hint="default" w:ascii="Times New Roman" w:hAnsi="Times New Roman" w:cs="Times New Roman"/>
                <w:color w:val="auto"/>
                <w:highlight w:val="none"/>
              </w:rPr>
              <w:t>本品加要求公司</w:t>
            </w:r>
            <w:r>
              <w:rPr>
                <w:rFonts w:hint="default" w:ascii="Times New Roman" w:hAnsi="Times New Roman" w:cs="Times New Roman"/>
                <w:color w:val="auto"/>
                <w:highlight w:val="none"/>
                <w:lang w:val="en-US" w:eastAsia="zh-CN"/>
              </w:rPr>
              <w:t>编制</w:t>
            </w:r>
            <w:r>
              <w:rPr>
                <w:rFonts w:hint="default" w:ascii="Times New Roman" w:hAnsi="Times New Roman" w:cs="Times New Roman"/>
                <w:color w:val="auto"/>
                <w:highlight w:val="none"/>
              </w:rPr>
              <w:t>《突发环境事件应急预案》，</w:t>
            </w:r>
            <w:r>
              <w:rPr>
                <w:rFonts w:hint="default" w:ascii="Times New Roman" w:hAnsi="Times New Roman" w:cs="Times New Roman"/>
                <w:color w:val="auto"/>
                <w:szCs w:val="21"/>
                <w:highlight w:val="none"/>
              </w:rPr>
              <w:t>配备应急救援物资，</w:t>
            </w:r>
            <w:r>
              <w:rPr>
                <w:rFonts w:hint="default" w:ascii="Times New Roman" w:hAnsi="Times New Roman" w:cs="Times New Roman"/>
                <w:color w:val="auto"/>
                <w:highlight w:val="none"/>
              </w:rPr>
              <w:t>并建立完善有效的环境风险防控设施和拦截、降污、导流等措施</w:t>
            </w:r>
            <w:r>
              <w:rPr>
                <w:rFonts w:hint="default" w:ascii="Times New Roman" w:hAnsi="Times New Roman" w:cs="Times New Roman"/>
                <w:color w:val="auto"/>
                <w:szCs w:val="21"/>
                <w:highlight w:val="none"/>
              </w:rPr>
              <w:t>。对</w:t>
            </w:r>
            <w:r>
              <w:rPr>
                <w:rFonts w:hint="default" w:ascii="Times New Roman" w:hAnsi="Times New Roman" w:cs="Times New Roman"/>
                <w:color w:val="auto"/>
                <w:kern w:val="0"/>
                <w:sz w:val="20"/>
                <w:szCs w:val="20"/>
                <w:highlight w:val="none"/>
                <w:lang w:bidi="ar"/>
              </w:rPr>
              <w:t>厂区分区防渗，</w:t>
            </w:r>
            <w:r>
              <w:rPr>
                <w:rFonts w:hint="default" w:ascii="Times New Roman" w:hAnsi="Times New Roman" w:cs="Times New Roman"/>
                <w:color w:val="auto"/>
                <w:szCs w:val="21"/>
                <w:highlight w:val="none"/>
              </w:rPr>
              <w:t>防止地下水、土壤污染</w:t>
            </w:r>
            <w:r>
              <w:rPr>
                <w:rFonts w:hint="default" w:ascii="Times New Roman" w:hAnsi="Times New Roman" w:cs="Times New Roman"/>
                <w:color w:val="auto"/>
                <w:kern w:val="0"/>
                <w:sz w:val="20"/>
                <w:szCs w:val="20"/>
                <w:highlight w:val="none"/>
                <w:lang w:bidi="ar"/>
              </w:rPr>
              <w:t>。</w:t>
            </w:r>
          </w:p>
        </w:tc>
        <w:tc>
          <w:tcPr>
            <w:tcW w:w="280" w:type="pct"/>
            <w:tcBorders>
              <w:tl2br w:val="nil"/>
              <w:tr2bl w:val="nil"/>
            </w:tcBorders>
            <w:tcMar>
              <w:top w:w="0" w:type="dxa"/>
              <w:left w:w="28" w:type="dxa"/>
              <w:bottom w:w="0" w:type="dxa"/>
              <w:right w:w="28" w:type="dxa"/>
            </w:tcMar>
            <w:vAlign w:val="center"/>
          </w:tcPr>
          <w:p w14:paraId="7D04183B">
            <w:pPr>
              <w:widowControl/>
              <w:adjustRightInd w:val="0"/>
              <w:snapToGrid w:val="0"/>
              <w:spacing w:before="75" w:beforeLines="20" w:line="288" w:lineRule="auto"/>
              <w:jc w:val="center"/>
              <w:textAlignment w:val="center"/>
              <w:rPr>
                <w:rFonts w:hint="default" w:ascii="Times New Roman" w:hAnsi="Times New Roman" w:cs="Times New Roman"/>
                <w:bCs/>
                <w:color w:val="auto"/>
                <w:szCs w:val="21"/>
              </w:rPr>
            </w:pPr>
            <w:r>
              <w:rPr>
                <w:rFonts w:hint="default" w:ascii="Times New Roman" w:hAnsi="Times New Roman" w:cs="Times New Roman"/>
                <w:color w:val="auto"/>
                <w:szCs w:val="21"/>
              </w:rPr>
              <w:t>符合</w:t>
            </w:r>
          </w:p>
        </w:tc>
      </w:tr>
      <w:tr w14:paraId="0B2EC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363" w:type="pct"/>
            <w:vMerge w:val="continue"/>
            <w:tcBorders>
              <w:tl2br w:val="nil"/>
              <w:tr2bl w:val="nil"/>
            </w:tcBorders>
            <w:tcMar>
              <w:top w:w="0" w:type="dxa"/>
              <w:left w:w="28" w:type="dxa"/>
              <w:bottom w:w="0" w:type="dxa"/>
              <w:right w:w="28" w:type="dxa"/>
            </w:tcMar>
            <w:vAlign w:val="center"/>
          </w:tcPr>
          <w:p w14:paraId="0F905293">
            <w:pPr>
              <w:widowControl/>
              <w:adjustRightInd w:val="0"/>
              <w:snapToGrid w:val="0"/>
              <w:spacing w:before="75" w:beforeLines="20" w:line="288" w:lineRule="auto"/>
              <w:jc w:val="center"/>
              <w:textAlignment w:val="center"/>
              <w:rPr>
                <w:rFonts w:hint="default" w:ascii="Times New Roman" w:hAnsi="Times New Roman" w:cs="Times New Roman"/>
                <w:bCs/>
                <w:color w:val="auto"/>
                <w:kern w:val="0"/>
                <w:szCs w:val="21"/>
                <w:lang w:bidi="ar"/>
              </w:rPr>
            </w:pPr>
          </w:p>
        </w:tc>
        <w:tc>
          <w:tcPr>
            <w:tcW w:w="351" w:type="pct"/>
            <w:vMerge w:val="continue"/>
            <w:tcBorders>
              <w:tl2br w:val="nil"/>
              <w:tr2bl w:val="nil"/>
            </w:tcBorders>
            <w:tcMar>
              <w:top w:w="0" w:type="dxa"/>
              <w:left w:w="28" w:type="dxa"/>
              <w:bottom w:w="0" w:type="dxa"/>
              <w:right w:w="28" w:type="dxa"/>
            </w:tcMar>
            <w:vAlign w:val="center"/>
          </w:tcPr>
          <w:p w14:paraId="046BCA36">
            <w:pPr>
              <w:widowControl/>
              <w:adjustRightInd w:val="0"/>
              <w:snapToGrid w:val="0"/>
              <w:spacing w:before="75" w:beforeLines="20" w:line="288" w:lineRule="auto"/>
              <w:jc w:val="center"/>
              <w:textAlignment w:val="center"/>
              <w:rPr>
                <w:rFonts w:hint="default" w:ascii="Times New Roman" w:hAnsi="Times New Roman" w:cs="Times New Roman"/>
                <w:bCs/>
                <w:color w:val="auto"/>
                <w:kern w:val="0"/>
                <w:szCs w:val="21"/>
                <w:lang w:bidi="ar"/>
              </w:rPr>
            </w:pPr>
          </w:p>
        </w:tc>
        <w:tc>
          <w:tcPr>
            <w:tcW w:w="278" w:type="pct"/>
            <w:vMerge w:val="continue"/>
            <w:tcBorders>
              <w:tl2br w:val="nil"/>
              <w:tr2bl w:val="nil"/>
            </w:tcBorders>
            <w:tcMar>
              <w:top w:w="0" w:type="dxa"/>
              <w:left w:w="28" w:type="dxa"/>
              <w:bottom w:w="0" w:type="dxa"/>
              <w:right w:w="28" w:type="dxa"/>
            </w:tcMar>
            <w:vAlign w:val="center"/>
          </w:tcPr>
          <w:p w14:paraId="282D9EBB">
            <w:pPr>
              <w:widowControl/>
              <w:adjustRightInd w:val="0"/>
              <w:snapToGrid w:val="0"/>
              <w:spacing w:before="75" w:beforeLines="20" w:line="288" w:lineRule="auto"/>
              <w:jc w:val="center"/>
              <w:textAlignment w:val="center"/>
              <w:rPr>
                <w:rFonts w:hint="default" w:ascii="Times New Roman" w:hAnsi="Times New Roman" w:cs="Times New Roman"/>
                <w:bCs/>
                <w:color w:val="auto"/>
                <w:szCs w:val="21"/>
              </w:rPr>
            </w:pPr>
          </w:p>
        </w:tc>
        <w:tc>
          <w:tcPr>
            <w:tcW w:w="378" w:type="pct"/>
            <w:tcBorders>
              <w:tl2br w:val="nil"/>
              <w:tr2bl w:val="nil"/>
            </w:tcBorders>
            <w:tcMar>
              <w:top w:w="0" w:type="dxa"/>
              <w:left w:w="28" w:type="dxa"/>
              <w:bottom w:w="0" w:type="dxa"/>
              <w:right w:w="28" w:type="dxa"/>
            </w:tcMar>
            <w:vAlign w:val="center"/>
          </w:tcPr>
          <w:p w14:paraId="456B8798">
            <w:pPr>
              <w:widowControl/>
              <w:adjustRightInd w:val="0"/>
              <w:snapToGrid w:val="0"/>
              <w:spacing w:before="75" w:beforeLines="20" w:line="288" w:lineRule="auto"/>
              <w:jc w:val="center"/>
              <w:rPr>
                <w:rFonts w:hint="default" w:ascii="Times New Roman" w:hAnsi="Times New Roman" w:cs="Times New Roman"/>
                <w:bCs/>
                <w:color w:val="auto"/>
                <w:kern w:val="0"/>
                <w:szCs w:val="21"/>
              </w:rPr>
            </w:pPr>
            <w:r>
              <w:rPr>
                <w:rFonts w:hint="default" w:ascii="Times New Roman" w:hAnsi="Times New Roman" w:cs="Times New Roman"/>
                <w:color w:val="auto"/>
                <w:kern w:val="0"/>
                <w:szCs w:val="21"/>
              </w:rPr>
              <w:t>资源开发效率要求</w:t>
            </w:r>
          </w:p>
        </w:tc>
        <w:tc>
          <w:tcPr>
            <w:tcW w:w="2098" w:type="pct"/>
            <w:tcBorders>
              <w:tl2br w:val="nil"/>
              <w:tr2bl w:val="nil"/>
            </w:tcBorders>
            <w:tcMar>
              <w:top w:w="0" w:type="dxa"/>
              <w:left w:w="28" w:type="dxa"/>
              <w:bottom w:w="0" w:type="dxa"/>
              <w:right w:w="28" w:type="dxa"/>
            </w:tcMar>
            <w:vAlign w:val="center"/>
          </w:tcPr>
          <w:p w14:paraId="615A281A">
            <w:pPr>
              <w:adjustRightInd w:val="0"/>
              <w:snapToGrid w:val="0"/>
              <w:spacing w:before="75" w:beforeLines="20" w:line="288" w:lineRule="auto"/>
              <w:rPr>
                <w:rFonts w:hint="default" w:ascii="Times New Roman" w:hAnsi="Times New Roman" w:cs="Times New Roman"/>
                <w:bCs/>
                <w:color w:val="auto"/>
                <w:szCs w:val="21"/>
                <w:highlight w:val="none"/>
              </w:rPr>
            </w:pPr>
            <w:r>
              <w:rPr>
                <w:rFonts w:hint="default" w:ascii="Times New Roman" w:hAnsi="Times New Roman" w:cs="Times New Roman"/>
                <w:color w:val="auto"/>
                <w:szCs w:val="21"/>
                <w:highlight w:val="none"/>
              </w:rPr>
              <w:t>高污染燃料禁燃区内禁止燃用高污染燃料，禁止新建、扩建燃用高污染燃料的设施。现有使用高污染燃料的设施，限期改用清洁能源；现有使用生物质燃料的设施，限期改为专用锅炉并配置高效除尘设施。</w:t>
            </w:r>
          </w:p>
        </w:tc>
        <w:tc>
          <w:tcPr>
            <w:tcW w:w="1248" w:type="pct"/>
            <w:tcBorders>
              <w:tl2br w:val="nil"/>
              <w:tr2bl w:val="nil"/>
            </w:tcBorders>
            <w:tcMar>
              <w:top w:w="0" w:type="dxa"/>
              <w:left w:w="28" w:type="dxa"/>
              <w:bottom w:w="0" w:type="dxa"/>
              <w:right w:w="28" w:type="dxa"/>
            </w:tcMar>
            <w:vAlign w:val="center"/>
          </w:tcPr>
          <w:p w14:paraId="44D0EE45">
            <w:pPr>
              <w:keepNext w:val="0"/>
              <w:keepLines w:val="0"/>
              <w:pageBreakBefore w:val="0"/>
              <w:widowControl/>
              <w:kinsoku/>
              <w:wordWrap/>
              <w:overflowPunct/>
              <w:topLinePunct w:val="0"/>
              <w:autoSpaceDE/>
              <w:autoSpaceDN/>
              <w:bidi w:val="0"/>
              <w:adjustRightInd w:val="0"/>
              <w:snapToGrid w:val="0"/>
              <w:spacing w:line="360" w:lineRule="auto"/>
              <w:ind w:firstLine="420" w:firstLineChars="200"/>
              <w:textAlignment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本项目</w:t>
            </w:r>
            <w:r>
              <w:rPr>
                <w:rFonts w:hint="default" w:ascii="Times New Roman" w:hAnsi="Times New Roman" w:cs="Times New Roman"/>
                <w:color w:val="auto"/>
                <w:kern w:val="0"/>
                <w:szCs w:val="21"/>
                <w:highlight w:val="none"/>
                <w:lang w:bidi="ar"/>
              </w:rPr>
              <w:t>使用电能和天然气，属于清洁能源。</w:t>
            </w:r>
          </w:p>
        </w:tc>
        <w:tc>
          <w:tcPr>
            <w:tcW w:w="280" w:type="pct"/>
            <w:tcBorders>
              <w:tl2br w:val="nil"/>
              <w:tr2bl w:val="nil"/>
            </w:tcBorders>
            <w:tcMar>
              <w:top w:w="0" w:type="dxa"/>
              <w:left w:w="28" w:type="dxa"/>
              <w:bottom w:w="0" w:type="dxa"/>
              <w:right w:w="28" w:type="dxa"/>
            </w:tcMar>
            <w:vAlign w:val="center"/>
          </w:tcPr>
          <w:p w14:paraId="65C673CB">
            <w:pPr>
              <w:widowControl/>
              <w:adjustRightInd w:val="0"/>
              <w:snapToGrid w:val="0"/>
              <w:spacing w:before="75" w:beforeLines="20" w:line="288" w:lineRule="auto"/>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bl>
    <w:p w14:paraId="573FA006">
      <w:pPr>
        <w:pStyle w:val="10"/>
        <w:rPr>
          <w:rFonts w:hint="default" w:ascii="Times New Roman" w:hAnsi="Times New Roman" w:cs="Times New Roman"/>
          <w:color w:val="auto"/>
        </w:rPr>
        <w:sectPr>
          <w:pgSz w:w="16838" w:h="11905" w:orient="landscape"/>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p w14:paraId="67E46586">
      <w:pPr>
        <w:pStyle w:val="30"/>
        <w:numPr>
          <w:ilvl w:val="0"/>
          <w:numId w:val="6"/>
        </w:numPr>
        <w:spacing w:before="0" w:beforeAutospacing="0" w:after="0" w:afterAutospacing="0"/>
        <w:jc w:val="center"/>
        <w:outlineLvl w:val="0"/>
        <w:rPr>
          <w:rFonts w:hint="default" w:ascii="Times New Roman" w:hAnsi="Times New Roman" w:eastAsia="黑体" w:cs="Times New Roman"/>
          <w:snapToGrid w:val="0"/>
          <w:color w:val="auto"/>
          <w:sz w:val="32"/>
          <w:szCs w:val="32"/>
        </w:rPr>
      </w:pPr>
      <w:bookmarkStart w:id="62" w:name="_Toc21389"/>
      <w:bookmarkStart w:id="63" w:name="_Toc27813"/>
      <w:bookmarkStart w:id="64" w:name="_Toc4423"/>
      <w:bookmarkStart w:id="65" w:name="_Toc28555"/>
      <w:bookmarkStart w:id="66" w:name="_Toc21523"/>
      <w:bookmarkStart w:id="67" w:name="_Toc26650"/>
      <w:bookmarkStart w:id="68" w:name="_Toc10632"/>
      <w:bookmarkStart w:id="69" w:name="_Toc1216"/>
      <w:r>
        <w:rPr>
          <w:rFonts w:hint="default" w:ascii="Times New Roman" w:hAnsi="Times New Roman" w:eastAsia="黑体" w:cs="Times New Roman"/>
          <w:snapToGrid w:val="0"/>
          <w:color w:val="auto"/>
          <w:sz w:val="32"/>
          <w:szCs w:val="32"/>
        </w:rPr>
        <w:t>建设项目工程分析</w:t>
      </w:r>
      <w:bookmarkEnd w:id="62"/>
      <w:bookmarkEnd w:id="63"/>
      <w:bookmarkEnd w:id="64"/>
      <w:bookmarkEnd w:id="65"/>
      <w:bookmarkEnd w:id="66"/>
      <w:bookmarkEnd w:id="67"/>
      <w:bookmarkEnd w:id="68"/>
      <w:bookmarkEnd w:id="69"/>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1"/>
        <w:gridCol w:w="8786"/>
      </w:tblGrid>
      <w:tr w14:paraId="4B754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1" w:type="dxa"/>
            <w:vAlign w:val="center"/>
          </w:tcPr>
          <w:p w14:paraId="7623E43D">
            <w:pPr>
              <w:pStyle w:val="30"/>
              <w:spacing w:before="0" w:beforeAutospacing="0" w:after="0" w:afterAutospacing="0"/>
              <w:jc w:val="center"/>
              <w:outlineLvl w:val="0"/>
              <w:rPr>
                <w:rFonts w:hint="default" w:ascii="Times New Roman" w:hAnsi="Times New Roman" w:eastAsia="黑体" w:cs="Times New Roman"/>
                <w:snapToGrid w:val="0"/>
                <w:color w:val="auto"/>
                <w:sz w:val="32"/>
                <w:szCs w:val="32"/>
              </w:rPr>
            </w:pPr>
            <w:bookmarkStart w:id="70" w:name="_Toc26200"/>
            <w:bookmarkStart w:id="71" w:name="_Toc22747"/>
            <w:bookmarkStart w:id="72" w:name="_Toc12264"/>
            <w:bookmarkStart w:id="73" w:name="_Toc3700"/>
            <w:r>
              <w:rPr>
                <w:rFonts w:hint="default" w:ascii="Times New Roman" w:hAnsi="Times New Roman" w:cs="Times New Roman"/>
                <w:color w:val="auto"/>
                <w:sz w:val="21"/>
                <w:szCs w:val="21"/>
              </w:rPr>
              <w:t>建设内容</w:t>
            </w:r>
            <w:bookmarkEnd w:id="70"/>
            <w:bookmarkEnd w:id="71"/>
            <w:bookmarkEnd w:id="72"/>
            <w:bookmarkEnd w:id="73"/>
          </w:p>
        </w:tc>
        <w:tc>
          <w:tcPr>
            <w:tcW w:w="8786" w:type="dxa"/>
          </w:tcPr>
          <w:p w14:paraId="6EF7FC4F">
            <w:pPr>
              <w:pStyle w:val="4"/>
              <w:keepNext/>
              <w:keepLines w:val="0"/>
              <w:pageBreakBefore w:val="0"/>
              <w:widowControl w:val="0"/>
              <w:kinsoku/>
              <w:wordWrap/>
              <w:overflowPunct/>
              <w:topLinePunct w:val="0"/>
              <w:autoSpaceDE/>
              <w:autoSpaceDN/>
              <w:bidi w:val="0"/>
              <w:adjustRightInd w:val="0"/>
              <w:snapToGrid w:val="0"/>
              <w:spacing w:before="115" w:beforeLines="30" w:after="190" w:afterLines="50"/>
              <w:textAlignment w:val="auto"/>
              <w:outlineLvl w:val="1"/>
              <w:rPr>
                <w:rFonts w:hint="default" w:ascii="Times New Roman" w:hAnsi="Times New Roman" w:cs="Times New Roman"/>
                <w:snapToGrid/>
                <w:color w:val="auto"/>
                <w:szCs w:val="30"/>
              </w:rPr>
            </w:pPr>
            <w:bookmarkStart w:id="74" w:name="_Toc29124"/>
            <w:bookmarkStart w:id="75" w:name="_Toc18966"/>
            <w:bookmarkStart w:id="76" w:name="_Toc13440"/>
            <w:bookmarkStart w:id="77" w:name="_Toc15893"/>
            <w:bookmarkStart w:id="78" w:name="_Toc32228"/>
            <w:bookmarkStart w:id="79" w:name="_Toc32155"/>
            <w:bookmarkStart w:id="80" w:name="_Toc7487"/>
            <w:r>
              <w:rPr>
                <w:rFonts w:hint="default" w:ascii="Times New Roman" w:hAnsi="Times New Roman" w:cs="Times New Roman"/>
                <w:snapToGrid/>
                <w:color w:val="auto"/>
                <w:szCs w:val="30"/>
              </w:rPr>
              <w:t>2.1项目由来</w:t>
            </w:r>
            <w:bookmarkEnd w:id="74"/>
            <w:bookmarkEnd w:id="75"/>
            <w:bookmarkEnd w:id="76"/>
            <w:bookmarkEnd w:id="77"/>
            <w:bookmarkEnd w:id="78"/>
            <w:bookmarkEnd w:id="79"/>
            <w:bookmarkEnd w:id="80"/>
          </w:p>
          <w:p w14:paraId="0F439085">
            <w:pPr>
              <w:pStyle w:val="41"/>
              <w:adjustRightInd w:val="0"/>
              <w:snapToGrid w:val="0"/>
              <w:spacing w:before="0" w:beforeAutospacing="0" w:after="0" w:afterAutospacing="0"/>
              <w:ind w:firstLine="480"/>
              <w:rPr>
                <w:rFonts w:hint="default" w:ascii="Times New Roman" w:hAnsi="Times New Roman" w:cs="Times New Roman"/>
                <w:color w:val="auto"/>
              </w:rPr>
            </w:pPr>
            <w:r>
              <w:rPr>
                <w:rFonts w:hint="default" w:ascii="Times New Roman" w:hAnsi="Times New Roman" w:cs="Times New Roman"/>
                <w:color w:val="auto"/>
                <w:szCs w:val="24"/>
              </w:rPr>
              <w:t>福建省明光新型材料有限公司位于</w:t>
            </w:r>
            <w:r>
              <w:rPr>
                <w:rFonts w:hint="default" w:ascii="Times New Roman" w:hAnsi="Times New Roman" w:cs="Times New Roman"/>
                <w:color w:val="auto"/>
              </w:rPr>
              <w:t>福建省三明市沙县节能南路198号，</w:t>
            </w:r>
            <w:r>
              <w:rPr>
                <w:rFonts w:hint="default" w:ascii="Times New Roman" w:hAnsi="Times New Roman" w:cs="Times New Roman"/>
                <w:color w:val="auto"/>
                <w:szCs w:val="24"/>
              </w:rPr>
              <w:t>经营范围有：金属材料制造；金属材料销售；金属结构制造；金属结构销售；建筑用钢筋产品销售；金属丝绳及其制品制造；金属丝绳及其制品销售；普通货物仓储服务（不含危险化学品等需许可审批的项目）；装卸搬运；货物进出口（除依法须经批准的项目外，凭营业执照依法自主开展经营活动）</w:t>
            </w:r>
            <w:r>
              <w:rPr>
                <w:rFonts w:hint="default" w:ascii="Times New Roman" w:hAnsi="Times New Roman" w:cs="Times New Roman"/>
                <w:color w:val="auto"/>
              </w:rPr>
              <w:t>。</w:t>
            </w:r>
            <w:r>
              <w:rPr>
                <w:rFonts w:hint="default" w:ascii="Times New Roman" w:hAnsi="Times New Roman" w:cs="Times New Roman"/>
                <w:color w:val="auto"/>
                <w:szCs w:val="24"/>
              </w:rPr>
              <w:t>目前已建成投产16条PC钢棒生产线，生产能力可达24万吨/年PC钢棒，在建</w:t>
            </w:r>
            <w:r>
              <w:rPr>
                <w:rFonts w:hint="default" w:ascii="Times New Roman" w:hAnsi="Times New Roman" w:cs="Times New Roman"/>
                <w:color w:val="auto"/>
                <w:szCs w:val="21"/>
              </w:rPr>
              <w:t>3条钢丝生产线，项目达产后，可新增年产1.55万吨钢丝的生产能力。</w:t>
            </w:r>
          </w:p>
          <w:p w14:paraId="0F5B3EA6">
            <w:pPr>
              <w:pStyle w:val="41"/>
              <w:widowControl/>
              <w:adjustRightInd w:val="0"/>
              <w:snapToGrid w:val="0"/>
              <w:spacing w:before="0" w:beforeAutospacing="0" w:after="0" w:afterAutospacing="0"/>
              <w:ind w:firstLine="480"/>
              <w:jc w:val="left"/>
              <w:rPr>
                <w:rFonts w:hint="default" w:ascii="Times New Roman" w:hAnsi="Times New Roman" w:cs="Times New Roman"/>
                <w:bCs/>
                <w:color w:val="auto"/>
                <w:szCs w:val="24"/>
                <w:highlight w:val="none"/>
              </w:rPr>
            </w:pPr>
            <w:r>
              <w:rPr>
                <w:rFonts w:hint="default" w:ascii="Times New Roman" w:hAnsi="Times New Roman" w:cs="Times New Roman"/>
                <w:bCs/>
                <w:color w:val="auto"/>
                <w:kern w:val="2"/>
                <w:szCs w:val="24"/>
                <w:lang w:bidi="ar"/>
              </w:rPr>
              <w:t>公司现有预应力钢丝生产线，下游客户指定线材原料需采用酸洗磷化工艺。</w:t>
            </w:r>
            <w:r>
              <w:rPr>
                <w:rFonts w:hint="default" w:ascii="Times New Roman" w:hAnsi="Times New Roman" w:cs="Times New Roman"/>
                <w:bCs/>
                <w:color w:val="auto"/>
                <w:szCs w:val="24"/>
              </w:rPr>
              <w:t>公司拟利用现有厂区</w:t>
            </w:r>
            <w:r>
              <w:rPr>
                <w:rFonts w:hint="default" w:ascii="Times New Roman" w:hAnsi="Times New Roman" w:cs="Times New Roman"/>
                <w:bCs/>
                <w:color w:val="auto"/>
                <w:szCs w:val="24"/>
                <w:highlight w:val="none"/>
              </w:rPr>
              <w:t>扩建</w:t>
            </w:r>
            <w:r>
              <w:rPr>
                <w:rFonts w:hint="default" w:ascii="Times New Roman" w:hAnsi="Times New Roman" w:cs="Times New Roman"/>
                <w:bCs/>
                <w:color w:val="auto"/>
                <w:szCs w:val="24"/>
                <w:highlight w:val="none"/>
                <w:lang w:val="en-US" w:eastAsia="zh-CN"/>
              </w:rPr>
              <w:t>年产12万吨</w:t>
            </w:r>
            <w:r>
              <w:rPr>
                <w:rFonts w:hint="default" w:ascii="Times New Roman" w:hAnsi="Times New Roman" w:cs="Times New Roman"/>
                <w:bCs/>
                <w:color w:val="auto"/>
                <w:szCs w:val="24"/>
                <w:highlight w:val="none"/>
              </w:rPr>
              <w:t>沙发/床垫弹簧钢丝生产线，并</w:t>
            </w:r>
            <w:r>
              <w:rPr>
                <w:rFonts w:hint="default" w:ascii="Times New Roman" w:hAnsi="Times New Roman" w:cs="Times New Roman"/>
                <w:bCs/>
                <w:color w:val="auto"/>
                <w:szCs w:val="24"/>
                <w:highlight w:val="none"/>
                <w:lang w:val="en-US" w:eastAsia="zh-CN"/>
              </w:rPr>
              <w:t>配套</w:t>
            </w:r>
            <w:r>
              <w:rPr>
                <w:rFonts w:hint="default" w:ascii="Times New Roman" w:hAnsi="Times New Roman" w:cs="Times New Roman"/>
                <w:bCs/>
                <w:color w:val="auto"/>
                <w:szCs w:val="24"/>
                <w:highlight w:val="none"/>
              </w:rPr>
              <w:t>建设</w:t>
            </w:r>
            <w:r>
              <w:rPr>
                <w:rFonts w:hint="default" w:ascii="Times New Roman" w:hAnsi="Times New Roman" w:cs="Times New Roman"/>
                <w:color w:val="auto"/>
                <w:szCs w:val="24"/>
                <w:highlight w:val="none"/>
              </w:rPr>
              <w:t>一条全封闭、自动化的“隧道式”线材盘条表面处理生产线</w:t>
            </w:r>
            <w:r>
              <w:rPr>
                <w:rFonts w:hint="default" w:ascii="Times New Roman" w:hAnsi="Times New Roman" w:cs="Times New Roman"/>
                <w:bCs/>
                <w:color w:val="auto"/>
                <w:szCs w:val="24"/>
                <w:highlight w:val="none"/>
              </w:rPr>
              <w:t>，同步</w:t>
            </w:r>
            <w:r>
              <w:rPr>
                <w:rFonts w:hint="default" w:ascii="Times New Roman" w:hAnsi="Times New Roman" w:cs="Times New Roman"/>
                <w:bCs/>
                <w:color w:val="auto"/>
                <w:szCs w:val="24"/>
                <w:highlight w:val="none"/>
                <w:lang w:val="en-US" w:eastAsia="zh-CN"/>
              </w:rPr>
              <w:t>建设</w:t>
            </w:r>
            <w:r>
              <w:rPr>
                <w:rFonts w:hint="default" w:ascii="Times New Roman" w:hAnsi="Times New Roman" w:cs="Times New Roman"/>
                <w:bCs/>
                <w:color w:val="auto"/>
                <w:szCs w:val="24"/>
                <w:highlight w:val="none"/>
              </w:rPr>
              <w:t>供配电设施、蒸汽发生器、酸罐设施、污水处理设施、酸雾净化等环保设施及相关公辅</w:t>
            </w:r>
            <w:r>
              <w:rPr>
                <w:rFonts w:hint="default" w:ascii="Times New Roman" w:hAnsi="Times New Roman" w:cs="Times New Roman"/>
                <w:bCs/>
                <w:color w:val="auto"/>
                <w:szCs w:val="24"/>
                <w:highlight w:val="none"/>
                <w:lang w:val="en-US" w:eastAsia="zh-CN"/>
              </w:rPr>
              <w:t>设施</w:t>
            </w:r>
            <w:r>
              <w:rPr>
                <w:rFonts w:hint="default" w:ascii="Times New Roman" w:hAnsi="Times New Roman" w:cs="Times New Roman"/>
                <w:bCs/>
                <w:color w:val="auto"/>
                <w:szCs w:val="24"/>
                <w:highlight w:val="none"/>
                <w:lang w:eastAsia="zh-CN"/>
              </w:rPr>
              <w:t>。</w:t>
            </w:r>
            <w:r>
              <w:rPr>
                <w:rFonts w:hint="default" w:ascii="Times New Roman" w:hAnsi="Times New Roman" w:cs="Times New Roman"/>
                <w:bCs/>
                <w:color w:val="auto"/>
                <w:szCs w:val="24"/>
                <w:highlight w:val="none"/>
              </w:rPr>
              <w:t>项目建成后，全厂新增</w:t>
            </w:r>
            <w:r>
              <w:rPr>
                <w:rFonts w:hint="default" w:ascii="Times New Roman" w:hAnsi="Times New Roman" w:cs="Times New Roman"/>
                <w:bCs/>
                <w:color w:val="auto"/>
                <w:szCs w:val="24"/>
                <w:highlight w:val="none"/>
                <w:lang w:val="en-US" w:eastAsia="zh-CN"/>
              </w:rPr>
              <w:t>12</w:t>
            </w:r>
            <w:r>
              <w:rPr>
                <w:rFonts w:hint="default" w:ascii="Times New Roman" w:hAnsi="Times New Roman" w:cs="Times New Roman"/>
                <w:bCs/>
                <w:color w:val="auto"/>
                <w:szCs w:val="24"/>
                <w:highlight w:val="none"/>
              </w:rPr>
              <w:t>万吨/年</w:t>
            </w:r>
            <w:r>
              <w:rPr>
                <w:rFonts w:hint="default" w:ascii="Times New Roman" w:hAnsi="Times New Roman" w:cs="Times New Roman"/>
                <w:bCs/>
                <w:color w:val="auto"/>
                <w:szCs w:val="24"/>
                <w:highlight w:val="none"/>
                <w:lang w:val="en-US" w:eastAsia="zh-CN"/>
              </w:rPr>
              <w:t>钢丝</w:t>
            </w:r>
            <w:r>
              <w:rPr>
                <w:rFonts w:hint="default" w:ascii="Times New Roman" w:hAnsi="Times New Roman" w:cs="Times New Roman"/>
                <w:color w:val="auto"/>
                <w:szCs w:val="24"/>
                <w:highlight w:val="none"/>
              </w:rPr>
              <w:t>的生产能力和</w:t>
            </w:r>
            <w:r>
              <w:rPr>
                <w:rFonts w:hint="default" w:ascii="Times New Roman" w:hAnsi="Times New Roman" w:cs="Times New Roman"/>
                <w:bCs/>
                <w:color w:val="auto"/>
                <w:szCs w:val="24"/>
                <w:highlight w:val="none"/>
              </w:rPr>
              <w:t>年处理15万吨线材表面处理能力。</w:t>
            </w:r>
            <w:r>
              <w:rPr>
                <w:rFonts w:hint="default" w:ascii="Times New Roman" w:hAnsi="Times New Roman" w:cs="Times New Roman"/>
                <w:bCs/>
                <w:color w:val="auto"/>
                <w:kern w:val="2"/>
                <w:szCs w:val="24"/>
                <w:highlight w:val="none"/>
                <w:lang w:bidi="ar"/>
              </w:rPr>
              <w:t>本项目投产后可填补</w:t>
            </w:r>
            <w:r>
              <w:rPr>
                <w:rFonts w:hint="default" w:ascii="Times New Roman" w:hAnsi="Times New Roman" w:cs="Times New Roman"/>
                <w:bCs/>
                <w:color w:val="auto"/>
                <w:kern w:val="2"/>
                <w:szCs w:val="24"/>
                <w:highlight w:val="none"/>
                <w:lang w:val="en-US" w:eastAsia="zh-CN" w:bidi="ar"/>
              </w:rPr>
              <w:t>公司</w:t>
            </w:r>
            <w:r>
              <w:rPr>
                <w:rFonts w:hint="default" w:ascii="Times New Roman" w:hAnsi="Times New Roman" w:cs="Times New Roman"/>
                <w:bCs/>
                <w:color w:val="auto"/>
                <w:kern w:val="2"/>
                <w:szCs w:val="24"/>
                <w:highlight w:val="none"/>
                <w:lang w:bidi="ar"/>
              </w:rPr>
              <w:t>高端</w:t>
            </w:r>
            <w:r>
              <w:rPr>
                <w:rFonts w:hint="default" w:ascii="Times New Roman" w:hAnsi="Times New Roman" w:cs="Times New Roman"/>
                <w:bCs/>
                <w:color w:val="auto"/>
                <w:szCs w:val="24"/>
                <w:highlight w:val="none"/>
              </w:rPr>
              <w:t>表面处理</w:t>
            </w:r>
            <w:r>
              <w:rPr>
                <w:rFonts w:hint="default" w:ascii="Times New Roman" w:hAnsi="Times New Roman" w:cs="Times New Roman"/>
                <w:bCs/>
                <w:color w:val="auto"/>
                <w:kern w:val="2"/>
                <w:szCs w:val="24"/>
                <w:highlight w:val="none"/>
                <w:lang w:bidi="ar"/>
              </w:rPr>
              <w:t>加工缺口。</w:t>
            </w:r>
          </w:p>
          <w:p w14:paraId="790C16A3">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项目已于202</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en-US" w:eastAsia="zh-CN"/>
              </w:rPr>
              <w:t>21</w:t>
            </w:r>
            <w:r>
              <w:rPr>
                <w:rFonts w:hint="default" w:ascii="Times New Roman" w:hAnsi="Times New Roman" w:eastAsia="宋体" w:cs="Times New Roman"/>
                <w:color w:val="auto"/>
                <w:highlight w:val="none"/>
              </w:rPr>
              <w:t>日经三明市沙县区工信与科技局备案批准（</w:t>
            </w:r>
            <w:r>
              <w:rPr>
                <w:rFonts w:hint="default" w:ascii="Times New Roman" w:hAnsi="Times New Roman" w:eastAsia="宋体" w:cs="Times New Roman"/>
                <w:color w:val="auto"/>
                <w:szCs w:val="21"/>
                <w:highlight w:val="none"/>
              </w:rPr>
              <w:t>闽工信备〔202</w:t>
            </w:r>
            <w:r>
              <w:rPr>
                <w:rFonts w:hint="default" w:ascii="Times New Roman" w:hAnsi="Times New Roman" w:eastAsia="宋体" w:cs="Times New Roman"/>
                <w:color w:val="auto"/>
                <w:szCs w:val="21"/>
                <w:highlight w:val="none"/>
                <w:lang w:val="en-US" w:eastAsia="zh-CN"/>
              </w:rPr>
              <w:t>6</w:t>
            </w:r>
            <w:r>
              <w:rPr>
                <w:rFonts w:hint="default" w:ascii="Times New Roman" w:hAnsi="Times New Roman" w:eastAsia="宋体" w:cs="Times New Roman"/>
                <w:color w:val="auto"/>
                <w:szCs w:val="21"/>
                <w:highlight w:val="none"/>
              </w:rPr>
              <w:t>〕G1000</w:t>
            </w:r>
            <w:r>
              <w:rPr>
                <w:rFonts w:hint="default" w:ascii="Times New Roman" w:hAnsi="Times New Roman" w:eastAsia="宋体" w:cs="Times New Roman"/>
                <w:color w:val="auto"/>
                <w:szCs w:val="21"/>
                <w:highlight w:val="none"/>
                <w:lang w:val="en-US" w:eastAsia="zh-CN"/>
              </w:rPr>
              <w:t>23</w:t>
            </w:r>
            <w:r>
              <w:rPr>
                <w:rFonts w:hint="default" w:ascii="Times New Roman" w:hAnsi="Times New Roman" w:eastAsia="宋体" w:cs="Times New Roman"/>
                <w:color w:val="auto"/>
                <w:szCs w:val="21"/>
                <w:highlight w:val="none"/>
              </w:rPr>
              <w:t>号</w:t>
            </w:r>
            <w:r>
              <w:rPr>
                <w:rFonts w:hint="default" w:ascii="Times New Roman" w:hAnsi="Times New Roman" w:eastAsia="宋体" w:cs="Times New Roman"/>
                <w:color w:val="auto"/>
                <w:highlight w:val="none"/>
              </w:rPr>
              <w:t>，附件</w:t>
            </w:r>
            <w:r>
              <w:rPr>
                <w:rFonts w:hint="default" w:ascii="Times New Roman" w:hAnsi="Times New Roman" w:eastAsia="宋体" w:cs="Times New Roman"/>
                <w:color w:val="auto"/>
                <w:highlight w:val="none"/>
                <w:lang w:val="en-US" w:eastAsia="zh-CN"/>
              </w:rPr>
              <w:t>二</w:t>
            </w:r>
            <w:r>
              <w:rPr>
                <w:rFonts w:hint="default" w:ascii="Times New Roman" w:hAnsi="Times New Roman" w:eastAsia="宋体" w:cs="Times New Roman"/>
                <w:color w:val="auto"/>
                <w:highlight w:val="none"/>
              </w:rPr>
              <w:t>）。</w:t>
            </w:r>
          </w:p>
          <w:p w14:paraId="03BF3A51">
            <w:pPr>
              <w:pStyle w:val="41"/>
              <w:adjustRightInd w:val="0"/>
              <w:snapToGrid w:val="0"/>
              <w:spacing w:before="0" w:beforeAutospacing="0" w:after="0" w:afterAutospacing="0"/>
              <w:ind w:firstLine="480"/>
              <w:rPr>
                <w:rFonts w:hint="default" w:ascii="Times New Roman" w:hAnsi="Times New Roman" w:cs="Times New Roman"/>
                <w:color w:val="auto"/>
              </w:rPr>
            </w:pPr>
            <w:r>
              <w:rPr>
                <w:rFonts w:hint="default" w:ascii="Times New Roman" w:hAnsi="Times New Roman" w:cs="Times New Roman"/>
                <w:color w:val="auto"/>
              </w:rPr>
              <w:t>根据《</w:t>
            </w:r>
            <w:r>
              <w:rPr>
                <w:rFonts w:hint="default" w:ascii="Times New Roman" w:hAnsi="Times New Roman" w:cs="Times New Roman"/>
                <w:color w:val="auto"/>
                <w:lang w:eastAsia="zh-CN"/>
              </w:rPr>
              <w:t>中华人民共和国生态环境法典</w:t>
            </w:r>
            <w:r>
              <w:rPr>
                <w:rFonts w:hint="default" w:ascii="Times New Roman" w:hAnsi="Times New Roman" w:cs="Times New Roman"/>
                <w:color w:val="auto"/>
              </w:rPr>
              <w:t>》《建设项目环境保护管理条例》《建设项目环境影响评价分类管理名录》等有关规定，本建设项目从事钢丝线加工生产，不涉及电镀工艺，不使用涂料，属“</w:t>
            </w:r>
            <w:r>
              <w:rPr>
                <w:rFonts w:hint="default" w:ascii="Times New Roman" w:hAnsi="Times New Roman" w:cs="Times New Roman"/>
                <w:color w:val="auto"/>
                <w:szCs w:val="21"/>
              </w:rPr>
              <w:t>三十、金属制品业33:66金属丝绳及其制品制造334，其他（仅分割、焊接、组装的除外）</w:t>
            </w:r>
            <w:r>
              <w:rPr>
                <w:rFonts w:hint="default" w:ascii="Times New Roman" w:hAnsi="Times New Roman" w:cs="Times New Roman"/>
                <w:color w:val="auto"/>
              </w:rPr>
              <w:t>”；67金属表面处理及热处理加工，其他（年用非溶剂型低VOCs含量涂料10吨以下的除外），应编制环境影响报告表。</w:t>
            </w:r>
          </w:p>
          <w:p w14:paraId="1AF40DAD">
            <w:pPr>
              <w:pStyle w:val="129"/>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表2.1-1  建设</w:t>
            </w:r>
            <w:r>
              <w:rPr>
                <w:rFonts w:hint="default" w:ascii="Times New Roman" w:hAnsi="Times New Roman" w:eastAsia="黑体" w:cs="Times New Roman"/>
                <w:b w:val="0"/>
                <w:bCs/>
                <w:color w:val="auto"/>
                <w:lang w:val="en-US" w:eastAsia="zh-CN"/>
              </w:rPr>
              <w:t>项目</w:t>
            </w:r>
            <w:r>
              <w:rPr>
                <w:rFonts w:hint="default" w:ascii="Times New Roman" w:hAnsi="Times New Roman" w:eastAsia="黑体" w:cs="Times New Roman"/>
                <w:b w:val="0"/>
                <w:bCs/>
                <w:color w:val="auto"/>
              </w:rPr>
              <w:t>环境影响评价分类管理名录（摘录）</w:t>
            </w:r>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426"/>
              <w:gridCol w:w="2817"/>
              <w:gridCol w:w="2937"/>
              <w:gridCol w:w="1627"/>
              <w:gridCol w:w="684"/>
            </w:tblGrid>
            <w:tr w14:paraId="2A09DEA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243" w:type="dxa"/>
                  <w:gridSpan w:val="2"/>
                  <w:tcBorders>
                    <w:tl2br w:val="single" w:color="auto" w:sz="8" w:space="0"/>
                  </w:tcBorders>
                  <w:shd w:val="clear" w:color="auto" w:fill="auto"/>
                  <w:vAlign w:val="center"/>
                </w:tcPr>
                <w:p w14:paraId="6D504841">
                  <w:pPr>
                    <w:pStyle w:val="130"/>
                    <w:jc w:val="right"/>
                    <w:rPr>
                      <w:rFonts w:hint="default" w:ascii="Times New Roman" w:hAnsi="Times New Roman" w:cs="Times New Roman"/>
                      <w:color w:val="auto"/>
                    </w:rPr>
                  </w:pPr>
                  <w:r>
                    <w:rPr>
                      <w:rFonts w:hint="default" w:ascii="Times New Roman" w:hAnsi="Times New Roman" w:cs="Times New Roman"/>
                      <w:color w:val="auto"/>
                    </w:rPr>
                    <w:t xml:space="preserve"> 环评类别</w:t>
                  </w:r>
                </w:p>
                <w:p w14:paraId="5C5AB68C">
                  <w:pPr>
                    <w:pStyle w:val="130"/>
                    <w:jc w:val="left"/>
                    <w:rPr>
                      <w:rFonts w:hint="default" w:ascii="Times New Roman" w:hAnsi="Times New Roman" w:cs="Times New Roman"/>
                      <w:color w:val="auto"/>
                    </w:rPr>
                  </w:pPr>
                  <w:r>
                    <w:rPr>
                      <w:rFonts w:hint="default" w:ascii="Times New Roman" w:hAnsi="Times New Roman" w:cs="Times New Roman"/>
                      <w:color w:val="auto"/>
                    </w:rPr>
                    <w:t>项目类别</w:t>
                  </w:r>
                </w:p>
              </w:tc>
              <w:tc>
                <w:tcPr>
                  <w:tcW w:w="2937" w:type="dxa"/>
                  <w:tcBorders>
                    <w:tl2br w:val="nil"/>
                    <w:tr2bl w:val="nil"/>
                  </w:tcBorders>
                  <w:shd w:val="clear" w:color="auto" w:fill="auto"/>
                  <w:vAlign w:val="center"/>
                </w:tcPr>
                <w:p w14:paraId="235FC4F3">
                  <w:pPr>
                    <w:pStyle w:val="130"/>
                    <w:rPr>
                      <w:rFonts w:hint="default" w:ascii="Times New Roman" w:hAnsi="Times New Roman" w:cs="Times New Roman"/>
                      <w:color w:val="auto"/>
                    </w:rPr>
                  </w:pPr>
                  <w:r>
                    <w:rPr>
                      <w:rFonts w:hint="default" w:ascii="Times New Roman" w:hAnsi="Times New Roman" w:cs="Times New Roman"/>
                      <w:color w:val="auto"/>
                    </w:rPr>
                    <w:t>报告书</w:t>
                  </w:r>
                </w:p>
              </w:tc>
              <w:tc>
                <w:tcPr>
                  <w:tcW w:w="1627" w:type="dxa"/>
                  <w:tcBorders>
                    <w:tl2br w:val="nil"/>
                    <w:tr2bl w:val="nil"/>
                  </w:tcBorders>
                  <w:shd w:val="clear" w:color="auto" w:fill="auto"/>
                  <w:vAlign w:val="center"/>
                </w:tcPr>
                <w:p w14:paraId="46FE4787">
                  <w:pPr>
                    <w:pStyle w:val="130"/>
                    <w:rPr>
                      <w:rFonts w:hint="default" w:ascii="Times New Roman" w:hAnsi="Times New Roman" w:cs="Times New Roman"/>
                      <w:color w:val="auto"/>
                    </w:rPr>
                  </w:pPr>
                  <w:r>
                    <w:rPr>
                      <w:rFonts w:hint="default" w:ascii="Times New Roman" w:hAnsi="Times New Roman" w:cs="Times New Roman"/>
                      <w:color w:val="auto"/>
                    </w:rPr>
                    <w:t>报告表</w:t>
                  </w:r>
                </w:p>
              </w:tc>
              <w:tc>
                <w:tcPr>
                  <w:tcW w:w="684" w:type="dxa"/>
                  <w:tcBorders>
                    <w:tl2br w:val="nil"/>
                    <w:tr2bl w:val="nil"/>
                  </w:tcBorders>
                  <w:shd w:val="clear" w:color="auto" w:fill="auto"/>
                  <w:vAlign w:val="center"/>
                </w:tcPr>
                <w:p w14:paraId="102D6655">
                  <w:pPr>
                    <w:pStyle w:val="130"/>
                    <w:rPr>
                      <w:rFonts w:hint="default" w:ascii="Times New Roman" w:hAnsi="Times New Roman" w:cs="Times New Roman"/>
                      <w:color w:val="auto"/>
                    </w:rPr>
                  </w:pPr>
                  <w:r>
                    <w:rPr>
                      <w:rFonts w:hint="default" w:ascii="Times New Roman" w:hAnsi="Times New Roman" w:cs="Times New Roman"/>
                      <w:color w:val="auto"/>
                    </w:rPr>
                    <w:t>登记表</w:t>
                  </w:r>
                </w:p>
              </w:tc>
            </w:tr>
            <w:tr w14:paraId="1FFBF9A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491" w:type="dxa"/>
                  <w:gridSpan w:val="5"/>
                  <w:tcBorders>
                    <w:tl2br w:val="nil"/>
                    <w:tr2bl w:val="nil"/>
                  </w:tcBorders>
                  <w:shd w:val="clear" w:color="auto" w:fill="auto"/>
                  <w:vAlign w:val="center"/>
                </w:tcPr>
                <w:p w14:paraId="2BDC587B">
                  <w:pPr>
                    <w:jc w:val="left"/>
                    <w:rPr>
                      <w:rFonts w:hint="default" w:ascii="Times New Roman" w:hAnsi="Times New Roman" w:cs="Times New Roman"/>
                      <w:color w:val="auto"/>
                    </w:rPr>
                  </w:pPr>
                  <w:r>
                    <w:rPr>
                      <w:rFonts w:hint="default" w:ascii="Times New Roman" w:hAnsi="Times New Roman" w:cs="Times New Roman"/>
                      <w:color w:val="auto"/>
                    </w:rPr>
                    <w:t>三十、金属制品业33</w:t>
                  </w:r>
                </w:p>
              </w:tc>
            </w:tr>
            <w:tr w14:paraId="354E93D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6" w:type="dxa"/>
                  <w:tcBorders>
                    <w:tl2br w:val="nil"/>
                    <w:tr2bl w:val="nil"/>
                  </w:tcBorders>
                  <w:shd w:val="clear" w:color="auto" w:fill="auto"/>
                  <w:vAlign w:val="center"/>
                </w:tcPr>
                <w:p w14:paraId="25D19369">
                  <w:pPr>
                    <w:jc w:val="left"/>
                    <w:rPr>
                      <w:rFonts w:hint="default" w:ascii="Times New Roman" w:hAnsi="Times New Roman" w:cs="Times New Roman"/>
                      <w:color w:val="auto"/>
                    </w:rPr>
                  </w:pPr>
                  <w:r>
                    <w:rPr>
                      <w:rFonts w:hint="default" w:ascii="Times New Roman" w:hAnsi="Times New Roman" w:cs="Times New Roman"/>
                      <w:color w:val="auto"/>
                    </w:rPr>
                    <w:t>66</w:t>
                  </w:r>
                </w:p>
              </w:tc>
              <w:tc>
                <w:tcPr>
                  <w:tcW w:w="2817" w:type="dxa"/>
                  <w:tcBorders>
                    <w:tl2br w:val="nil"/>
                    <w:tr2bl w:val="nil"/>
                  </w:tcBorders>
                  <w:shd w:val="clear" w:color="auto" w:fill="auto"/>
                  <w:vAlign w:val="center"/>
                </w:tcPr>
                <w:p w14:paraId="19BBDB0D">
                  <w:pPr>
                    <w:pStyle w:val="131"/>
                    <w:spacing w:line="300" w:lineRule="exact"/>
                    <w:jc w:val="both"/>
                    <w:rPr>
                      <w:rFonts w:hint="default" w:ascii="Times New Roman" w:hAnsi="Times New Roman" w:cs="Times New Roman"/>
                      <w:color w:val="auto"/>
                    </w:rPr>
                  </w:pPr>
                  <w:r>
                    <w:rPr>
                      <w:rFonts w:hint="default" w:ascii="Times New Roman" w:hAnsi="Times New Roman" w:cs="Times New Roman"/>
                      <w:color w:val="auto"/>
                    </w:rPr>
                    <w:t>结构性金属制品制造331；金属工具制造332；集装箱及金属包装容器制造 333；</w:t>
                  </w:r>
                  <w:r>
                    <w:rPr>
                      <w:rFonts w:hint="default" w:ascii="Times New Roman" w:hAnsi="Times New Roman" w:cs="Times New Roman"/>
                      <w:color w:val="auto"/>
                      <w:highlight w:val="lightGray"/>
                    </w:rPr>
                    <w:t>金属丝绳及其制品制造334；</w:t>
                  </w:r>
                  <w:r>
                    <w:rPr>
                      <w:rFonts w:hint="default" w:ascii="Times New Roman" w:hAnsi="Times New Roman" w:cs="Times New Roman"/>
                      <w:color w:val="auto"/>
                    </w:rPr>
                    <w:t>建筑、安全用金属制品制造 335；搪瓷制品制造 337；金属制日用品制造 338</w:t>
                  </w:r>
                </w:p>
              </w:tc>
              <w:tc>
                <w:tcPr>
                  <w:tcW w:w="2937" w:type="dxa"/>
                  <w:tcBorders>
                    <w:tl2br w:val="nil"/>
                    <w:tr2bl w:val="nil"/>
                  </w:tcBorders>
                  <w:shd w:val="clear" w:color="auto" w:fill="auto"/>
                  <w:vAlign w:val="center"/>
                </w:tcPr>
                <w:p w14:paraId="16CD9FCD">
                  <w:pPr>
                    <w:pStyle w:val="131"/>
                    <w:spacing w:line="300" w:lineRule="exact"/>
                    <w:jc w:val="both"/>
                    <w:rPr>
                      <w:rFonts w:hint="default" w:ascii="Times New Roman" w:hAnsi="Times New Roman" w:cs="Times New Roman"/>
                      <w:color w:val="auto"/>
                    </w:rPr>
                  </w:pPr>
                  <w:r>
                    <w:rPr>
                      <w:rFonts w:hint="default" w:ascii="Times New Roman" w:hAnsi="Times New Roman" w:cs="Times New Roman"/>
                      <w:color w:val="auto"/>
                    </w:rPr>
                    <w:t>有电镀工艺的；年用溶剂型涂料（含稀释剂）10吨及以上的</w:t>
                  </w:r>
                </w:p>
              </w:tc>
              <w:tc>
                <w:tcPr>
                  <w:tcW w:w="1627" w:type="dxa"/>
                  <w:tcBorders>
                    <w:tl2br w:val="nil"/>
                    <w:tr2bl w:val="nil"/>
                  </w:tcBorders>
                  <w:shd w:val="clear" w:color="auto" w:fill="auto"/>
                  <w:vAlign w:val="center"/>
                </w:tcPr>
                <w:p w14:paraId="57CB76DB">
                  <w:pPr>
                    <w:pStyle w:val="131"/>
                    <w:spacing w:line="300" w:lineRule="exact"/>
                    <w:jc w:val="both"/>
                    <w:rPr>
                      <w:rFonts w:hint="default" w:ascii="Times New Roman" w:hAnsi="Times New Roman" w:cs="Times New Roman"/>
                      <w:color w:val="auto"/>
                    </w:rPr>
                  </w:pPr>
                  <w:r>
                    <w:rPr>
                      <w:rFonts w:hint="default" w:ascii="Times New Roman" w:hAnsi="Times New Roman" w:cs="Times New Roman"/>
                      <w:color w:val="auto"/>
                      <w:highlight w:val="lightGray"/>
                    </w:rPr>
                    <w:t>其他</w:t>
                  </w:r>
                  <w:r>
                    <w:rPr>
                      <w:rFonts w:hint="default" w:ascii="Times New Roman" w:hAnsi="Times New Roman" w:cs="Times New Roman"/>
                      <w:color w:val="auto"/>
                    </w:rPr>
                    <w:t>（仅分割、焊接、组装的除外；年用非溶剂型低VOCs含量涂料10吨以下的除外）</w:t>
                  </w:r>
                </w:p>
              </w:tc>
              <w:tc>
                <w:tcPr>
                  <w:tcW w:w="684" w:type="dxa"/>
                  <w:tcBorders>
                    <w:tl2br w:val="nil"/>
                    <w:tr2bl w:val="nil"/>
                  </w:tcBorders>
                  <w:shd w:val="clear" w:color="auto" w:fill="auto"/>
                  <w:vAlign w:val="center"/>
                </w:tcPr>
                <w:p w14:paraId="036B3A51">
                  <w:pPr>
                    <w:pStyle w:val="130"/>
                    <w:rPr>
                      <w:rFonts w:hint="default" w:ascii="Times New Roman" w:hAnsi="Times New Roman" w:cs="Times New Roman"/>
                      <w:color w:val="auto"/>
                    </w:rPr>
                  </w:pPr>
                  <w:r>
                    <w:rPr>
                      <w:rFonts w:hint="default" w:ascii="Times New Roman" w:hAnsi="Times New Roman" w:cs="Times New Roman"/>
                      <w:color w:val="auto"/>
                    </w:rPr>
                    <w:t>/</w:t>
                  </w:r>
                </w:p>
              </w:tc>
            </w:tr>
            <w:tr w14:paraId="6A418A5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6" w:type="dxa"/>
                  <w:tcBorders>
                    <w:tl2br w:val="nil"/>
                    <w:tr2bl w:val="nil"/>
                  </w:tcBorders>
                  <w:shd w:val="clear" w:color="auto" w:fill="auto"/>
                  <w:vAlign w:val="center"/>
                </w:tcPr>
                <w:p w14:paraId="096168DC">
                  <w:pPr>
                    <w:jc w:val="left"/>
                    <w:rPr>
                      <w:rFonts w:hint="default" w:ascii="Times New Roman" w:hAnsi="Times New Roman" w:cs="Times New Roman"/>
                      <w:color w:val="auto"/>
                    </w:rPr>
                  </w:pPr>
                  <w:r>
                    <w:rPr>
                      <w:rFonts w:hint="default" w:ascii="Times New Roman" w:hAnsi="Times New Roman" w:cs="Times New Roman"/>
                      <w:color w:val="auto"/>
                    </w:rPr>
                    <w:t>67</w:t>
                  </w:r>
                </w:p>
              </w:tc>
              <w:tc>
                <w:tcPr>
                  <w:tcW w:w="2817" w:type="dxa"/>
                  <w:tcBorders>
                    <w:tl2br w:val="nil"/>
                    <w:tr2bl w:val="nil"/>
                  </w:tcBorders>
                  <w:shd w:val="clear" w:color="auto" w:fill="auto"/>
                  <w:vAlign w:val="center"/>
                </w:tcPr>
                <w:p w14:paraId="3C294C64">
                  <w:pPr>
                    <w:widowControl/>
                    <w:spacing w:line="300" w:lineRule="exact"/>
                    <w:jc w:val="both"/>
                    <w:rPr>
                      <w:rFonts w:hint="default" w:ascii="Times New Roman" w:hAnsi="Times New Roman" w:cs="Times New Roman"/>
                      <w:color w:val="auto"/>
                    </w:rPr>
                  </w:pPr>
                  <w:r>
                    <w:rPr>
                      <w:rFonts w:hint="default" w:ascii="Times New Roman" w:hAnsi="Times New Roman" w:eastAsia="宋体" w:cs="Times New Roman"/>
                      <w:color w:val="auto"/>
                      <w:kern w:val="0"/>
                      <w:sz w:val="21"/>
                      <w:szCs w:val="20"/>
                      <w:lang w:val="en-US" w:eastAsia="zh-CN" w:bidi="ar-SA"/>
                    </w:rPr>
                    <w:t>金属表面处理及热处理加工</w:t>
                  </w:r>
                </w:p>
              </w:tc>
              <w:tc>
                <w:tcPr>
                  <w:tcW w:w="2937" w:type="dxa"/>
                  <w:tcBorders>
                    <w:tl2br w:val="nil"/>
                    <w:tr2bl w:val="nil"/>
                  </w:tcBorders>
                  <w:shd w:val="clear" w:color="auto" w:fill="auto"/>
                  <w:vAlign w:val="center"/>
                </w:tcPr>
                <w:p w14:paraId="61A45F6E">
                  <w:pPr>
                    <w:widowControl/>
                    <w:spacing w:line="300" w:lineRule="exact"/>
                    <w:jc w:val="both"/>
                    <w:rPr>
                      <w:rFonts w:hint="default" w:ascii="Times New Roman" w:hAnsi="Times New Roman" w:cs="Times New Roman"/>
                      <w:color w:val="auto"/>
                    </w:rPr>
                  </w:pPr>
                  <w:r>
                    <w:rPr>
                      <w:rFonts w:hint="default" w:ascii="Times New Roman" w:hAnsi="Times New Roman" w:eastAsia="宋体" w:cs="Times New Roman"/>
                      <w:color w:val="auto"/>
                      <w:kern w:val="0"/>
                      <w:sz w:val="21"/>
                      <w:szCs w:val="20"/>
                      <w:lang w:val="en-US" w:eastAsia="zh-CN" w:bidi="ar-SA"/>
                    </w:rPr>
                    <w:t>有电镀工艺的；有钝化工艺的热镀锌；使用有机涂层的（喷粉、喷塑、浸塑和电泳除外；年用溶剂型涂料（含稀释剂）10吨以下和用非溶剂型低VOCs含量涂料的除外）</w:t>
                  </w:r>
                </w:p>
              </w:tc>
              <w:tc>
                <w:tcPr>
                  <w:tcW w:w="1627" w:type="dxa"/>
                  <w:tcBorders>
                    <w:tl2br w:val="nil"/>
                    <w:tr2bl w:val="nil"/>
                  </w:tcBorders>
                  <w:shd w:val="clear" w:color="auto" w:fill="auto"/>
                  <w:vAlign w:val="center"/>
                </w:tcPr>
                <w:p w14:paraId="3B06E6BB">
                  <w:pPr>
                    <w:widowControl/>
                    <w:spacing w:line="300" w:lineRule="exact"/>
                    <w:jc w:val="both"/>
                    <w:rPr>
                      <w:rFonts w:hint="default" w:ascii="Times New Roman" w:hAnsi="Times New Roman" w:cs="Times New Roman"/>
                      <w:color w:val="auto"/>
                      <w:highlight w:val="lightGray"/>
                    </w:rPr>
                  </w:pPr>
                  <w:r>
                    <w:rPr>
                      <w:rFonts w:hint="default" w:ascii="Times New Roman" w:hAnsi="Times New Roman" w:cs="Times New Roman"/>
                      <w:color w:val="auto"/>
                      <w:highlight w:val="lightGray"/>
                    </w:rPr>
                    <w:t>其他</w:t>
                  </w:r>
                  <w:r>
                    <w:rPr>
                      <w:rFonts w:hint="default" w:ascii="Times New Roman" w:hAnsi="Times New Roman" w:cs="Times New Roman"/>
                      <w:color w:val="auto"/>
                      <w:kern w:val="0"/>
                      <w:sz w:val="20"/>
                      <w:szCs w:val="20"/>
                      <w:lang w:bidi="ar"/>
                    </w:rPr>
                    <w:t>（年用非溶剂型低VOCs含量涂料10吨以下的除外）</w:t>
                  </w:r>
                </w:p>
              </w:tc>
              <w:tc>
                <w:tcPr>
                  <w:tcW w:w="684" w:type="dxa"/>
                  <w:tcBorders>
                    <w:tl2br w:val="nil"/>
                    <w:tr2bl w:val="nil"/>
                  </w:tcBorders>
                  <w:shd w:val="clear" w:color="auto" w:fill="auto"/>
                  <w:vAlign w:val="center"/>
                </w:tcPr>
                <w:p w14:paraId="71269EE0">
                  <w:pPr>
                    <w:pStyle w:val="130"/>
                    <w:rPr>
                      <w:rFonts w:hint="default" w:ascii="Times New Roman" w:hAnsi="Times New Roman" w:cs="Times New Roman"/>
                      <w:color w:val="auto"/>
                    </w:rPr>
                  </w:pPr>
                  <w:r>
                    <w:rPr>
                      <w:rFonts w:hint="default" w:ascii="Times New Roman" w:hAnsi="Times New Roman" w:cs="Times New Roman"/>
                      <w:color w:val="auto"/>
                    </w:rPr>
                    <w:t>/</w:t>
                  </w:r>
                </w:p>
              </w:tc>
            </w:tr>
          </w:tbl>
          <w:p w14:paraId="1EDEC321">
            <w:pPr>
              <w:pStyle w:val="10"/>
              <w:keepNext w:val="0"/>
              <w:keepLines w:val="0"/>
              <w:pageBreakBefore w:val="0"/>
              <w:widowControl w:val="0"/>
              <w:kinsoku/>
              <w:wordWrap/>
              <w:overflowPunct/>
              <w:topLinePunct w:val="0"/>
              <w:autoSpaceDE/>
              <w:autoSpaceDN/>
              <w:bidi w:val="0"/>
              <w:adjustRightInd w:val="0"/>
              <w:snapToGrid w:val="0"/>
              <w:spacing w:before="190" w:beforeLines="50"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2026年</w:t>
            </w:r>
            <w:r>
              <w:rPr>
                <w:rFonts w:hint="default" w:ascii="Times New Roman" w:hAnsi="Times New Roman" w:cs="Times New Roman"/>
                <w:color w:val="auto"/>
                <w:sz w:val="24"/>
                <w:highlight w:val="none"/>
              </w:rPr>
              <w:t>5月</w:t>
            </w:r>
            <w:r>
              <w:rPr>
                <w:rFonts w:hint="default" w:ascii="Times New Roman" w:hAnsi="Times New Roman" w:cs="Times New Roman"/>
                <w:color w:val="auto"/>
                <w:sz w:val="24"/>
              </w:rPr>
              <w:t>，福建省明光新型材料有限公司委托福建省冶金工业设计院有限公司编制《明光新材公司高端精线深加工项目环境影响报告表》。我司接受委托后派技术人员现场踏勘和收集有关资料，并依照《</w:t>
            </w:r>
            <w:r>
              <w:rPr>
                <w:rFonts w:hint="default" w:ascii="Times New Roman" w:hAnsi="Times New Roman" w:cs="Times New Roman"/>
                <w:color w:val="auto"/>
                <w:sz w:val="24"/>
                <w:lang w:eastAsia="zh-CN"/>
              </w:rPr>
              <w:t>中华人民共和国生态环境法典</w:t>
            </w:r>
            <w:r>
              <w:rPr>
                <w:rFonts w:hint="default" w:ascii="Times New Roman" w:hAnsi="Times New Roman" w:cs="Times New Roman"/>
                <w:color w:val="auto"/>
                <w:sz w:val="24"/>
              </w:rPr>
              <w:t>》等有关规定编制成报告表，供建设单位报环保主管部门审批。</w:t>
            </w:r>
          </w:p>
          <w:p w14:paraId="4CA8FA1B">
            <w:pPr>
              <w:pStyle w:val="4"/>
              <w:spacing w:before="264" w:beforeLines="70" w:after="264" w:afterLines="70"/>
              <w:outlineLvl w:val="1"/>
              <w:rPr>
                <w:rFonts w:hint="default" w:ascii="Times New Roman" w:hAnsi="Times New Roman" w:cs="Times New Roman"/>
                <w:snapToGrid/>
                <w:color w:val="auto"/>
                <w:szCs w:val="30"/>
              </w:rPr>
            </w:pPr>
            <w:bookmarkStart w:id="81" w:name="_Toc605"/>
            <w:bookmarkStart w:id="82" w:name="_Toc23702"/>
            <w:bookmarkStart w:id="83" w:name="_Toc27350"/>
            <w:bookmarkStart w:id="84" w:name="_Toc29816"/>
            <w:bookmarkStart w:id="85" w:name="_Toc12838"/>
            <w:bookmarkStart w:id="86" w:name="_Toc18932"/>
            <w:bookmarkStart w:id="87" w:name="_Toc13559"/>
            <w:r>
              <w:rPr>
                <w:rFonts w:hint="default" w:ascii="Times New Roman" w:hAnsi="Times New Roman" w:cs="Times New Roman"/>
                <w:snapToGrid/>
                <w:color w:val="auto"/>
                <w:szCs w:val="30"/>
              </w:rPr>
              <w:t>2.2建设项目工程分析</w:t>
            </w:r>
            <w:bookmarkEnd w:id="81"/>
            <w:bookmarkEnd w:id="82"/>
            <w:bookmarkEnd w:id="83"/>
            <w:bookmarkEnd w:id="84"/>
            <w:bookmarkEnd w:id="85"/>
            <w:bookmarkEnd w:id="86"/>
            <w:bookmarkEnd w:id="87"/>
          </w:p>
          <w:p w14:paraId="0FAD3303">
            <w:pPr>
              <w:pStyle w:val="5"/>
              <w:spacing w:before="189" w:after="264" w:afterLines="70" w:afterAutospacing="0" w:line="240" w:lineRule="auto"/>
              <w:outlineLvl w:val="2"/>
              <w:rPr>
                <w:rFonts w:hint="default" w:ascii="Times New Roman" w:hAnsi="Times New Roman" w:cs="Times New Roman"/>
                <w:color w:val="auto"/>
              </w:rPr>
            </w:pPr>
            <w:r>
              <w:rPr>
                <w:rFonts w:hint="default" w:ascii="Times New Roman" w:hAnsi="Times New Roman" w:cs="Times New Roman"/>
                <w:color w:val="auto"/>
              </w:rPr>
              <w:t>2.2.1项目基本情况</w:t>
            </w:r>
          </w:p>
          <w:p w14:paraId="5CF8C8B8">
            <w:pPr>
              <w:pStyle w:val="10"/>
              <w:adjustRightInd w:val="0"/>
              <w:snapToGrid w:val="0"/>
              <w:spacing w:line="360" w:lineRule="auto"/>
              <w:ind w:firstLine="482" w:firstLineChars="200"/>
              <w:rPr>
                <w:rFonts w:hint="default" w:ascii="Times New Roman" w:hAnsi="Times New Roman" w:cs="Times New Roman"/>
                <w:color w:val="auto"/>
                <w:sz w:val="24"/>
              </w:rPr>
            </w:pPr>
            <w:r>
              <w:rPr>
                <w:rFonts w:hint="default" w:ascii="Times New Roman" w:hAnsi="Times New Roman" w:cs="Times New Roman"/>
                <w:b/>
                <w:bCs/>
                <w:color w:val="auto"/>
                <w:sz w:val="24"/>
              </w:rPr>
              <w:t>项目名称：</w:t>
            </w:r>
            <w:r>
              <w:rPr>
                <w:rFonts w:hint="default" w:ascii="Times New Roman" w:hAnsi="Times New Roman" w:cs="Times New Roman"/>
                <w:color w:val="auto"/>
                <w:sz w:val="24"/>
              </w:rPr>
              <w:t>明光新材公司高端精线深加工项目。</w:t>
            </w:r>
          </w:p>
          <w:p w14:paraId="17CED170">
            <w:pPr>
              <w:pStyle w:val="10"/>
              <w:adjustRightInd w:val="0"/>
              <w:snapToGrid w:val="0"/>
              <w:spacing w:line="360" w:lineRule="auto"/>
              <w:ind w:firstLine="482" w:firstLineChars="200"/>
              <w:rPr>
                <w:rFonts w:hint="default" w:ascii="Times New Roman" w:hAnsi="Times New Roman" w:cs="Times New Roman"/>
                <w:color w:val="auto"/>
                <w:sz w:val="24"/>
              </w:rPr>
            </w:pPr>
            <w:r>
              <w:rPr>
                <w:rFonts w:hint="default" w:ascii="Times New Roman" w:hAnsi="Times New Roman" w:cs="Times New Roman"/>
                <w:b/>
                <w:bCs/>
                <w:color w:val="auto"/>
                <w:sz w:val="24"/>
              </w:rPr>
              <w:t>建设单位：</w:t>
            </w:r>
            <w:r>
              <w:rPr>
                <w:rFonts w:hint="default" w:ascii="Times New Roman" w:hAnsi="Times New Roman" w:cs="Times New Roman"/>
                <w:color w:val="auto"/>
                <w:sz w:val="24"/>
              </w:rPr>
              <w:t>福建省明光新型材料有限公司。</w:t>
            </w:r>
          </w:p>
          <w:p w14:paraId="6F787117">
            <w:pPr>
              <w:pStyle w:val="10"/>
              <w:adjustRightInd w:val="0"/>
              <w:snapToGrid w:val="0"/>
              <w:spacing w:line="360" w:lineRule="auto"/>
              <w:ind w:firstLine="482" w:firstLineChars="200"/>
              <w:rPr>
                <w:rFonts w:hint="default" w:ascii="Times New Roman" w:hAnsi="Times New Roman" w:cs="Times New Roman"/>
                <w:color w:val="auto"/>
                <w:sz w:val="24"/>
              </w:rPr>
            </w:pPr>
            <w:r>
              <w:rPr>
                <w:rFonts w:hint="default" w:ascii="Times New Roman" w:hAnsi="Times New Roman" w:cs="Times New Roman"/>
                <w:b/>
                <w:bCs/>
                <w:color w:val="auto"/>
                <w:sz w:val="24"/>
              </w:rPr>
              <w:t>建设性质：</w:t>
            </w:r>
            <w:r>
              <w:rPr>
                <w:rFonts w:hint="default" w:ascii="Times New Roman" w:hAnsi="Times New Roman" w:cs="Times New Roman"/>
                <w:color w:val="auto"/>
                <w:sz w:val="24"/>
                <w:highlight w:val="none"/>
                <w:lang w:val="en-US" w:eastAsia="zh-CN"/>
              </w:rPr>
              <w:t>扩建</w:t>
            </w:r>
            <w:r>
              <w:rPr>
                <w:rFonts w:hint="default" w:ascii="Times New Roman" w:hAnsi="Times New Roman" w:cs="Times New Roman"/>
                <w:color w:val="auto"/>
                <w:sz w:val="24"/>
              </w:rPr>
              <w:t>。</w:t>
            </w:r>
          </w:p>
          <w:p w14:paraId="3F7EB6BB">
            <w:pPr>
              <w:pStyle w:val="10"/>
              <w:adjustRightInd w:val="0"/>
              <w:snapToGrid w:val="0"/>
              <w:spacing w:line="360" w:lineRule="auto"/>
              <w:ind w:firstLine="482" w:firstLineChars="200"/>
              <w:rPr>
                <w:rFonts w:hint="default" w:ascii="Times New Roman" w:hAnsi="Times New Roman" w:cs="Times New Roman"/>
                <w:color w:val="auto"/>
                <w:sz w:val="24"/>
              </w:rPr>
            </w:pPr>
            <w:r>
              <w:rPr>
                <w:rFonts w:hint="default" w:ascii="Times New Roman" w:hAnsi="Times New Roman" w:cs="Times New Roman"/>
                <w:b/>
                <w:bCs/>
                <w:color w:val="auto"/>
                <w:sz w:val="24"/>
              </w:rPr>
              <w:t>建设地点：</w:t>
            </w:r>
            <w:r>
              <w:rPr>
                <w:rFonts w:hint="default" w:ascii="Times New Roman" w:hAnsi="Times New Roman" w:cs="Times New Roman"/>
                <w:color w:val="auto"/>
                <w:sz w:val="24"/>
              </w:rPr>
              <w:t>福建省三明市沙县节能南路198号福建省明光新型材料有限公司厂区内。</w:t>
            </w:r>
          </w:p>
          <w:p w14:paraId="0891BDB7">
            <w:pPr>
              <w:pStyle w:val="10"/>
              <w:adjustRightInd w:val="0"/>
              <w:snapToGrid w:val="0"/>
              <w:spacing w:line="360" w:lineRule="auto"/>
              <w:ind w:firstLine="482" w:firstLineChars="200"/>
              <w:rPr>
                <w:rFonts w:hint="default" w:ascii="Times New Roman" w:hAnsi="Times New Roman" w:cs="Times New Roman"/>
                <w:color w:val="auto"/>
                <w:sz w:val="24"/>
              </w:rPr>
            </w:pPr>
            <w:r>
              <w:rPr>
                <w:rFonts w:hint="default" w:ascii="Times New Roman" w:hAnsi="Times New Roman" w:cs="Times New Roman"/>
                <w:b/>
                <w:bCs/>
                <w:color w:val="auto"/>
                <w:sz w:val="24"/>
              </w:rPr>
              <w:t>建设规模：</w:t>
            </w:r>
            <w:r>
              <w:rPr>
                <w:rFonts w:hint="default" w:ascii="Times New Roman" w:hAnsi="Times New Roman" w:eastAsia="宋体" w:cs="Times New Roman"/>
                <w:color w:val="auto"/>
                <w:sz w:val="24"/>
                <w:lang w:val="en-US" w:eastAsia="zh-CN"/>
              </w:rPr>
              <w:t>新增</w:t>
            </w:r>
            <w:r>
              <w:rPr>
                <w:rFonts w:hint="default" w:ascii="Times New Roman" w:hAnsi="Times New Roman" w:eastAsia="宋体" w:cs="Times New Roman"/>
                <w:color w:val="auto"/>
                <w:sz w:val="24"/>
              </w:rPr>
              <w:t>年产</w:t>
            </w:r>
            <w:r>
              <w:rPr>
                <w:rFonts w:hint="default" w:ascii="Times New Roman" w:hAnsi="Times New Roman" w:eastAsia="宋体" w:cs="Times New Roman"/>
                <w:color w:val="auto"/>
                <w:sz w:val="24"/>
                <w:lang w:val="en-US" w:eastAsia="zh-CN"/>
              </w:rPr>
              <w:t>12</w:t>
            </w:r>
            <w:r>
              <w:rPr>
                <w:rFonts w:hint="default" w:ascii="Times New Roman" w:hAnsi="Times New Roman" w:eastAsia="宋体" w:cs="Times New Roman"/>
                <w:color w:val="auto"/>
                <w:sz w:val="24"/>
              </w:rPr>
              <w:t>万吨钢丝</w:t>
            </w:r>
            <w:r>
              <w:rPr>
                <w:rFonts w:hint="default" w:ascii="Times New Roman" w:hAnsi="Times New Roman" w:eastAsia="宋体" w:cs="Times New Roman"/>
                <w:color w:val="auto"/>
                <w:sz w:val="24"/>
                <w:lang w:val="en-US" w:eastAsia="zh-CN"/>
              </w:rPr>
              <w:t>规模</w:t>
            </w:r>
            <w:r>
              <w:rPr>
                <w:rFonts w:hint="default" w:ascii="Times New Roman" w:hAnsi="Times New Roman" w:eastAsia="宋体" w:cs="Times New Roman"/>
                <w:color w:val="auto"/>
                <w:sz w:val="24"/>
              </w:rPr>
              <w:t>和</w:t>
            </w:r>
            <w:r>
              <w:rPr>
                <w:rFonts w:hint="default" w:ascii="Times New Roman" w:hAnsi="Times New Roman" w:eastAsia="宋体" w:cs="Times New Roman"/>
                <w:color w:val="auto"/>
                <w:sz w:val="24"/>
                <w:lang w:val="en-US" w:eastAsia="zh-CN"/>
              </w:rPr>
              <w:t>新增</w:t>
            </w:r>
            <w:r>
              <w:rPr>
                <w:rFonts w:hint="default" w:ascii="Times New Roman" w:hAnsi="Times New Roman" w:eastAsia="宋体" w:cs="Times New Roman"/>
                <w:color w:val="auto"/>
                <w:sz w:val="24"/>
              </w:rPr>
              <w:t>年处理15万吨线材表面处理能力。</w:t>
            </w:r>
          </w:p>
          <w:p w14:paraId="0140290D">
            <w:pPr>
              <w:pStyle w:val="10"/>
              <w:adjustRightInd w:val="0"/>
              <w:snapToGrid w:val="0"/>
              <w:spacing w:line="360" w:lineRule="auto"/>
              <w:ind w:firstLine="482" w:firstLineChars="200"/>
              <w:rPr>
                <w:rFonts w:hint="default" w:ascii="Times New Roman" w:hAnsi="Times New Roman" w:cs="Times New Roman"/>
                <w:color w:val="auto"/>
                <w:sz w:val="24"/>
              </w:rPr>
            </w:pPr>
            <w:r>
              <w:rPr>
                <w:rFonts w:hint="default" w:ascii="Times New Roman" w:hAnsi="Times New Roman" w:cs="Times New Roman"/>
                <w:b/>
                <w:bCs/>
                <w:color w:val="auto"/>
                <w:sz w:val="24"/>
              </w:rPr>
              <w:t>工程投</w:t>
            </w:r>
            <w:r>
              <w:rPr>
                <w:rFonts w:hint="default" w:ascii="Times New Roman" w:hAnsi="Times New Roman" w:cs="Times New Roman"/>
                <w:b/>
                <w:bCs/>
                <w:color w:val="auto"/>
                <w:sz w:val="24"/>
                <w:highlight w:val="none"/>
              </w:rPr>
              <w:t>资：</w:t>
            </w:r>
            <w:r>
              <w:rPr>
                <w:rFonts w:hint="default" w:ascii="Times New Roman" w:hAnsi="Times New Roman" w:cs="Times New Roman"/>
                <w:color w:val="auto"/>
                <w:sz w:val="24"/>
                <w:highlight w:val="none"/>
              </w:rPr>
              <w:t>项目总投资</w:t>
            </w:r>
            <w:r>
              <w:rPr>
                <w:rFonts w:hint="default" w:ascii="Times New Roman" w:hAnsi="Times New Roman" w:cs="Times New Roman"/>
                <w:color w:val="auto"/>
                <w:sz w:val="24"/>
                <w:highlight w:val="none"/>
                <w:lang w:val="en-US" w:eastAsia="zh-CN"/>
              </w:rPr>
              <w:t>4192.3</w:t>
            </w:r>
            <w:r>
              <w:rPr>
                <w:rFonts w:hint="default" w:ascii="Times New Roman" w:hAnsi="Times New Roman" w:cs="Times New Roman"/>
                <w:color w:val="auto"/>
                <w:sz w:val="24"/>
                <w:highlight w:val="none"/>
              </w:rPr>
              <w:t>万元，其中环保投资</w:t>
            </w:r>
            <w:r>
              <w:rPr>
                <w:rFonts w:hint="default" w:ascii="Times New Roman" w:hAnsi="Times New Roman" w:cs="Times New Roman"/>
                <w:color w:val="auto"/>
                <w:sz w:val="24"/>
                <w:highlight w:val="none"/>
                <w:lang w:val="en-US" w:eastAsia="zh-CN"/>
              </w:rPr>
              <w:t>990</w:t>
            </w:r>
            <w:r>
              <w:rPr>
                <w:rFonts w:hint="default" w:ascii="Times New Roman" w:hAnsi="Times New Roman" w:cs="Times New Roman"/>
                <w:color w:val="auto"/>
                <w:sz w:val="24"/>
                <w:highlight w:val="none"/>
              </w:rPr>
              <w:t>万元，占比</w:t>
            </w:r>
            <w:r>
              <w:rPr>
                <w:rFonts w:hint="default" w:ascii="Times New Roman" w:hAnsi="Times New Roman" w:cs="Times New Roman"/>
                <w:color w:val="auto"/>
                <w:sz w:val="24"/>
                <w:highlight w:val="none"/>
                <w:lang w:val="en-US" w:eastAsia="zh-CN"/>
              </w:rPr>
              <w:t>23</w:t>
            </w:r>
            <w:r>
              <w:rPr>
                <w:rFonts w:hint="default" w:ascii="Times New Roman" w:hAnsi="Times New Roman" w:cs="Times New Roman"/>
                <w:color w:val="auto"/>
                <w:sz w:val="24"/>
                <w:highlight w:val="none"/>
              </w:rPr>
              <w:t>.6%。</w:t>
            </w:r>
          </w:p>
          <w:p w14:paraId="10BA81DF">
            <w:pPr>
              <w:pStyle w:val="5"/>
              <w:spacing w:before="189" w:after="189" w:afterLines="50" w:afterAutospacing="0" w:line="240" w:lineRule="auto"/>
              <w:outlineLvl w:val="2"/>
              <w:rPr>
                <w:rFonts w:hint="default" w:ascii="Times New Roman" w:hAnsi="Times New Roman" w:cs="Times New Roman"/>
                <w:color w:val="auto"/>
              </w:rPr>
            </w:pPr>
            <w:r>
              <w:rPr>
                <w:rFonts w:hint="default" w:ascii="Times New Roman" w:hAnsi="Times New Roman" w:cs="Times New Roman"/>
                <w:color w:val="auto"/>
              </w:rPr>
              <w:t>2.2.2建设内容</w:t>
            </w:r>
          </w:p>
          <w:p w14:paraId="17FAE511">
            <w:pPr>
              <w:adjustRightInd w:val="0"/>
              <w:snapToGrid w:val="0"/>
              <w:spacing w:line="360" w:lineRule="auto"/>
              <w:ind w:firstLine="480" w:firstLineChars="200"/>
              <w:rPr>
                <w:rFonts w:hint="default" w:ascii="Times New Roman" w:hAnsi="Times New Roman" w:cs="Times New Roman"/>
                <w:color w:val="auto"/>
              </w:rPr>
            </w:pPr>
            <w:r>
              <w:rPr>
                <w:rFonts w:hint="default" w:ascii="Times New Roman" w:hAnsi="Times New Roman" w:eastAsia="宋体" w:cs="Times New Roman"/>
                <w:color w:val="auto"/>
                <w:sz w:val="24"/>
                <w:szCs w:val="24"/>
                <w:highlight w:val="none"/>
              </w:rPr>
              <w:t>明光新材公司高端精线深加工</w:t>
            </w:r>
            <w:r>
              <w:rPr>
                <w:rFonts w:hint="default" w:ascii="Times New Roman" w:hAnsi="Times New Roman"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lang w:val="en-US" w:eastAsia="zh-CN"/>
              </w:rPr>
              <w:t>拟</w:t>
            </w:r>
            <w:r>
              <w:rPr>
                <w:rFonts w:hint="default" w:ascii="Times New Roman" w:hAnsi="Times New Roman" w:eastAsia="宋体" w:cs="Times New Roman"/>
                <w:bCs/>
                <w:color w:val="auto"/>
                <w:sz w:val="24"/>
                <w:szCs w:val="24"/>
                <w:highlight w:val="none"/>
              </w:rPr>
              <w:t>利用现有厂</w:t>
            </w:r>
            <w:r>
              <w:rPr>
                <w:rFonts w:hint="default" w:ascii="Times New Roman" w:hAnsi="Times New Roman" w:eastAsia="宋体" w:cs="Times New Roman"/>
                <w:bCs/>
                <w:color w:val="auto"/>
                <w:sz w:val="24"/>
                <w:szCs w:val="24"/>
                <w:highlight w:val="none"/>
                <w:lang w:val="en-US" w:eastAsia="zh-CN"/>
              </w:rPr>
              <w:t>房改造，购置放线架、拉丝机、收线机等设备，新增年产12</w:t>
            </w:r>
            <w:r>
              <w:rPr>
                <w:rFonts w:hint="default" w:ascii="Times New Roman" w:hAnsi="Times New Roman" w:eastAsia="宋体" w:cs="Times New Roman"/>
                <w:bCs/>
                <w:color w:val="auto"/>
                <w:sz w:val="24"/>
                <w:szCs w:val="24"/>
                <w:highlight w:val="none"/>
              </w:rPr>
              <w:t>万吨</w:t>
            </w:r>
            <w:r>
              <w:rPr>
                <w:rFonts w:hint="default" w:ascii="Times New Roman" w:hAnsi="Times New Roman" w:eastAsia="宋体" w:cs="Times New Roman"/>
                <w:bCs/>
                <w:color w:val="auto"/>
                <w:sz w:val="24"/>
                <w:szCs w:val="24"/>
                <w:highlight w:val="none"/>
                <w:lang w:val="en-US" w:eastAsia="zh-CN"/>
              </w:rPr>
              <w:t>钢丝</w:t>
            </w:r>
            <w:r>
              <w:rPr>
                <w:rFonts w:hint="default" w:ascii="Times New Roman" w:hAnsi="Times New Roman" w:eastAsia="宋体" w:cs="Times New Roman"/>
                <w:color w:val="auto"/>
                <w:sz w:val="24"/>
                <w:szCs w:val="24"/>
                <w:highlight w:val="none"/>
              </w:rPr>
              <w:t>的生产能力</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bCs/>
                <w:color w:val="auto"/>
                <w:sz w:val="24"/>
                <w:szCs w:val="24"/>
                <w:highlight w:val="none"/>
                <w:lang w:val="en-US" w:eastAsia="zh-CN"/>
              </w:rPr>
              <w:t>并在现有厂房外侧扩建一跨厂房（24×60m）用于布置</w:t>
            </w:r>
            <w:r>
              <w:rPr>
                <w:rFonts w:hint="default" w:ascii="Times New Roman" w:hAnsi="Times New Roman" w:eastAsia="宋体" w:cs="Times New Roman"/>
                <w:color w:val="auto"/>
                <w:sz w:val="24"/>
                <w:szCs w:val="24"/>
                <w:highlight w:val="none"/>
              </w:rPr>
              <w:t>全封闭、自动化的“隧道式”线材盘条表面处理生产线</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bCs/>
                <w:color w:val="auto"/>
                <w:sz w:val="24"/>
                <w:szCs w:val="24"/>
                <w:highlight w:val="none"/>
              </w:rPr>
              <w:t>年处理15万吨线材</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lang w:val="en-US" w:eastAsia="zh-CN"/>
              </w:rPr>
              <w:t>线材等原辅料堆放于现有车间厂房内，</w:t>
            </w:r>
            <w:r>
              <w:rPr>
                <w:rFonts w:hint="default" w:ascii="Times New Roman" w:hAnsi="Times New Roman" w:eastAsia="宋体" w:cs="Times New Roman"/>
                <w:bCs/>
                <w:color w:val="auto"/>
                <w:sz w:val="24"/>
                <w:szCs w:val="24"/>
                <w:highlight w:val="none"/>
              </w:rPr>
              <w:t>同步</w:t>
            </w:r>
            <w:r>
              <w:rPr>
                <w:rFonts w:hint="default" w:ascii="Times New Roman" w:hAnsi="Times New Roman" w:eastAsia="宋体" w:cs="Times New Roman"/>
                <w:bCs/>
                <w:color w:val="auto"/>
                <w:sz w:val="24"/>
                <w:szCs w:val="24"/>
                <w:highlight w:val="none"/>
                <w:lang w:val="en-US" w:eastAsia="zh-CN"/>
              </w:rPr>
              <w:t>配套建设</w:t>
            </w:r>
            <w:r>
              <w:rPr>
                <w:rFonts w:hint="default" w:ascii="Times New Roman" w:hAnsi="Times New Roman" w:eastAsia="宋体" w:cs="Times New Roman"/>
                <w:bCs/>
                <w:color w:val="auto"/>
                <w:sz w:val="24"/>
                <w:szCs w:val="24"/>
                <w:highlight w:val="none"/>
              </w:rPr>
              <w:t>供配电设施、蒸汽发生器、酸罐设施、污水处理设施、酸雾净化等环保设施及相关公辅</w:t>
            </w:r>
            <w:r>
              <w:rPr>
                <w:rFonts w:hint="default" w:ascii="Times New Roman" w:hAnsi="Times New Roman" w:cs="Times New Roman"/>
                <w:bCs/>
                <w:color w:val="auto"/>
                <w:sz w:val="24"/>
                <w:szCs w:val="24"/>
                <w:highlight w:val="none"/>
                <w:lang w:val="en-US" w:eastAsia="zh-CN"/>
              </w:rPr>
              <w:t>设施</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项目建成后，全厂新增</w:t>
            </w:r>
            <w:r>
              <w:rPr>
                <w:rFonts w:hint="default" w:ascii="Times New Roman" w:hAnsi="Times New Roman" w:eastAsia="宋体" w:cs="Times New Roman"/>
                <w:bCs/>
                <w:color w:val="auto"/>
                <w:sz w:val="24"/>
                <w:szCs w:val="24"/>
                <w:highlight w:val="none"/>
                <w:lang w:val="en-US" w:eastAsia="zh-CN"/>
              </w:rPr>
              <w:t>12</w:t>
            </w:r>
            <w:r>
              <w:rPr>
                <w:rFonts w:hint="default" w:ascii="Times New Roman" w:hAnsi="Times New Roman" w:eastAsia="宋体" w:cs="Times New Roman"/>
                <w:bCs/>
                <w:color w:val="auto"/>
                <w:sz w:val="24"/>
                <w:szCs w:val="24"/>
                <w:highlight w:val="none"/>
              </w:rPr>
              <w:t>万吨/年</w:t>
            </w:r>
            <w:r>
              <w:rPr>
                <w:rFonts w:hint="default" w:ascii="Times New Roman" w:hAnsi="Times New Roman" w:eastAsia="宋体" w:cs="Times New Roman"/>
                <w:bCs/>
                <w:color w:val="auto"/>
                <w:sz w:val="24"/>
                <w:szCs w:val="24"/>
                <w:highlight w:val="none"/>
                <w:lang w:val="en-US" w:eastAsia="zh-CN"/>
              </w:rPr>
              <w:t>钢丝</w:t>
            </w:r>
            <w:r>
              <w:rPr>
                <w:rFonts w:hint="default" w:ascii="Times New Roman" w:hAnsi="Times New Roman" w:eastAsia="宋体" w:cs="Times New Roman"/>
                <w:color w:val="auto"/>
                <w:sz w:val="24"/>
                <w:szCs w:val="24"/>
                <w:highlight w:val="none"/>
              </w:rPr>
              <w:t>的生产能力和</w:t>
            </w:r>
            <w:r>
              <w:rPr>
                <w:rFonts w:hint="default" w:ascii="Times New Roman" w:hAnsi="Times New Roman" w:eastAsia="宋体" w:cs="Times New Roman"/>
                <w:bCs/>
                <w:color w:val="auto"/>
                <w:sz w:val="24"/>
                <w:szCs w:val="24"/>
                <w:highlight w:val="none"/>
              </w:rPr>
              <w:t>年处理15万吨线材表面处理能力</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建设内容见表2.2-1。</w:t>
            </w:r>
          </w:p>
        </w:tc>
      </w:tr>
    </w:tbl>
    <w:p w14:paraId="43E2D4DA">
      <w:pPr>
        <w:bidi w:val="0"/>
        <w:rPr>
          <w:rFonts w:hint="default"/>
          <w:color w:val="auto"/>
        </w:rPr>
        <w:sectPr>
          <w:pgSz w:w="11905" w:h="16838"/>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p w14:paraId="032B8790">
      <w:pPr>
        <w:pStyle w:val="7"/>
        <w:spacing w:before="113" w:beforeLines="30" w:after="113" w:afterLines="30"/>
        <w:rPr>
          <w:rFonts w:hint="default" w:ascii="Times New Roman" w:hAnsi="Times New Roman" w:cs="Times New Roman"/>
          <w:color w:val="auto"/>
          <w:sz w:val="24"/>
        </w:rPr>
      </w:pPr>
      <w:r>
        <w:rPr>
          <w:rFonts w:hint="default" w:ascii="Times New Roman" w:hAnsi="Times New Roman" w:cs="Times New Roman"/>
          <w:color w:val="auto"/>
          <w:sz w:val="24"/>
        </w:rPr>
        <w:t>表2.2-1  项目建设内容</w:t>
      </w:r>
    </w:p>
    <w:tbl>
      <w:tblPr>
        <w:tblStyle w:val="34"/>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06"/>
        <w:gridCol w:w="1400"/>
        <w:gridCol w:w="3959"/>
        <w:gridCol w:w="3001"/>
        <w:gridCol w:w="4455"/>
        <w:gridCol w:w="4468"/>
        <w:gridCol w:w="3400"/>
      </w:tblGrid>
      <w:tr w14:paraId="7186F9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0" w:hRule="atLeast"/>
          <w:tblHeader/>
        </w:trPr>
        <w:tc>
          <w:tcPr>
            <w:tcW w:w="449" w:type="pct"/>
            <w:gridSpan w:val="2"/>
            <w:vMerge w:val="restart"/>
            <w:tcBorders>
              <w:tl2br w:val="nil"/>
              <w:tr2bl w:val="nil"/>
            </w:tcBorders>
            <w:shd w:val="clear" w:color="auto" w:fill="auto"/>
            <w:vAlign w:val="center"/>
          </w:tcPr>
          <w:p w14:paraId="27EC373E">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项目组成</w:t>
            </w:r>
          </w:p>
        </w:tc>
        <w:tc>
          <w:tcPr>
            <w:tcW w:w="1642" w:type="pct"/>
            <w:gridSpan w:val="2"/>
            <w:tcBorders>
              <w:tl2br w:val="nil"/>
              <w:tr2bl w:val="nil"/>
            </w:tcBorders>
            <w:shd w:val="clear" w:color="auto" w:fill="auto"/>
            <w:vAlign w:val="center"/>
          </w:tcPr>
          <w:p w14:paraId="24FC84D4">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现有工程建设内容及规模</w:t>
            </w:r>
          </w:p>
        </w:tc>
        <w:tc>
          <w:tcPr>
            <w:tcW w:w="1051" w:type="pct"/>
            <w:vMerge w:val="restart"/>
            <w:tcBorders>
              <w:tl2br w:val="nil"/>
              <w:tr2bl w:val="nil"/>
            </w:tcBorders>
            <w:shd w:val="clear" w:color="auto" w:fill="auto"/>
            <w:vAlign w:val="center"/>
          </w:tcPr>
          <w:p w14:paraId="6C7A11C4">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本工程新增建设内容</w:t>
            </w:r>
          </w:p>
        </w:tc>
        <w:tc>
          <w:tcPr>
            <w:tcW w:w="1054" w:type="pct"/>
            <w:vMerge w:val="restart"/>
            <w:tcBorders>
              <w:tl2br w:val="nil"/>
              <w:tr2bl w:val="nil"/>
            </w:tcBorders>
            <w:shd w:val="clear" w:color="auto" w:fill="auto"/>
            <w:vAlign w:val="center"/>
          </w:tcPr>
          <w:p w14:paraId="7312642C">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项目建成后全厂建设内容及规模</w:t>
            </w:r>
          </w:p>
        </w:tc>
        <w:tc>
          <w:tcPr>
            <w:tcW w:w="802" w:type="pct"/>
            <w:vMerge w:val="restart"/>
            <w:tcBorders>
              <w:tl2br w:val="nil"/>
              <w:tr2bl w:val="nil"/>
            </w:tcBorders>
            <w:shd w:val="clear" w:color="auto" w:fill="auto"/>
            <w:vAlign w:val="center"/>
          </w:tcPr>
          <w:p w14:paraId="72A530EC">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备注</w:t>
            </w:r>
          </w:p>
        </w:tc>
      </w:tr>
      <w:tr w14:paraId="79BD77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0" w:hRule="atLeast"/>
          <w:tblHeader/>
        </w:trPr>
        <w:tc>
          <w:tcPr>
            <w:tcW w:w="449" w:type="pct"/>
            <w:gridSpan w:val="2"/>
            <w:vMerge w:val="continue"/>
            <w:tcBorders>
              <w:tl2br w:val="nil"/>
              <w:tr2bl w:val="nil"/>
            </w:tcBorders>
            <w:shd w:val="clear" w:color="auto" w:fill="auto"/>
            <w:vAlign w:val="center"/>
          </w:tcPr>
          <w:p w14:paraId="34CC6C32">
            <w:pPr>
              <w:spacing w:line="300" w:lineRule="exact"/>
              <w:jc w:val="center"/>
              <w:rPr>
                <w:rFonts w:hint="default" w:ascii="Times New Roman" w:hAnsi="Times New Roman" w:cs="Times New Roman"/>
                <w:color w:val="auto"/>
                <w:szCs w:val="21"/>
              </w:rPr>
            </w:pPr>
          </w:p>
        </w:tc>
        <w:tc>
          <w:tcPr>
            <w:tcW w:w="934" w:type="pct"/>
            <w:tcBorders>
              <w:tl2br w:val="nil"/>
              <w:tr2bl w:val="nil"/>
            </w:tcBorders>
            <w:shd w:val="clear" w:color="auto" w:fill="auto"/>
            <w:vAlign w:val="center"/>
          </w:tcPr>
          <w:p w14:paraId="6C447703">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现有已投产工程</w:t>
            </w:r>
          </w:p>
        </w:tc>
        <w:tc>
          <w:tcPr>
            <w:tcW w:w="708" w:type="pct"/>
            <w:tcBorders>
              <w:tl2br w:val="nil"/>
              <w:tr2bl w:val="nil"/>
            </w:tcBorders>
            <w:shd w:val="clear" w:color="auto" w:fill="auto"/>
            <w:vAlign w:val="center"/>
          </w:tcPr>
          <w:p w14:paraId="55614BD4">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在建工程</w:t>
            </w:r>
          </w:p>
        </w:tc>
        <w:tc>
          <w:tcPr>
            <w:tcW w:w="1051" w:type="pct"/>
            <w:vMerge w:val="continue"/>
            <w:tcBorders>
              <w:tl2br w:val="nil"/>
              <w:tr2bl w:val="nil"/>
            </w:tcBorders>
            <w:shd w:val="clear" w:color="auto" w:fill="auto"/>
            <w:vAlign w:val="center"/>
          </w:tcPr>
          <w:p w14:paraId="6B7DB226">
            <w:pPr>
              <w:spacing w:line="300" w:lineRule="exact"/>
              <w:jc w:val="center"/>
              <w:rPr>
                <w:rFonts w:hint="default" w:ascii="Times New Roman" w:hAnsi="Times New Roman" w:cs="Times New Roman"/>
                <w:color w:val="auto"/>
                <w:szCs w:val="21"/>
              </w:rPr>
            </w:pPr>
          </w:p>
        </w:tc>
        <w:tc>
          <w:tcPr>
            <w:tcW w:w="1054" w:type="pct"/>
            <w:vMerge w:val="continue"/>
            <w:tcBorders>
              <w:tl2br w:val="nil"/>
              <w:tr2bl w:val="nil"/>
            </w:tcBorders>
            <w:shd w:val="clear" w:color="auto" w:fill="auto"/>
            <w:vAlign w:val="center"/>
          </w:tcPr>
          <w:p w14:paraId="28CBDD20">
            <w:pPr>
              <w:spacing w:line="300" w:lineRule="exact"/>
              <w:jc w:val="center"/>
              <w:rPr>
                <w:rFonts w:hint="default" w:ascii="Times New Roman" w:hAnsi="Times New Roman" w:cs="Times New Roman"/>
                <w:color w:val="auto"/>
                <w:szCs w:val="21"/>
              </w:rPr>
            </w:pPr>
          </w:p>
        </w:tc>
        <w:tc>
          <w:tcPr>
            <w:tcW w:w="802" w:type="pct"/>
            <w:vMerge w:val="continue"/>
            <w:tcBorders>
              <w:tl2br w:val="nil"/>
              <w:tr2bl w:val="nil"/>
            </w:tcBorders>
            <w:shd w:val="clear" w:color="auto" w:fill="auto"/>
            <w:vAlign w:val="center"/>
          </w:tcPr>
          <w:p w14:paraId="61317379">
            <w:pPr>
              <w:spacing w:line="300" w:lineRule="exact"/>
              <w:jc w:val="center"/>
              <w:rPr>
                <w:rFonts w:hint="default" w:ascii="Times New Roman" w:hAnsi="Times New Roman" w:cs="Times New Roman"/>
                <w:color w:val="auto"/>
                <w:szCs w:val="21"/>
              </w:rPr>
            </w:pPr>
          </w:p>
        </w:tc>
      </w:tr>
      <w:tr w14:paraId="020B68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119" w:type="pct"/>
            <w:vMerge w:val="restart"/>
            <w:tcBorders>
              <w:tl2br w:val="nil"/>
              <w:tr2bl w:val="nil"/>
            </w:tcBorders>
            <w:shd w:val="clear" w:color="auto" w:fill="auto"/>
            <w:noWrap/>
            <w:vAlign w:val="center"/>
          </w:tcPr>
          <w:p w14:paraId="253CC671">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主体工程</w:t>
            </w:r>
          </w:p>
        </w:tc>
        <w:tc>
          <w:tcPr>
            <w:tcW w:w="330" w:type="pct"/>
            <w:tcBorders>
              <w:tl2br w:val="nil"/>
              <w:tr2bl w:val="nil"/>
            </w:tcBorders>
            <w:shd w:val="clear" w:color="auto" w:fill="auto"/>
            <w:noWrap/>
            <w:vAlign w:val="center"/>
          </w:tcPr>
          <w:p w14:paraId="178AE101">
            <w:pPr>
              <w:widowControl/>
              <w:spacing w:line="300" w:lineRule="exact"/>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1#生产车间</w:t>
            </w:r>
          </w:p>
        </w:tc>
        <w:tc>
          <w:tcPr>
            <w:tcW w:w="934" w:type="pct"/>
            <w:tcBorders>
              <w:tl2br w:val="nil"/>
              <w:tr2bl w:val="nil"/>
            </w:tcBorders>
            <w:shd w:val="clear" w:color="auto" w:fill="auto"/>
            <w:vAlign w:val="center"/>
          </w:tcPr>
          <w:p w14:paraId="0B658A69">
            <w:pPr>
              <w:widowControl/>
              <w:spacing w:line="300" w:lineRule="exact"/>
              <w:jc w:val="left"/>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原镀锌车间,厂房总占地14000m</w:t>
            </w:r>
            <w:r>
              <w:rPr>
                <w:rFonts w:hint="default" w:ascii="Times New Roman" w:hAnsi="Times New Roman" w:cs="Times New Roman"/>
                <w:color w:val="auto"/>
                <w:kern w:val="0"/>
                <w:szCs w:val="21"/>
                <w:vertAlign w:val="superscript"/>
                <w:lang w:bidi="ar"/>
              </w:rPr>
              <w:t>2</w:t>
            </w:r>
            <w:r>
              <w:rPr>
                <w:rFonts w:hint="default" w:ascii="Times New Roman" w:hAnsi="Times New Roman" w:cs="Times New Roman"/>
                <w:color w:val="auto"/>
                <w:kern w:val="0"/>
                <w:szCs w:val="21"/>
                <w:lang w:bidi="ar"/>
              </w:rPr>
              <w:t>，其中6300m</w:t>
            </w:r>
            <w:r>
              <w:rPr>
                <w:rFonts w:hint="default" w:ascii="Times New Roman" w:hAnsi="Times New Roman" w:cs="Times New Roman"/>
                <w:color w:val="auto"/>
                <w:kern w:val="0"/>
                <w:szCs w:val="21"/>
                <w:vertAlign w:val="superscript"/>
                <w:lang w:bidi="ar"/>
              </w:rPr>
              <w:t>2</w:t>
            </w:r>
            <w:r>
              <w:rPr>
                <w:rFonts w:hint="default" w:ascii="Times New Roman" w:hAnsi="Times New Roman" w:cs="Times New Roman"/>
                <w:color w:val="auto"/>
                <w:kern w:val="0"/>
                <w:szCs w:val="21"/>
                <w:lang w:bidi="ar"/>
              </w:rPr>
              <w:t>布设了4条PC钢棒生产线，分别是13#-16#生产线、7200m</w:t>
            </w:r>
            <w:r>
              <w:rPr>
                <w:rFonts w:hint="default" w:ascii="Times New Roman" w:hAnsi="Times New Roman" w:cs="Times New Roman"/>
                <w:color w:val="auto"/>
                <w:kern w:val="0"/>
                <w:szCs w:val="21"/>
                <w:vertAlign w:val="superscript"/>
                <w:lang w:bidi="ar"/>
              </w:rPr>
              <w:t>2</w:t>
            </w:r>
            <w:r>
              <w:rPr>
                <w:rFonts w:hint="default" w:ascii="Times New Roman" w:hAnsi="Times New Roman" w:cs="Times New Roman"/>
                <w:color w:val="auto"/>
                <w:kern w:val="0"/>
                <w:szCs w:val="21"/>
                <w:lang w:bidi="ar"/>
              </w:rPr>
              <w:t>为子公司“福建明光同鑫晟金属制品有限公司”建设“增建预应力钢丝生产线建设项目”，剩余用地用于仓库。</w:t>
            </w:r>
          </w:p>
        </w:tc>
        <w:tc>
          <w:tcPr>
            <w:tcW w:w="708" w:type="pct"/>
            <w:tcBorders>
              <w:tl2br w:val="nil"/>
              <w:tr2bl w:val="nil"/>
            </w:tcBorders>
            <w:shd w:val="clear" w:color="auto" w:fill="auto"/>
            <w:vAlign w:val="center"/>
          </w:tcPr>
          <w:p w14:paraId="3152811E">
            <w:pPr>
              <w:widowControl/>
              <w:spacing w:line="300" w:lineRule="exact"/>
              <w:jc w:val="left"/>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利用1#车间建筑面积500m</w:t>
            </w:r>
            <w:r>
              <w:rPr>
                <w:rFonts w:hint="default" w:ascii="Times New Roman" w:hAnsi="Times New Roman" w:cs="Times New Roman"/>
                <w:color w:val="auto"/>
                <w:kern w:val="0"/>
                <w:szCs w:val="21"/>
                <w:vertAlign w:val="superscript"/>
                <w:lang w:bidi="ar"/>
              </w:rPr>
              <w:t>2</w:t>
            </w:r>
            <w:r>
              <w:rPr>
                <w:rFonts w:hint="default" w:ascii="Times New Roman" w:hAnsi="Times New Roman" w:cs="Times New Roman"/>
                <w:color w:val="auto"/>
                <w:kern w:val="0"/>
                <w:szCs w:val="21"/>
                <w:lang w:bidi="ar"/>
              </w:rPr>
              <w:t>，扩建3条钢丝生产线，新增年产1.55万吨钢丝</w:t>
            </w:r>
          </w:p>
        </w:tc>
        <w:tc>
          <w:tcPr>
            <w:tcW w:w="1051" w:type="pct"/>
            <w:tcBorders>
              <w:tl2br w:val="nil"/>
              <w:tr2bl w:val="nil"/>
            </w:tcBorders>
            <w:shd w:val="clear" w:color="auto" w:fill="auto"/>
            <w:noWrap/>
            <w:vAlign w:val="center"/>
          </w:tcPr>
          <w:p w14:paraId="181A7078">
            <w:pPr>
              <w:widowControl/>
              <w:spacing w:line="300" w:lineRule="exact"/>
              <w:jc w:val="center"/>
              <w:textAlignment w:val="center"/>
              <w:rPr>
                <w:rFonts w:hint="default" w:ascii="Times New Roman" w:hAnsi="Times New Roman" w:cs="Times New Roman"/>
                <w:color w:val="auto"/>
                <w:szCs w:val="21"/>
              </w:rPr>
            </w:pPr>
          </w:p>
        </w:tc>
        <w:tc>
          <w:tcPr>
            <w:tcW w:w="1054" w:type="pct"/>
            <w:tcBorders>
              <w:tl2br w:val="nil"/>
              <w:tr2bl w:val="nil"/>
            </w:tcBorders>
            <w:shd w:val="clear" w:color="auto" w:fill="auto"/>
            <w:noWrap/>
            <w:vAlign w:val="center"/>
          </w:tcPr>
          <w:p w14:paraId="17FA8F65">
            <w:pPr>
              <w:spacing w:line="300" w:lineRule="exact"/>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厂房总占地14000m</w:t>
            </w:r>
            <w:r>
              <w:rPr>
                <w:rFonts w:hint="default" w:ascii="Times New Roman" w:hAnsi="Times New Roman" w:cs="Times New Roman"/>
                <w:color w:val="auto"/>
                <w:kern w:val="0"/>
                <w:szCs w:val="21"/>
                <w:vertAlign w:val="superscript"/>
                <w:lang w:bidi="ar"/>
              </w:rPr>
              <w:t>2</w:t>
            </w:r>
            <w:r>
              <w:rPr>
                <w:rFonts w:hint="default" w:ascii="Times New Roman" w:hAnsi="Times New Roman" w:cs="Times New Roman"/>
                <w:color w:val="auto"/>
                <w:kern w:val="0"/>
                <w:szCs w:val="21"/>
                <w:lang w:bidi="ar"/>
              </w:rPr>
              <w:t>，建有4条PC钢棒生产线（13#-16#生产线,年产6万吨</w:t>
            </w:r>
            <w:r>
              <w:rPr>
                <w:rFonts w:hint="default" w:ascii="Times New Roman" w:hAnsi="Times New Roman" w:cs="Times New Roman"/>
                <w:color w:val="auto"/>
                <w:szCs w:val="21"/>
              </w:rPr>
              <w:t>PC钢棒</w:t>
            </w:r>
            <w:r>
              <w:rPr>
                <w:rFonts w:hint="default" w:ascii="Times New Roman" w:hAnsi="Times New Roman" w:cs="Times New Roman"/>
                <w:color w:val="auto"/>
                <w:kern w:val="0"/>
                <w:szCs w:val="21"/>
                <w:lang w:bidi="ar"/>
              </w:rPr>
              <w:t>）；3条钢丝生产线（年产1.55万吨钢丝）；其余为仓库和对外租赁</w:t>
            </w:r>
          </w:p>
        </w:tc>
        <w:tc>
          <w:tcPr>
            <w:tcW w:w="802" w:type="pct"/>
            <w:tcBorders>
              <w:tl2br w:val="nil"/>
              <w:tr2bl w:val="nil"/>
            </w:tcBorders>
            <w:shd w:val="clear" w:color="auto" w:fill="auto"/>
            <w:noWrap/>
            <w:vAlign w:val="center"/>
          </w:tcPr>
          <w:p w14:paraId="24373C6A">
            <w:pPr>
              <w:spacing w:line="300" w:lineRule="exact"/>
              <w:rPr>
                <w:rFonts w:hint="default" w:ascii="Times New Roman" w:hAnsi="Times New Roman" w:cs="Times New Roman"/>
                <w:color w:val="auto"/>
                <w:szCs w:val="21"/>
              </w:rPr>
            </w:pPr>
          </w:p>
        </w:tc>
      </w:tr>
      <w:tr w14:paraId="44F2A3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119" w:type="pct"/>
            <w:vMerge w:val="continue"/>
            <w:tcBorders>
              <w:tl2br w:val="nil"/>
              <w:tr2bl w:val="nil"/>
            </w:tcBorders>
            <w:shd w:val="clear" w:color="auto" w:fill="auto"/>
            <w:noWrap/>
            <w:vAlign w:val="center"/>
          </w:tcPr>
          <w:p w14:paraId="151B4BCE">
            <w:pPr>
              <w:spacing w:line="300" w:lineRule="exact"/>
              <w:jc w:val="center"/>
              <w:rPr>
                <w:rFonts w:hint="default" w:ascii="Times New Roman" w:hAnsi="Times New Roman" w:cs="Times New Roman"/>
                <w:color w:val="auto"/>
                <w:szCs w:val="21"/>
              </w:rPr>
            </w:pPr>
          </w:p>
        </w:tc>
        <w:tc>
          <w:tcPr>
            <w:tcW w:w="330" w:type="pct"/>
            <w:tcBorders>
              <w:tl2br w:val="nil"/>
              <w:tr2bl w:val="nil"/>
            </w:tcBorders>
            <w:shd w:val="clear" w:color="auto" w:fill="auto"/>
            <w:noWrap/>
            <w:vAlign w:val="center"/>
          </w:tcPr>
          <w:p w14:paraId="640DE7B0">
            <w:pPr>
              <w:widowControl/>
              <w:spacing w:line="300" w:lineRule="exact"/>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2#生产车间</w:t>
            </w:r>
          </w:p>
        </w:tc>
        <w:tc>
          <w:tcPr>
            <w:tcW w:w="934" w:type="pct"/>
            <w:tcBorders>
              <w:tl2br w:val="nil"/>
              <w:tr2bl w:val="nil"/>
            </w:tcBorders>
            <w:shd w:val="clear" w:color="auto" w:fill="auto"/>
            <w:vAlign w:val="center"/>
          </w:tcPr>
          <w:p w14:paraId="5D142092">
            <w:pPr>
              <w:widowControl/>
              <w:spacing w:line="300" w:lineRule="exact"/>
              <w:jc w:val="left"/>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原彩涂车间,目前为仓库和租赁（出租部分由租赁公司自行编制环评）。厂房占地12800m</w:t>
            </w:r>
            <w:r>
              <w:rPr>
                <w:rFonts w:hint="default" w:ascii="Times New Roman" w:hAnsi="Times New Roman" w:cs="Times New Roman"/>
                <w:color w:val="auto"/>
                <w:kern w:val="0"/>
                <w:szCs w:val="21"/>
                <w:vertAlign w:val="superscript"/>
                <w:lang w:bidi="ar"/>
              </w:rPr>
              <w:t>2</w:t>
            </w:r>
            <w:r>
              <w:rPr>
                <w:rFonts w:hint="default" w:ascii="Times New Roman" w:hAnsi="Times New Roman" w:cs="Times New Roman"/>
                <w:color w:val="auto"/>
                <w:kern w:val="0"/>
                <w:szCs w:val="21"/>
                <w:lang w:bidi="ar"/>
              </w:rPr>
              <w:t>，其中9300m</w:t>
            </w:r>
            <w:r>
              <w:rPr>
                <w:rFonts w:hint="default" w:ascii="Times New Roman" w:hAnsi="Times New Roman" w:cs="Times New Roman"/>
                <w:color w:val="auto"/>
                <w:kern w:val="0"/>
                <w:szCs w:val="21"/>
                <w:vertAlign w:val="superscript"/>
                <w:lang w:bidi="ar"/>
              </w:rPr>
              <w:t>2</w:t>
            </w:r>
            <w:r>
              <w:rPr>
                <w:rFonts w:hint="default" w:ascii="Times New Roman" w:hAnsi="Times New Roman" w:cs="Times New Roman"/>
                <w:color w:val="auto"/>
                <w:kern w:val="0"/>
                <w:szCs w:val="21"/>
                <w:lang w:bidi="ar"/>
              </w:rPr>
              <w:t>用于子公司“</w:t>
            </w:r>
            <w:bookmarkStart w:id="88" w:name="OLE_LINK6"/>
            <w:r>
              <w:rPr>
                <w:rFonts w:hint="default" w:ascii="Times New Roman" w:hAnsi="Times New Roman" w:cs="Times New Roman"/>
                <w:color w:val="auto"/>
                <w:kern w:val="0"/>
                <w:szCs w:val="21"/>
                <w:lang w:bidi="ar"/>
              </w:rPr>
              <w:t>福建明光同鑫晟金属制品有限公司</w:t>
            </w:r>
            <w:bookmarkEnd w:id="88"/>
            <w:r>
              <w:rPr>
                <w:rFonts w:hint="default" w:ascii="Times New Roman" w:hAnsi="Times New Roman" w:cs="Times New Roman"/>
                <w:color w:val="auto"/>
                <w:kern w:val="0"/>
                <w:szCs w:val="21"/>
                <w:lang w:bidi="ar"/>
              </w:rPr>
              <w:t>”建设钢绞线生产项目，剩余一部分租赁给福建德桥工程材料公司建设钢绞线、预应力塑料波纹管生产项目，另一部分为仓库</w:t>
            </w:r>
          </w:p>
        </w:tc>
        <w:tc>
          <w:tcPr>
            <w:tcW w:w="708" w:type="pct"/>
            <w:tcBorders>
              <w:tl2br w:val="nil"/>
              <w:tr2bl w:val="nil"/>
            </w:tcBorders>
            <w:shd w:val="clear" w:color="auto" w:fill="auto"/>
            <w:noWrap/>
            <w:vAlign w:val="center"/>
          </w:tcPr>
          <w:p w14:paraId="4BF6A278">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w:t>
            </w:r>
          </w:p>
        </w:tc>
        <w:tc>
          <w:tcPr>
            <w:tcW w:w="1051" w:type="pct"/>
            <w:tcBorders>
              <w:tl2br w:val="nil"/>
              <w:tr2bl w:val="nil"/>
            </w:tcBorders>
            <w:shd w:val="clear" w:color="auto" w:fill="auto"/>
            <w:noWrap/>
            <w:vAlign w:val="center"/>
          </w:tcPr>
          <w:p w14:paraId="10C1AE4E">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w:t>
            </w:r>
          </w:p>
        </w:tc>
        <w:tc>
          <w:tcPr>
            <w:tcW w:w="1054" w:type="pct"/>
            <w:tcBorders>
              <w:tl2br w:val="nil"/>
              <w:tr2bl w:val="nil"/>
            </w:tcBorders>
            <w:shd w:val="clear" w:color="auto" w:fill="auto"/>
            <w:noWrap/>
            <w:vAlign w:val="center"/>
          </w:tcPr>
          <w:p w14:paraId="6FD9E7A8">
            <w:pPr>
              <w:spacing w:line="300" w:lineRule="exact"/>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厂房占地12800m</w:t>
            </w:r>
            <w:r>
              <w:rPr>
                <w:rFonts w:hint="default" w:ascii="Times New Roman" w:hAnsi="Times New Roman" w:cs="Times New Roman"/>
                <w:color w:val="auto"/>
                <w:kern w:val="0"/>
                <w:szCs w:val="21"/>
                <w:vertAlign w:val="superscript"/>
                <w:lang w:bidi="ar"/>
              </w:rPr>
              <w:t>2</w:t>
            </w:r>
            <w:r>
              <w:rPr>
                <w:rFonts w:hint="default" w:ascii="Times New Roman" w:hAnsi="Times New Roman" w:cs="Times New Roman"/>
                <w:color w:val="auto"/>
                <w:kern w:val="0"/>
                <w:szCs w:val="21"/>
                <w:lang w:bidi="ar"/>
              </w:rPr>
              <w:t>，目前为仓库和对外租赁</w:t>
            </w:r>
          </w:p>
        </w:tc>
        <w:tc>
          <w:tcPr>
            <w:tcW w:w="802" w:type="pct"/>
            <w:tcBorders>
              <w:tl2br w:val="nil"/>
              <w:tr2bl w:val="nil"/>
            </w:tcBorders>
            <w:shd w:val="clear" w:color="auto" w:fill="auto"/>
            <w:noWrap/>
            <w:vAlign w:val="center"/>
          </w:tcPr>
          <w:p w14:paraId="493A72DA">
            <w:pPr>
              <w:spacing w:line="300" w:lineRule="exact"/>
              <w:rPr>
                <w:rFonts w:hint="default" w:ascii="Times New Roman" w:hAnsi="Times New Roman" w:cs="Times New Roman"/>
                <w:color w:val="auto"/>
                <w:szCs w:val="21"/>
              </w:rPr>
            </w:pPr>
          </w:p>
        </w:tc>
      </w:tr>
      <w:tr w14:paraId="435D62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119" w:type="pct"/>
            <w:vMerge w:val="continue"/>
            <w:tcBorders>
              <w:tl2br w:val="nil"/>
              <w:tr2bl w:val="nil"/>
            </w:tcBorders>
            <w:shd w:val="clear" w:color="auto" w:fill="auto"/>
            <w:noWrap/>
            <w:vAlign w:val="center"/>
          </w:tcPr>
          <w:p w14:paraId="694A7FF4">
            <w:pPr>
              <w:spacing w:line="300" w:lineRule="exact"/>
              <w:jc w:val="center"/>
              <w:rPr>
                <w:rFonts w:hint="default" w:ascii="Times New Roman" w:hAnsi="Times New Roman" w:cs="Times New Roman"/>
                <w:color w:val="auto"/>
                <w:szCs w:val="21"/>
              </w:rPr>
            </w:pPr>
          </w:p>
        </w:tc>
        <w:tc>
          <w:tcPr>
            <w:tcW w:w="330" w:type="pct"/>
            <w:tcBorders>
              <w:tl2br w:val="nil"/>
              <w:tr2bl w:val="nil"/>
            </w:tcBorders>
            <w:shd w:val="clear" w:color="auto" w:fill="auto"/>
            <w:noWrap/>
            <w:vAlign w:val="center"/>
          </w:tcPr>
          <w:p w14:paraId="1BDFCED7">
            <w:pPr>
              <w:widowControl/>
              <w:spacing w:line="300" w:lineRule="exact"/>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3#生产车间</w:t>
            </w:r>
          </w:p>
        </w:tc>
        <w:tc>
          <w:tcPr>
            <w:tcW w:w="934" w:type="pct"/>
            <w:tcBorders>
              <w:tl2br w:val="nil"/>
              <w:tr2bl w:val="nil"/>
            </w:tcBorders>
            <w:shd w:val="clear" w:color="auto" w:fill="auto"/>
            <w:vAlign w:val="center"/>
          </w:tcPr>
          <w:p w14:paraId="23F96CC9">
            <w:pPr>
              <w:widowControl/>
              <w:spacing w:line="300" w:lineRule="exact"/>
              <w:jc w:val="left"/>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厂房占地16280m</w:t>
            </w:r>
            <w:r>
              <w:rPr>
                <w:rFonts w:hint="default" w:ascii="Times New Roman" w:hAnsi="Times New Roman" w:cs="Times New Roman"/>
                <w:color w:val="auto"/>
                <w:kern w:val="0"/>
                <w:szCs w:val="21"/>
                <w:vertAlign w:val="superscript"/>
                <w:lang w:bidi="ar"/>
              </w:rPr>
              <w:t>2</w:t>
            </w:r>
            <w:r>
              <w:rPr>
                <w:rFonts w:hint="default" w:ascii="Times New Roman" w:hAnsi="Times New Roman" w:cs="Times New Roman"/>
                <w:color w:val="auto"/>
                <w:kern w:val="0"/>
                <w:szCs w:val="21"/>
                <w:lang w:bidi="ar"/>
              </w:rPr>
              <w:t>，在其中布设12条PC钢棒生产线(1#-12#生产线)。</w:t>
            </w:r>
          </w:p>
        </w:tc>
        <w:tc>
          <w:tcPr>
            <w:tcW w:w="708" w:type="pct"/>
            <w:tcBorders>
              <w:tl2br w:val="nil"/>
              <w:tr2bl w:val="nil"/>
            </w:tcBorders>
            <w:shd w:val="clear" w:color="auto" w:fill="auto"/>
            <w:noWrap/>
            <w:vAlign w:val="center"/>
          </w:tcPr>
          <w:p w14:paraId="40AF5783">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w:t>
            </w:r>
          </w:p>
        </w:tc>
        <w:tc>
          <w:tcPr>
            <w:tcW w:w="1051" w:type="pct"/>
            <w:tcBorders>
              <w:tl2br w:val="nil"/>
              <w:tr2bl w:val="nil"/>
            </w:tcBorders>
            <w:shd w:val="clear" w:color="auto" w:fill="auto"/>
            <w:noWrap/>
            <w:vAlign w:val="center"/>
          </w:tcPr>
          <w:p w14:paraId="3BB10372">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w:t>
            </w:r>
          </w:p>
        </w:tc>
        <w:tc>
          <w:tcPr>
            <w:tcW w:w="1054" w:type="pct"/>
            <w:tcBorders>
              <w:tl2br w:val="nil"/>
              <w:tr2bl w:val="nil"/>
            </w:tcBorders>
            <w:shd w:val="clear" w:color="auto" w:fill="auto"/>
            <w:noWrap/>
            <w:vAlign w:val="center"/>
          </w:tcPr>
          <w:p w14:paraId="0FFA57E6">
            <w:pPr>
              <w:spacing w:line="300" w:lineRule="exact"/>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厂房占地16280m</w:t>
            </w:r>
            <w:r>
              <w:rPr>
                <w:rFonts w:hint="default" w:ascii="Times New Roman" w:hAnsi="Times New Roman" w:cs="Times New Roman"/>
                <w:color w:val="auto"/>
                <w:kern w:val="0"/>
                <w:szCs w:val="21"/>
                <w:vertAlign w:val="superscript"/>
                <w:lang w:bidi="ar"/>
              </w:rPr>
              <w:t>2</w:t>
            </w:r>
            <w:r>
              <w:rPr>
                <w:rFonts w:hint="default" w:ascii="Times New Roman" w:hAnsi="Times New Roman" w:cs="Times New Roman"/>
                <w:color w:val="auto"/>
                <w:kern w:val="0"/>
                <w:szCs w:val="21"/>
                <w:lang w:bidi="ar"/>
              </w:rPr>
              <w:t>，在其中布设12条PC钢棒生产线(1#-12#生产线，年产18万吨</w:t>
            </w:r>
            <w:r>
              <w:rPr>
                <w:rFonts w:hint="default" w:ascii="Times New Roman" w:hAnsi="Times New Roman" w:cs="Times New Roman"/>
                <w:color w:val="auto"/>
                <w:szCs w:val="21"/>
              </w:rPr>
              <w:t>PC钢棒</w:t>
            </w:r>
            <w:r>
              <w:rPr>
                <w:rFonts w:hint="default" w:ascii="Times New Roman" w:hAnsi="Times New Roman" w:cs="Times New Roman"/>
                <w:color w:val="auto"/>
                <w:kern w:val="0"/>
                <w:szCs w:val="21"/>
                <w:lang w:bidi="ar"/>
              </w:rPr>
              <w:t>）)</w:t>
            </w:r>
          </w:p>
        </w:tc>
        <w:tc>
          <w:tcPr>
            <w:tcW w:w="802" w:type="pct"/>
            <w:tcBorders>
              <w:tl2br w:val="nil"/>
              <w:tr2bl w:val="nil"/>
            </w:tcBorders>
            <w:shd w:val="clear" w:color="auto" w:fill="auto"/>
            <w:noWrap/>
            <w:vAlign w:val="center"/>
          </w:tcPr>
          <w:p w14:paraId="3F603C4D">
            <w:pPr>
              <w:spacing w:line="300" w:lineRule="exact"/>
              <w:rPr>
                <w:rFonts w:hint="default" w:ascii="Times New Roman" w:hAnsi="Times New Roman" w:cs="Times New Roman"/>
                <w:color w:val="auto"/>
                <w:szCs w:val="21"/>
              </w:rPr>
            </w:pPr>
          </w:p>
        </w:tc>
      </w:tr>
      <w:tr w14:paraId="79B367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119" w:type="pct"/>
            <w:vMerge w:val="continue"/>
            <w:tcBorders>
              <w:tl2br w:val="nil"/>
              <w:tr2bl w:val="nil"/>
            </w:tcBorders>
            <w:shd w:val="clear" w:color="auto" w:fill="auto"/>
            <w:noWrap/>
            <w:vAlign w:val="center"/>
          </w:tcPr>
          <w:p w14:paraId="193CDCC3">
            <w:pPr>
              <w:spacing w:line="300" w:lineRule="exact"/>
              <w:jc w:val="center"/>
              <w:rPr>
                <w:rFonts w:hint="default" w:ascii="Times New Roman" w:hAnsi="Times New Roman" w:cs="Times New Roman"/>
                <w:color w:val="auto"/>
                <w:szCs w:val="21"/>
              </w:rPr>
            </w:pPr>
          </w:p>
        </w:tc>
        <w:tc>
          <w:tcPr>
            <w:tcW w:w="330" w:type="pct"/>
            <w:tcBorders>
              <w:tl2br w:val="nil"/>
              <w:tr2bl w:val="nil"/>
            </w:tcBorders>
            <w:shd w:val="clear" w:color="auto" w:fill="auto"/>
            <w:noWrap/>
            <w:vAlign w:val="center"/>
          </w:tcPr>
          <w:p w14:paraId="15CC19A9">
            <w:pPr>
              <w:widowControl/>
              <w:spacing w:line="300" w:lineRule="exact"/>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4#生产车间</w:t>
            </w:r>
          </w:p>
        </w:tc>
        <w:tc>
          <w:tcPr>
            <w:tcW w:w="934" w:type="pct"/>
            <w:tcBorders>
              <w:tl2br w:val="nil"/>
              <w:tr2bl w:val="nil"/>
            </w:tcBorders>
            <w:shd w:val="clear" w:color="auto" w:fill="auto"/>
            <w:vAlign w:val="center"/>
          </w:tcPr>
          <w:p w14:paraId="0409BEAD">
            <w:pPr>
              <w:widowControl/>
              <w:spacing w:line="300" w:lineRule="exact"/>
              <w:jc w:val="left"/>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厂房占地12200m</w:t>
            </w:r>
            <w:r>
              <w:rPr>
                <w:rFonts w:hint="default" w:ascii="Times New Roman" w:hAnsi="Times New Roman" w:cs="Times New Roman"/>
                <w:color w:val="auto"/>
                <w:kern w:val="0"/>
                <w:szCs w:val="21"/>
                <w:vertAlign w:val="superscript"/>
                <w:lang w:bidi="ar"/>
              </w:rPr>
              <w:t>2</w:t>
            </w:r>
            <w:r>
              <w:rPr>
                <w:rFonts w:hint="default" w:ascii="Times New Roman" w:hAnsi="Times New Roman" w:cs="Times New Roman"/>
                <w:color w:val="auto"/>
                <w:kern w:val="0"/>
                <w:szCs w:val="21"/>
                <w:lang w:bidi="ar"/>
              </w:rPr>
              <w:t>，原料仓库。</w:t>
            </w:r>
          </w:p>
        </w:tc>
        <w:tc>
          <w:tcPr>
            <w:tcW w:w="708" w:type="pct"/>
            <w:tcBorders>
              <w:tl2br w:val="nil"/>
              <w:tr2bl w:val="nil"/>
            </w:tcBorders>
            <w:shd w:val="clear" w:color="auto" w:fill="auto"/>
            <w:noWrap/>
            <w:vAlign w:val="center"/>
          </w:tcPr>
          <w:p w14:paraId="5D4CF8DC">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w:t>
            </w:r>
          </w:p>
        </w:tc>
        <w:tc>
          <w:tcPr>
            <w:tcW w:w="1051" w:type="pct"/>
            <w:tcBorders>
              <w:tl2br w:val="nil"/>
              <w:tr2bl w:val="nil"/>
            </w:tcBorders>
            <w:shd w:val="clear" w:color="auto" w:fill="auto"/>
            <w:noWrap/>
            <w:vAlign w:val="center"/>
          </w:tcPr>
          <w:p w14:paraId="23D637A3">
            <w:pPr>
              <w:spacing w:line="300" w:lineRule="exact"/>
              <w:rPr>
                <w:rFonts w:hint="default" w:ascii="Times New Roman" w:hAnsi="Times New Roman" w:cs="Times New Roman"/>
                <w:bCs/>
                <w:color w:val="auto"/>
                <w:szCs w:val="28"/>
              </w:rPr>
            </w:pPr>
            <w:r>
              <w:rPr>
                <w:rFonts w:hint="default" w:ascii="Times New Roman" w:hAnsi="Times New Roman" w:cs="Times New Roman"/>
                <w:color w:val="auto"/>
                <w:szCs w:val="21"/>
              </w:rPr>
              <w:t>对4#</w:t>
            </w:r>
            <w:r>
              <w:rPr>
                <w:rFonts w:hint="default" w:ascii="Times New Roman" w:hAnsi="Times New Roman" w:cs="Times New Roman"/>
                <w:bCs/>
                <w:color w:val="auto"/>
                <w:szCs w:val="28"/>
              </w:rPr>
              <w:t>厂房进行扩建</w:t>
            </w:r>
          </w:p>
          <w:p w14:paraId="40FDB443">
            <w:pPr>
              <w:spacing w:line="300" w:lineRule="exact"/>
              <w:rPr>
                <w:rFonts w:hint="default" w:ascii="Times New Roman" w:hAnsi="Times New Roman" w:cs="Times New Roman"/>
                <w:color w:val="auto"/>
                <w:kern w:val="0"/>
                <w:szCs w:val="21"/>
                <w:highlight w:val="none"/>
                <w:lang w:bidi="ar"/>
              </w:rPr>
            </w:pPr>
            <w:r>
              <w:rPr>
                <w:rFonts w:hint="default" w:ascii="Times New Roman" w:hAnsi="Times New Roman" w:cs="Times New Roman"/>
                <w:bCs/>
                <w:color w:val="auto"/>
                <w:szCs w:val="28"/>
              </w:rPr>
              <w:t>①</w:t>
            </w:r>
            <w:r>
              <w:rPr>
                <w:rFonts w:hint="default" w:ascii="Times New Roman" w:hAnsi="Times New Roman" w:cs="Times New Roman"/>
                <w:color w:val="auto"/>
                <w:kern w:val="0"/>
                <w:szCs w:val="21"/>
                <w:lang w:bidi="ar"/>
              </w:rPr>
              <w:t>利用4</w:t>
            </w:r>
            <w:r>
              <w:rPr>
                <w:rFonts w:hint="default" w:ascii="Times New Roman" w:hAnsi="Times New Roman" w:cs="Times New Roman"/>
                <w:color w:val="auto"/>
                <w:kern w:val="0"/>
                <w:szCs w:val="21"/>
                <w:highlight w:val="none"/>
                <w:lang w:bidi="ar"/>
              </w:rPr>
              <w:t>#车间</w:t>
            </w:r>
            <w:r>
              <w:rPr>
                <w:rFonts w:hint="default" w:ascii="Times New Roman" w:hAnsi="Times New Roman" w:cs="Times New Roman"/>
                <w:color w:val="auto"/>
                <w:kern w:val="0"/>
                <w:szCs w:val="21"/>
                <w:highlight w:val="none"/>
                <w:lang w:val="en-US" w:eastAsia="zh-CN" w:bidi="ar"/>
              </w:rPr>
              <w:t>6000</w:t>
            </w:r>
            <w:r>
              <w:rPr>
                <w:rFonts w:hint="default" w:ascii="Times New Roman" w:hAnsi="Times New Roman" w:cs="Times New Roman"/>
                <w:color w:val="auto"/>
                <w:kern w:val="0"/>
                <w:szCs w:val="21"/>
                <w:highlight w:val="none"/>
                <w:lang w:bidi="ar"/>
              </w:rPr>
              <w:t>m</w:t>
            </w:r>
            <w:r>
              <w:rPr>
                <w:rFonts w:hint="default" w:ascii="Times New Roman" w:hAnsi="Times New Roman" w:cs="Times New Roman"/>
                <w:color w:val="auto"/>
                <w:kern w:val="0"/>
                <w:szCs w:val="21"/>
                <w:highlight w:val="none"/>
                <w:vertAlign w:val="superscript"/>
                <w:lang w:bidi="ar"/>
              </w:rPr>
              <w:t>2</w:t>
            </w:r>
            <w:r>
              <w:rPr>
                <w:rFonts w:hint="default" w:ascii="Times New Roman" w:hAnsi="Times New Roman" w:cs="Times New Roman"/>
                <w:color w:val="auto"/>
                <w:kern w:val="0"/>
                <w:szCs w:val="21"/>
                <w:highlight w:val="none"/>
                <w:vertAlign w:val="baseline"/>
                <w:lang w:val="en-US" w:eastAsia="zh-CN" w:bidi="ar"/>
              </w:rPr>
              <w:t>区域</w:t>
            </w:r>
            <w:r>
              <w:rPr>
                <w:rFonts w:hint="default" w:ascii="Times New Roman" w:hAnsi="Times New Roman" w:cs="Times New Roman"/>
                <w:color w:val="auto"/>
                <w:kern w:val="0"/>
                <w:szCs w:val="21"/>
                <w:highlight w:val="none"/>
                <w:lang w:bidi="ar"/>
              </w:rPr>
              <w:t>，扩建沙发/床垫弹簧钢丝生产线，新增年产</w:t>
            </w:r>
            <w:r>
              <w:rPr>
                <w:rFonts w:hint="default" w:ascii="Times New Roman" w:hAnsi="Times New Roman" w:cs="Times New Roman"/>
                <w:color w:val="auto"/>
                <w:kern w:val="0"/>
                <w:szCs w:val="21"/>
                <w:highlight w:val="none"/>
                <w:lang w:val="en-US" w:eastAsia="zh-CN" w:bidi="ar"/>
              </w:rPr>
              <w:t>12</w:t>
            </w:r>
            <w:r>
              <w:rPr>
                <w:rFonts w:hint="default" w:ascii="Times New Roman" w:hAnsi="Times New Roman" w:cs="Times New Roman"/>
                <w:color w:val="auto"/>
                <w:kern w:val="0"/>
                <w:szCs w:val="21"/>
                <w:highlight w:val="none"/>
                <w:lang w:bidi="ar"/>
              </w:rPr>
              <w:t>万吨钢丝；</w:t>
            </w:r>
          </w:p>
          <w:p w14:paraId="2C14A3AB">
            <w:pPr>
              <w:spacing w:line="300" w:lineRule="exact"/>
              <w:rPr>
                <w:rFonts w:hint="default" w:ascii="Times New Roman" w:hAnsi="Times New Roman" w:cs="Times New Roman"/>
                <w:color w:val="auto"/>
                <w:szCs w:val="21"/>
              </w:rPr>
            </w:pPr>
            <w:r>
              <w:rPr>
                <w:rFonts w:hint="default" w:ascii="Times New Roman" w:hAnsi="Times New Roman" w:cs="Times New Roman"/>
                <w:color w:val="auto"/>
                <w:kern w:val="0"/>
                <w:szCs w:val="21"/>
                <w:highlight w:val="none"/>
                <w:lang w:bidi="ar"/>
              </w:rPr>
              <w:t>②</w:t>
            </w:r>
            <w:r>
              <w:rPr>
                <w:rFonts w:hint="default" w:ascii="Times New Roman" w:hAnsi="Times New Roman" w:cs="Times New Roman"/>
                <w:bCs/>
                <w:color w:val="auto"/>
                <w:szCs w:val="28"/>
                <w:highlight w:val="none"/>
              </w:rPr>
              <w:t>将现有</w:t>
            </w:r>
            <w:r>
              <w:rPr>
                <w:rFonts w:hint="default" w:ascii="Times New Roman" w:hAnsi="Times New Roman" w:cs="Times New Roman"/>
                <w:color w:val="auto"/>
                <w:szCs w:val="21"/>
                <w:highlight w:val="none"/>
              </w:rPr>
              <w:t>厂房向南侧外扩建约</w:t>
            </w:r>
            <w:r>
              <w:rPr>
                <w:rFonts w:hint="default" w:ascii="Times New Roman" w:hAnsi="Times New Roman" w:cs="Times New Roman"/>
                <w:color w:val="auto"/>
                <w:szCs w:val="21"/>
                <w:highlight w:val="none"/>
                <w:lang w:val="en-US" w:eastAsia="zh-CN"/>
              </w:rPr>
              <w:t>144</w:t>
            </w:r>
            <w:r>
              <w:rPr>
                <w:rFonts w:hint="default" w:ascii="Times New Roman" w:hAnsi="Times New Roman" w:cs="Times New Roman"/>
                <w:color w:val="auto"/>
                <w:szCs w:val="21"/>
                <w:highlight w:val="none"/>
              </w:rPr>
              <w:t>0</w:t>
            </w:r>
            <w:r>
              <w:rPr>
                <w:rFonts w:hint="default" w:ascii="Times New Roman" w:hAnsi="Times New Roman" w:cs="Times New Roman"/>
                <w:color w:val="auto"/>
                <w:kern w:val="0"/>
                <w:szCs w:val="21"/>
                <w:highlight w:val="none"/>
                <w:lang w:bidi="ar"/>
              </w:rPr>
              <w:t>m</w:t>
            </w:r>
            <w:r>
              <w:rPr>
                <w:rFonts w:hint="default" w:ascii="Times New Roman" w:hAnsi="Times New Roman" w:cs="Times New Roman"/>
                <w:color w:val="auto"/>
                <w:kern w:val="0"/>
                <w:szCs w:val="21"/>
                <w:highlight w:val="none"/>
                <w:vertAlign w:val="superscript"/>
                <w:lang w:bidi="ar"/>
              </w:rPr>
              <w:t>2</w:t>
            </w:r>
            <w:r>
              <w:rPr>
                <w:rFonts w:hint="default" w:ascii="Times New Roman" w:hAnsi="Times New Roman" w:cs="Times New Roman"/>
                <w:color w:val="auto"/>
                <w:kern w:val="0"/>
                <w:szCs w:val="21"/>
                <w:highlight w:val="none"/>
                <w:lang w:bidi="ar"/>
              </w:rPr>
              <w:t>，</w:t>
            </w:r>
            <w:r>
              <w:rPr>
                <w:rFonts w:hint="default" w:ascii="Times New Roman" w:hAnsi="Times New Roman" w:cs="Times New Roman"/>
                <w:color w:val="auto"/>
                <w:szCs w:val="21"/>
                <w:highlight w:val="none"/>
              </w:rPr>
              <w:t>布置一条全封闭、自动化的“隧道式”线材盘</w:t>
            </w:r>
            <w:r>
              <w:rPr>
                <w:rFonts w:hint="default" w:ascii="Times New Roman" w:hAnsi="Times New Roman" w:cs="Times New Roman"/>
                <w:color w:val="auto"/>
                <w:szCs w:val="21"/>
              </w:rPr>
              <w:t>条表面处理生产线，处理能力15万t/a</w:t>
            </w:r>
          </w:p>
        </w:tc>
        <w:tc>
          <w:tcPr>
            <w:tcW w:w="1054" w:type="pct"/>
            <w:tcBorders>
              <w:tl2br w:val="nil"/>
              <w:tr2bl w:val="nil"/>
            </w:tcBorders>
            <w:shd w:val="clear" w:color="auto" w:fill="auto"/>
            <w:noWrap/>
            <w:vAlign w:val="center"/>
          </w:tcPr>
          <w:p w14:paraId="5E55DA6A">
            <w:pPr>
              <w:spacing w:line="300" w:lineRule="exact"/>
              <w:rPr>
                <w:rFonts w:hint="default" w:ascii="Times New Roman" w:hAnsi="Times New Roman" w:cs="Times New Roman"/>
                <w:color w:val="auto"/>
                <w:szCs w:val="21"/>
              </w:rPr>
            </w:pPr>
            <w:r>
              <w:rPr>
                <w:rFonts w:hint="default" w:ascii="Times New Roman" w:hAnsi="Times New Roman" w:cs="Times New Roman"/>
                <w:color w:val="auto"/>
                <w:kern w:val="0"/>
                <w:szCs w:val="21"/>
                <w:lang w:val="en-US" w:eastAsia="zh-CN" w:bidi="ar"/>
              </w:rPr>
              <w:t>建成后</w:t>
            </w:r>
            <w:r>
              <w:rPr>
                <w:rFonts w:hint="default" w:ascii="Times New Roman" w:hAnsi="Times New Roman" w:cs="Times New Roman"/>
                <w:color w:val="auto"/>
                <w:kern w:val="0"/>
                <w:szCs w:val="21"/>
                <w:lang w:bidi="ar"/>
              </w:rPr>
              <w:t>厂房占地1</w:t>
            </w:r>
            <w:r>
              <w:rPr>
                <w:rFonts w:hint="default" w:ascii="Times New Roman" w:hAnsi="Times New Roman" w:cs="Times New Roman"/>
                <w:color w:val="auto"/>
                <w:kern w:val="0"/>
                <w:szCs w:val="21"/>
                <w:lang w:val="en-US" w:eastAsia="zh-CN" w:bidi="ar"/>
              </w:rPr>
              <w:t>364</w:t>
            </w:r>
            <w:r>
              <w:rPr>
                <w:rFonts w:hint="default" w:ascii="Times New Roman" w:hAnsi="Times New Roman" w:cs="Times New Roman"/>
                <w:color w:val="auto"/>
                <w:kern w:val="0"/>
                <w:szCs w:val="21"/>
                <w:lang w:bidi="ar"/>
              </w:rPr>
              <w:t>0m</w:t>
            </w:r>
            <w:r>
              <w:rPr>
                <w:rFonts w:hint="default" w:ascii="Times New Roman" w:hAnsi="Times New Roman" w:cs="Times New Roman"/>
                <w:color w:val="auto"/>
                <w:kern w:val="0"/>
                <w:szCs w:val="21"/>
                <w:vertAlign w:val="superscript"/>
                <w:lang w:bidi="ar"/>
              </w:rPr>
              <w:t>2</w:t>
            </w:r>
            <w:r>
              <w:rPr>
                <w:rFonts w:hint="default" w:ascii="Times New Roman" w:hAnsi="Times New Roman" w:cs="Times New Roman"/>
                <w:color w:val="auto"/>
                <w:kern w:val="0"/>
                <w:szCs w:val="21"/>
                <w:lang w:bidi="ar"/>
              </w:rPr>
              <w:t>，</w:t>
            </w:r>
            <w:r>
              <w:rPr>
                <w:rFonts w:hint="default" w:ascii="Times New Roman" w:hAnsi="Times New Roman" w:cs="Times New Roman"/>
                <w:color w:val="auto"/>
                <w:szCs w:val="21"/>
              </w:rPr>
              <w:t>布置</w:t>
            </w:r>
            <w:r>
              <w:rPr>
                <w:rFonts w:hint="default" w:ascii="Times New Roman" w:hAnsi="Times New Roman" w:cs="Times New Roman"/>
                <w:color w:val="auto"/>
                <w:kern w:val="0"/>
                <w:szCs w:val="21"/>
                <w:lang w:bidi="ar"/>
              </w:rPr>
              <w:t>沙发/床垫弹簧钢丝生产线（年产</w:t>
            </w:r>
            <w:r>
              <w:rPr>
                <w:rFonts w:hint="default" w:ascii="Times New Roman" w:hAnsi="Times New Roman" w:cs="Times New Roman"/>
                <w:color w:val="auto"/>
                <w:kern w:val="0"/>
                <w:szCs w:val="21"/>
                <w:lang w:val="en-US" w:eastAsia="zh-CN" w:bidi="ar"/>
              </w:rPr>
              <w:t>12</w:t>
            </w:r>
            <w:r>
              <w:rPr>
                <w:rFonts w:hint="default" w:ascii="Times New Roman" w:hAnsi="Times New Roman" w:cs="Times New Roman"/>
                <w:color w:val="auto"/>
                <w:kern w:val="0"/>
                <w:szCs w:val="21"/>
                <w:lang w:bidi="ar"/>
              </w:rPr>
              <w:t>万吨钢丝）和</w:t>
            </w:r>
            <w:r>
              <w:rPr>
                <w:rFonts w:hint="default" w:ascii="Times New Roman" w:hAnsi="Times New Roman" w:cs="Times New Roman"/>
                <w:color w:val="auto"/>
                <w:szCs w:val="21"/>
              </w:rPr>
              <w:t>全封闭、自动化的“隧道式”线材盘条表面处理生产线（处理能力15万t/a）</w:t>
            </w:r>
          </w:p>
        </w:tc>
        <w:tc>
          <w:tcPr>
            <w:tcW w:w="802" w:type="pct"/>
            <w:tcBorders>
              <w:tl2br w:val="nil"/>
              <w:tr2bl w:val="nil"/>
            </w:tcBorders>
            <w:shd w:val="clear" w:color="auto" w:fill="auto"/>
            <w:noWrap/>
            <w:vAlign w:val="center"/>
          </w:tcPr>
          <w:p w14:paraId="585E5990">
            <w:pPr>
              <w:spacing w:line="300" w:lineRule="exact"/>
              <w:rPr>
                <w:rFonts w:hint="default" w:ascii="Times New Roman" w:hAnsi="Times New Roman" w:cs="Times New Roman"/>
                <w:color w:val="auto"/>
                <w:szCs w:val="21"/>
              </w:rPr>
            </w:pPr>
            <w:r>
              <w:rPr>
                <w:rFonts w:hint="default" w:ascii="Times New Roman" w:hAnsi="Times New Roman" w:cs="Times New Roman"/>
                <w:color w:val="auto"/>
                <w:szCs w:val="21"/>
              </w:rPr>
              <w:t>表面处理生产线作为钢丝生产的配套工序，主要配套1#生产车间</w:t>
            </w:r>
            <w:r>
              <w:rPr>
                <w:rFonts w:hint="default" w:ascii="Times New Roman" w:hAnsi="Times New Roman" w:cs="Times New Roman"/>
                <w:color w:val="auto"/>
                <w:kern w:val="0"/>
                <w:szCs w:val="21"/>
                <w:lang w:bidi="ar"/>
              </w:rPr>
              <w:t>1</w:t>
            </w:r>
            <w:r>
              <w:rPr>
                <w:rFonts w:hint="default" w:ascii="Times New Roman" w:hAnsi="Times New Roman" w:cs="Times New Roman"/>
                <w:color w:val="auto"/>
                <w:kern w:val="0"/>
                <w:szCs w:val="21"/>
                <w:lang w:val="en-US" w:eastAsia="zh-CN" w:bidi="ar"/>
              </w:rPr>
              <w:t>3</w:t>
            </w:r>
            <w:r>
              <w:rPr>
                <w:rFonts w:hint="default" w:ascii="Times New Roman" w:hAnsi="Times New Roman" w:cs="Times New Roman"/>
                <w:color w:val="auto"/>
                <w:kern w:val="0"/>
                <w:szCs w:val="21"/>
                <w:lang w:bidi="ar"/>
              </w:rPr>
              <w:t>.55万吨/年钢丝和</w:t>
            </w:r>
            <w:r>
              <w:rPr>
                <w:rFonts w:hint="default" w:ascii="Times New Roman" w:hAnsi="Times New Roman" w:cs="Times New Roman"/>
                <w:color w:val="auto"/>
                <w:szCs w:val="21"/>
              </w:rPr>
              <w:t>5#生产车间2</w:t>
            </w:r>
            <w:r>
              <w:rPr>
                <w:rFonts w:hint="default" w:ascii="Times New Roman" w:hAnsi="Times New Roman" w:cs="Times New Roman"/>
                <w:color w:val="auto"/>
                <w:kern w:val="0"/>
                <w:szCs w:val="21"/>
                <w:lang w:bidi="ar"/>
              </w:rPr>
              <w:t>万吨/年钢丝</w:t>
            </w:r>
            <w:r>
              <w:rPr>
                <w:rFonts w:hint="default" w:ascii="Times New Roman" w:hAnsi="Times New Roman" w:cs="Times New Roman"/>
                <w:color w:val="auto"/>
                <w:szCs w:val="21"/>
              </w:rPr>
              <w:t>。</w:t>
            </w:r>
          </w:p>
        </w:tc>
      </w:tr>
      <w:tr w14:paraId="1BF81E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119" w:type="pct"/>
            <w:vMerge w:val="continue"/>
            <w:tcBorders>
              <w:tl2br w:val="nil"/>
              <w:tr2bl w:val="nil"/>
            </w:tcBorders>
            <w:shd w:val="clear" w:color="auto" w:fill="auto"/>
            <w:noWrap/>
            <w:vAlign w:val="center"/>
          </w:tcPr>
          <w:p w14:paraId="1014128F">
            <w:pPr>
              <w:spacing w:line="300" w:lineRule="exact"/>
              <w:jc w:val="center"/>
              <w:rPr>
                <w:rFonts w:hint="default" w:ascii="Times New Roman" w:hAnsi="Times New Roman" w:cs="Times New Roman"/>
                <w:color w:val="auto"/>
                <w:szCs w:val="21"/>
              </w:rPr>
            </w:pPr>
          </w:p>
        </w:tc>
        <w:tc>
          <w:tcPr>
            <w:tcW w:w="330" w:type="pct"/>
            <w:tcBorders>
              <w:tl2br w:val="nil"/>
              <w:tr2bl w:val="nil"/>
            </w:tcBorders>
            <w:shd w:val="clear" w:color="auto" w:fill="auto"/>
            <w:noWrap/>
            <w:vAlign w:val="center"/>
          </w:tcPr>
          <w:p w14:paraId="591B83D8">
            <w:pPr>
              <w:widowControl/>
              <w:spacing w:line="300" w:lineRule="exact"/>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5#生产车间</w:t>
            </w:r>
          </w:p>
        </w:tc>
        <w:tc>
          <w:tcPr>
            <w:tcW w:w="934" w:type="pct"/>
            <w:tcBorders>
              <w:tl2br w:val="nil"/>
              <w:tr2bl w:val="nil"/>
            </w:tcBorders>
            <w:shd w:val="clear" w:color="auto" w:fill="auto"/>
            <w:vAlign w:val="center"/>
          </w:tcPr>
          <w:p w14:paraId="1B25EB18">
            <w:pPr>
              <w:widowControl/>
              <w:spacing w:line="300" w:lineRule="exact"/>
              <w:jc w:val="left"/>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厂房占地3700m</w:t>
            </w:r>
            <w:r>
              <w:rPr>
                <w:rFonts w:hint="default" w:ascii="Times New Roman" w:hAnsi="Times New Roman" w:cs="Times New Roman"/>
                <w:color w:val="auto"/>
                <w:kern w:val="0"/>
                <w:szCs w:val="21"/>
                <w:vertAlign w:val="superscript"/>
                <w:lang w:bidi="ar"/>
              </w:rPr>
              <w:t>2</w:t>
            </w:r>
            <w:r>
              <w:rPr>
                <w:rFonts w:hint="default" w:ascii="Times New Roman" w:hAnsi="Times New Roman" w:cs="Times New Roman"/>
                <w:color w:val="auto"/>
                <w:kern w:val="0"/>
                <w:szCs w:val="21"/>
                <w:lang w:bidi="ar"/>
              </w:rPr>
              <w:t>，目前租赁三明市闽西有色金属有限公司作为拉丝生产，年产2万吨钢丝（由租赁公司自行编制环评）</w:t>
            </w:r>
          </w:p>
        </w:tc>
        <w:tc>
          <w:tcPr>
            <w:tcW w:w="708" w:type="pct"/>
            <w:tcBorders>
              <w:tl2br w:val="nil"/>
              <w:tr2bl w:val="nil"/>
            </w:tcBorders>
            <w:shd w:val="clear" w:color="auto" w:fill="auto"/>
            <w:noWrap/>
            <w:vAlign w:val="center"/>
          </w:tcPr>
          <w:p w14:paraId="48FB5B8D">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w:t>
            </w:r>
          </w:p>
        </w:tc>
        <w:tc>
          <w:tcPr>
            <w:tcW w:w="1051" w:type="pct"/>
            <w:tcBorders>
              <w:tl2br w:val="nil"/>
              <w:tr2bl w:val="nil"/>
            </w:tcBorders>
            <w:shd w:val="clear" w:color="auto" w:fill="auto"/>
            <w:noWrap/>
            <w:vAlign w:val="center"/>
          </w:tcPr>
          <w:p w14:paraId="3C352173">
            <w:pPr>
              <w:spacing w:line="30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1054" w:type="pct"/>
            <w:tcBorders>
              <w:tl2br w:val="nil"/>
              <w:tr2bl w:val="nil"/>
            </w:tcBorders>
            <w:shd w:val="clear" w:color="auto" w:fill="auto"/>
            <w:noWrap/>
            <w:vAlign w:val="center"/>
          </w:tcPr>
          <w:p w14:paraId="0D921F8F">
            <w:pPr>
              <w:spacing w:line="300" w:lineRule="exact"/>
              <w:jc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w:t>
            </w:r>
          </w:p>
        </w:tc>
        <w:tc>
          <w:tcPr>
            <w:tcW w:w="802" w:type="pct"/>
            <w:tcBorders>
              <w:tl2br w:val="nil"/>
              <w:tr2bl w:val="nil"/>
            </w:tcBorders>
            <w:shd w:val="clear" w:color="auto" w:fill="auto"/>
            <w:noWrap/>
            <w:vAlign w:val="center"/>
          </w:tcPr>
          <w:p w14:paraId="6B76D34D">
            <w:pPr>
              <w:spacing w:line="300" w:lineRule="exact"/>
              <w:jc w:val="center"/>
              <w:rPr>
                <w:rFonts w:hint="default" w:ascii="Times New Roman" w:hAnsi="Times New Roman" w:cs="Times New Roman"/>
                <w:color w:val="auto"/>
                <w:szCs w:val="21"/>
              </w:rPr>
            </w:pPr>
          </w:p>
        </w:tc>
      </w:tr>
      <w:tr w14:paraId="40E044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15" w:hRule="atLeast"/>
        </w:trPr>
        <w:tc>
          <w:tcPr>
            <w:tcW w:w="119" w:type="pct"/>
            <w:vMerge w:val="continue"/>
            <w:tcBorders>
              <w:tl2br w:val="nil"/>
              <w:tr2bl w:val="nil"/>
            </w:tcBorders>
            <w:shd w:val="clear" w:color="auto" w:fill="auto"/>
            <w:noWrap/>
            <w:vAlign w:val="center"/>
          </w:tcPr>
          <w:p w14:paraId="5D1B8202">
            <w:pPr>
              <w:spacing w:line="300" w:lineRule="exact"/>
              <w:jc w:val="center"/>
              <w:rPr>
                <w:rFonts w:hint="default" w:ascii="Times New Roman" w:hAnsi="Times New Roman" w:cs="Times New Roman"/>
                <w:color w:val="auto"/>
                <w:szCs w:val="21"/>
              </w:rPr>
            </w:pPr>
          </w:p>
        </w:tc>
        <w:tc>
          <w:tcPr>
            <w:tcW w:w="330" w:type="pct"/>
            <w:tcBorders>
              <w:tl2br w:val="nil"/>
              <w:tr2bl w:val="nil"/>
            </w:tcBorders>
            <w:shd w:val="clear" w:color="auto" w:fill="auto"/>
            <w:noWrap/>
            <w:vAlign w:val="center"/>
          </w:tcPr>
          <w:p w14:paraId="30B8E3A5">
            <w:pPr>
              <w:widowControl/>
              <w:spacing w:line="300" w:lineRule="exact"/>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原磷化线车间（已拆除）</w:t>
            </w:r>
          </w:p>
        </w:tc>
        <w:tc>
          <w:tcPr>
            <w:tcW w:w="934" w:type="pct"/>
            <w:tcBorders>
              <w:tl2br w:val="nil"/>
              <w:tr2bl w:val="nil"/>
            </w:tcBorders>
            <w:shd w:val="clear" w:color="auto" w:fill="auto"/>
            <w:vAlign w:val="center"/>
          </w:tcPr>
          <w:p w14:paraId="59F021C1">
            <w:pPr>
              <w:widowControl/>
              <w:spacing w:line="300" w:lineRule="exact"/>
              <w:jc w:val="left"/>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原磷化线车间,占地3500m</w:t>
            </w:r>
            <w:r>
              <w:rPr>
                <w:rFonts w:hint="default" w:ascii="Times New Roman" w:hAnsi="Times New Roman" w:cs="Times New Roman"/>
                <w:color w:val="auto"/>
                <w:kern w:val="0"/>
                <w:szCs w:val="21"/>
                <w:vertAlign w:val="superscript"/>
                <w:lang w:bidi="ar"/>
              </w:rPr>
              <w:t>2</w:t>
            </w:r>
            <w:r>
              <w:rPr>
                <w:rFonts w:hint="default" w:ascii="Times New Roman" w:hAnsi="Times New Roman" w:cs="Times New Roman"/>
                <w:color w:val="auto"/>
                <w:kern w:val="0"/>
                <w:szCs w:val="21"/>
                <w:lang w:bidi="ar"/>
              </w:rPr>
              <w:t>，2022年3月项目已停产，厂房和设备已拆除。</w:t>
            </w:r>
          </w:p>
        </w:tc>
        <w:tc>
          <w:tcPr>
            <w:tcW w:w="708" w:type="pct"/>
            <w:tcBorders>
              <w:tl2br w:val="nil"/>
              <w:tr2bl w:val="nil"/>
            </w:tcBorders>
            <w:shd w:val="clear" w:color="auto" w:fill="auto"/>
            <w:noWrap/>
            <w:vAlign w:val="center"/>
          </w:tcPr>
          <w:p w14:paraId="56CDF927">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w:t>
            </w:r>
          </w:p>
        </w:tc>
        <w:tc>
          <w:tcPr>
            <w:tcW w:w="1051" w:type="pct"/>
            <w:tcBorders>
              <w:tl2br w:val="nil"/>
              <w:tr2bl w:val="nil"/>
            </w:tcBorders>
            <w:shd w:val="clear" w:color="auto" w:fill="auto"/>
            <w:noWrap/>
            <w:vAlign w:val="center"/>
          </w:tcPr>
          <w:p w14:paraId="743B3BFC">
            <w:pPr>
              <w:spacing w:line="30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1054" w:type="pct"/>
            <w:tcBorders>
              <w:tl2br w:val="nil"/>
              <w:tr2bl w:val="nil"/>
            </w:tcBorders>
            <w:shd w:val="clear" w:color="auto" w:fill="auto"/>
            <w:noWrap/>
            <w:vAlign w:val="center"/>
          </w:tcPr>
          <w:p w14:paraId="24F8F789">
            <w:pPr>
              <w:spacing w:line="30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802" w:type="pct"/>
            <w:tcBorders>
              <w:tl2br w:val="nil"/>
              <w:tr2bl w:val="nil"/>
            </w:tcBorders>
            <w:shd w:val="clear" w:color="auto" w:fill="auto"/>
            <w:noWrap/>
            <w:vAlign w:val="center"/>
          </w:tcPr>
          <w:p w14:paraId="293CBE6F">
            <w:pPr>
              <w:spacing w:line="300" w:lineRule="exact"/>
              <w:jc w:val="center"/>
              <w:rPr>
                <w:rFonts w:hint="default" w:ascii="Times New Roman" w:hAnsi="Times New Roman" w:cs="Times New Roman"/>
                <w:color w:val="auto"/>
                <w:szCs w:val="21"/>
              </w:rPr>
            </w:pPr>
          </w:p>
        </w:tc>
      </w:tr>
      <w:tr w14:paraId="05B97D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119" w:type="pct"/>
            <w:vMerge w:val="restart"/>
            <w:tcBorders>
              <w:tl2br w:val="nil"/>
              <w:tr2bl w:val="nil"/>
            </w:tcBorders>
            <w:shd w:val="clear" w:color="auto" w:fill="auto"/>
            <w:noWrap/>
            <w:vAlign w:val="center"/>
          </w:tcPr>
          <w:p w14:paraId="2A019571">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辅助工程</w:t>
            </w:r>
          </w:p>
        </w:tc>
        <w:tc>
          <w:tcPr>
            <w:tcW w:w="330" w:type="pct"/>
            <w:tcBorders>
              <w:tl2br w:val="nil"/>
              <w:tr2bl w:val="nil"/>
            </w:tcBorders>
            <w:shd w:val="clear" w:color="auto" w:fill="auto"/>
            <w:vAlign w:val="center"/>
          </w:tcPr>
          <w:p w14:paraId="36012583">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办公区</w:t>
            </w:r>
          </w:p>
        </w:tc>
        <w:tc>
          <w:tcPr>
            <w:tcW w:w="934" w:type="pct"/>
            <w:tcBorders>
              <w:tl2br w:val="nil"/>
              <w:tr2bl w:val="nil"/>
            </w:tcBorders>
            <w:shd w:val="clear" w:color="auto" w:fill="auto"/>
            <w:vAlign w:val="center"/>
          </w:tcPr>
          <w:p w14:paraId="6AA88ABD">
            <w:pPr>
              <w:widowControl/>
              <w:spacing w:line="300" w:lineRule="exact"/>
              <w:jc w:val="left"/>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占地面积约200m</w:t>
            </w:r>
            <w:r>
              <w:rPr>
                <w:rFonts w:hint="default" w:ascii="Times New Roman" w:hAnsi="Times New Roman" w:cs="Times New Roman"/>
                <w:color w:val="auto"/>
                <w:kern w:val="0"/>
                <w:szCs w:val="21"/>
                <w:vertAlign w:val="superscript"/>
                <w:lang w:bidi="ar"/>
              </w:rPr>
              <w:t>2</w:t>
            </w:r>
            <w:r>
              <w:rPr>
                <w:rFonts w:hint="default" w:ascii="Times New Roman" w:hAnsi="Times New Roman" w:cs="Times New Roman"/>
                <w:color w:val="auto"/>
                <w:kern w:val="0"/>
                <w:szCs w:val="21"/>
                <w:lang w:bidi="ar"/>
              </w:rPr>
              <w:t>，二层砖混结构，位于厂区西侧</w:t>
            </w:r>
          </w:p>
        </w:tc>
        <w:tc>
          <w:tcPr>
            <w:tcW w:w="708" w:type="pct"/>
            <w:tcBorders>
              <w:tl2br w:val="nil"/>
              <w:tr2bl w:val="nil"/>
            </w:tcBorders>
            <w:shd w:val="clear" w:color="auto" w:fill="auto"/>
            <w:noWrap/>
            <w:vAlign w:val="center"/>
          </w:tcPr>
          <w:p w14:paraId="55F04E25">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依托现有</w:t>
            </w:r>
          </w:p>
        </w:tc>
        <w:tc>
          <w:tcPr>
            <w:tcW w:w="1051" w:type="pct"/>
            <w:tcBorders>
              <w:tl2br w:val="nil"/>
              <w:tr2bl w:val="nil"/>
            </w:tcBorders>
            <w:shd w:val="clear" w:color="auto" w:fill="auto"/>
            <w:noWrap/>
            <w:vAlign w:val="center"/>
          </w:tcPr>
          <w:p w14:paraId="3642BE83">
            <w:pPr>
              <w:widowControl/>
              <w:spacing w:line="300" w:lineRule="exact"/>
              <w:jc w:val="left"/>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依托现有</w:t>
            </w:r>
          </w:p>
        </w:tc>
        <w:tc>
          <w:tcPr>
            <w:tcW w:w="1054" w:type="pct"/>
            <w:tcBorders>
              <w:tl2br w:val="nil"/>
              <w:tr2bl w:val="nil"/>
            </w:tcBorders>
            <w:shd w:val="clear" w:color="auto" w:fill="auto"/>
            <w:noWrap/>
            <w:vAlign w:val="center"/>
          </w:tcPr>
          <w:p w14:paraId="29FCEFBF">
            <w:pPr>
              <w:widowControl/>
              <w:spacing w:line="300" w:lineRule="exact"/>
              <w:jc w:val="left"/>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占地面积约200m</w:t>
            </w:r>
            <w:r>
              <w:rPr>
                <w:rFonts w:hint="default" w:ascii="Times New Roman" w:hAnsi="Times New Roman" w:cs="Times New Roman"/>
                <w:color w:val="auto"/>
                <w:kern w:val="0"/>
                <w:szCs w:val="21"/>
                <w:vertAlign w:val="superscript"/>
                <w:lang w:bidi="ar"/>
              </w:rPr>
              <w:t>2</w:t>
            </w:r>
            <w:r>
              <w:rPr>
                <w:rFonts w:hint="default" w:ascii="Times New Roman" w:hAnsi="Times New Roman" w:cs="Times New Roman"/>
                <w:color w:val="auto"/>
                <w:kern w:val="0"/>
                <w:szCs w:val="21"/>
                <w:lang w:bidi="ar"/>
              </w:rPr>
              <w:t>，二层砖混结构，位于厂区西侧</w:t>
            </w:r>
          </w:p>
        </w:tc>
        <w:tc>
          <w:tcPr>
            <w:tcW w:w="802" w:type="pct"/>
            <w:tcBorders>
              <w:tl2br w:val="nil"/>
              <w:tr2bl w:val="nil"/>
            </w:tcBorders>
            <w:shd w:val="clear" w:color="auto" w:fill="auto"/>
            <w:noWrap/>
            <w:vAlign w:val="center"/>
          </w:tcPr>
          <w:p w14:paraId="1845A3C7">
            <w:pPr>
              <w:spacing w:line="300" w:lineRule="exact"/>
              <w:rPr>
                <w:rFonts w:hint="default" w:ascii="Times New Roman" w:hAnsi="Times New Roman" w:cs="Times New Roman"/>
                <w:color w:val="auto"/>
                <w:szCs w:val="21"/>
              </w:rPr>
            </w:pPr>
          </w:p>
        </w:tc>
      </w:tr>
      <w:tr w14:paraId="60100E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119" w:type="pct"/>
            <w:vMerge w:val="continue"/>
            <w:tcBorders>
              <w:tl2br w:val="nil"/>
              <w:tr2bl w:val="nil"/>
            </w:tcBorders>
            <w:shd w:val="clear" w:color="auto" w:fill="auto"/>
            <w:noWrap/>
            <w:vAlign w:val="center"/>
          </w:tcPr>
          <w:p w14:paraId="5CEC47A9">
            <w:pPr>
              <w:spacing w:line="300" w:lineRule="exact"/>
              <w:jc w:val="center"/>
              <w:rPr>
                <w:rFonts w:hint="default" w:ascii="Times New Roman" w:hAnsi="Times New Roman" w:cs="Times New Roman"/>
                <w:color w:val="auto"/>
                <w:szCs w:val="21"/>
              </w:rPr>
            </w:pPr>
          </w:p>
        </w:tc>
        <w:tc>
          <w:tcPr>
            <w:tcW w:w="330" w:type="pct"/>
            <w:tcBorders>
              <w:tl2br w:val="nil"/>
              <w:tr2bl w:val="nil"/>
            </w:tcBorders>
            <w:shd w:val="clear" w:color="auto" w:fill="auto"/>
            <w:vAlign w:val="center"/>
          </w:tcPr>
          <w:p w14:paraId="4D2138FD">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宿舍</w:t>
            </w:r>
          </w:p>
        </w:tc>
        <w:tc>
          <w:tcPr>
            <w:tcW w:w="934" w:type="pct"/>
            <w:tcBorders>
              <w:tl2br w:val="nil"/>
              <w:tr2bl w:val="nil"/>
            </w:tcBorders>
            <w:shd w:val="clear" w:color="auto" w:fill="auto"/>
            <w:vAlign w:val="center"/>
          </w:tcPr>
          <w:p w14:paraId="186EDB14">
            <w:pPr>
              <w:widowControl/>
              <w:spacing w:line="300" w:lineRule="exact"/>
              <w:jc w:val="left"/>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占地面积约300m</w:t>
            </w:r>
            <w:r>
              <w:rPr>
                <w:rFonts w:hint="default" w:ascii="Times New Roman" w:hAnsi="Times New Roman" w:cs="Times New Roman"/>
                <w:color w:val="auto"/>
                <w:kern w:val="0"/>
                <w:szCs w:val="21"/>
                <w:vertAlign w:val="superscript"/>
                <w:lang w:bidi="ar"/>
              </w:rPr>
              <w:t>2</w:t>
            </w:r>
            <w:r>
              <w:rPr>
                <w:rFonts w:hint="default" w:ascii="Times New Roman" w:hAnsi="Times New Roman" w:cs="Times New Roman"/>
                <w:color w:val="auto"/>
                <w:kern w:val="0"/>
                <w:szCs w:val="21"/>
                <w:lang w:bidi="ar"/>
              </w:rPr>
              <w:t>，位于厂区西侧</w:t>
            </w:r>
          </w:p>
        </w:tc>
        <w:tc>
          <w:tcPr>
            <w:tcW w:w="708" w:type="pct"/>
            <w:tcBorders>
              <w:tl2br w:val="nil"/>
              <w:tr2bl w:val="nil"/>
            </w:tcBorders>
            <w:shd w:val="clear" w:color="auto" w:fill="auto"/>
            <w:noWrap/>
            <w:vAlign w:val="center"/>
          </w:tcPr>
          <w:p w14:paraId="517850B6">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依托现有</w:t>
            </w:r>
          </w:p>
        </w:tc>
        <w:tc>
          <w:tcPr>
            <w:tcW w:w="1051" w:type="pct"/>
            <w:tcBorders>
              <w:tl2br w:val="nil"/>
              <w:tr2bl w:val="nil"/>
            </w:tcBorders>
            <w:shd w:val="clear" w:color="auto" w:fill="auto"/>
            <w:noWrap/>
            <w:vAlign w:val="center"/>
          </w:tcPr>
          <w:p w14:paraId="0E16991E">
            <w:pPr>
              <w:widowControl/>
              <w:spacing w:line="300" w:lineRule="exact"/>
              <w:jc w:val="left"/>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依托现有</w:t>
            </w:r>
          </w:p>
        </w:tc>
        <w:tc>
          <w:tcPr>
            <w:tcW w:w="1054" w:type="pct"/>
            <w:tcBorders>
              <w:tl2br w:val="nil"/>
              <w:tr2bl w:val="nil"/>
            </w:tcBorders>
            <w:shd w:val="clear" w:color="auto" w:fill="auto"/>
            <w:noWrap/>
            <w:vAlign w:val="center"/>
          </w:tcPr>
          <w:p w14:paraId="283CEE78">
            <w:pPr>
              <w:widowControl/>
              <w:spacing w:line="300" w:lineRule="exact"/>
              <w:jc w:val="left"/>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占地面积约300m</w:t>
            </w:r>
            <w:r>
              <w:rPr>
                <w:rFonts w:hint="default" w:ascii="Times New Roman" w:hAnsi="Times New Roman" w:cs="Times New Roman"/>
                <w:color w:val="auto"/>
                <w:kern w:val="0"/>
                <w:szCs w:val="21"/>
                <w:vertAlign w:val="superscript"/>
                <w:lang w:bidi="ar"/>
              </w:rPr>
              <w:t>2</w:t>
            </w:r>
            <w:r>
              <w:rPr>
                <w:rFonts w:hint="default" w:ascii="Times New Roman" w:hAnsi="Times New Roman" w:cs="Times New Roman"/>
                <w:color w:val="auto"/>
                <w:kern w:val="0"/>
                <w:szCs w:val="21"/>
                <w:lang w:bidi="ar"/>
              </w:rPr>
              <w:t>，位于厂区西侧</w:t>
            </w:r>
          </w:p>
        </w:tc>
        <w:tc>
          <w:tcPr>
            <w:tcW w:w="802" w:type="pct"/>
            <w:tcBorders>
              <w:tl2br w:val="nil"/>
              <w:tr2bl w:val="nil"/>
            </w:tcBorders>
            <w:shd w:val="clear" w:color="auto" w:fill="auto"/>
            <w:noWrap/>
            <w:vAlign w:val="center"/>
          </w:tcPr>
          <w:p w14:paraId="45DF71F8">
            <w:pPr>
              <w:spacing w:line="300" w:lineRule="exact"/>
              <w:rPr>
                <w:rFonts w:hint="default" w:ascii="Times New Roman" w:hAnsi="Times New Roman" w:cs="Times New Roman"/>
                <w:color w:val="auto"/>
                <w:szCs w:val="21"/>
              </w:rPr>
            </w:pPr>
          </w:p>
        </w:tc>
      </w:tr>
      <w:tr w14:paraId="3FEF19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119" w:type="pct"/>
            <w:vMerge w:val="restart"/>
            <w:tcBorders>
              <w:tl2br w:val="nil"/>
              <w:tr2bl w:val="nil"/>
            </w:tcBorders>
            <w:shd w:val="clear" w:color="auto" w:fill="auto"/>
            <w:vAlign w:val="center"/>
          </w:tcPr>
          <w:p w14:paraId="0EF83797">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公用工程</w:t>
            </w:r>
          </w:p>
        </w:tc>
        <w:tc>
          <w:tcPr>
            <w:tcW w:w="330" w:type="pct"/>
            <w:tcBorders>
              <w:tl2br w:val="nil"/>
              <w:tr2bl w:val="nil"/>
            </w:tcBorders>
            <w:shd w:val="clear" w:color="auto" w:fill="auto"/>
            <w:vAlign w:val="center"/>
          </w:tcPr>
          <w:p w14:paraId="2B489E33">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供电</w:t>
            </w:r>
          </w:p>
        </w:tc>
        <w:tc>
          <w:tcPr>
            <w:tcW w:w="934" w:type="pct"/>
            <w:tcBorders>
              <w:tl2br w:val="nil"/>
              <w:tr2bl w:val="nil"/>
            </w:tcBorders>
            <w:shd w:val="clear" w:color="auto" w:fill="auto"/>
            <w:vAlign w:val="center"/>
          </w:tcPr>
          <w:p w14:paraId="3F7AFC83">
            <w:pPr>
              <w:widowControl/>
              <w:spacing w:line="300" w:lineRule="exact"/>
              <w:jc w:val="left"/>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总装机容量5000kW，供电来自园区35kV变电站，主变容量为16000kVA。</w:t>
            </w:r>
          </w:p>
          <w:p w14:paraId="1221B098">
            <w:pPr>
              <w:widowControl/>
              <w:spacing w:line="300" w:lineRule="exact"/>
              <w:jc w:val="left"/>
              <w:textAlignment w:val="center"/>
              <w:rPr>
                <w:rFonts w:hint="default" w:ascii="Times New Roman" w:hAnsi="Times New Roman" w:cs="Times New Roman"/>
                <w:color w:val="auto"/>
                <w:szCs w:val="21"/>
              </w:rPr>
            </w:pPr>
            <w:r>
              <w:rPr>
                <w:rFonts w:hint="default" w:ascii="Times New Roman" w:hAnsi="Times New Roman" w:cs="Times New Roman"/>
                <w:bCs/>
                <w:color w:val="auto"/>
                <w:szCs w:val="21"/>
              </w:rPr>
              <w:t>厂区内设有35kV开关站1座，10kV系统采用单母线分段接线及放射性供电方式。</w:t>
            </w:r>
          </w:p>
        </w:tc>
        <w:tc>
          <w:tcPr>
            <w:tcW w:w="708" w:type="pct"/>
            <w:tcBorders>
              <w:tl2br w:val="nil"/>
              <w:tr2bl w:val="nil"/>
            </w:tcBorders>
            <w:shd w:val="clear" w:color="auto" w:fill="auto"/>
            <w:noWrap/>
            <w:vAlign w:val="center"/>
          </w:tcPr>
          <w:p w14:paraId="26A262F5">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依托现有</w:t>
            </w:r>
          </w:p>
        </w:tc>
        <w:tc>
          <w:tcPr>
            <w:tcW w:w="1051" w:type="pct"/>
            <w:tcBorders>
              <w:tl2br w:val="nil"/>
              <w:tr2bl w:val="nil"/>
            </w:tcBorders>
            <w:shd w:val="clear" w:color="auto" w:fill="auto"/>
            <w:noWrap/>
            <w:vAlign w:val="center"/>
          </w:tcPr>
          <w:p w14:paraId="0DCD9649">
            <w:pPr>
              <w:snapToGrid w:val="0"/>
              <w:spacing w:line="300" w:lineRule="exact"/>
              <w:ind w:firstLine="420" w:firstLineChars="200"/>
              <w:rPr>
                <w:rFonts w:hint="default" w:ascii="Times New Roman" w:hAnsi="Times New Roman" w:cs="Times New Roman"/>
                <w:color w:val="auto"/>
                <w:szCs w:val="21"/>
              </w:rPr>
            </w:pPr>
            <w:r>
              <w:rPr>
                <w:rFonts w:hint="default" w:ascii="Times New Roman" w:hAnsi="Times New Roman" w:cs="Times New Roman"/>
                <w:bCs/>
                <w:color w:val="auto"/>
                <w:szCs w:val="21"/>
              </w:rPr>
              <w:t>本项目增设低压配电系统，为本项目新增设备设施供电。</w:t>
            </w:r>
          </w:p>
        </w:tc>
        <w:tc>
          <w:tcPr>
            <w:tcW w:w="1054" w:type="pct"/>
            <w:tcBorders>
              <w:tl2br w:val="nil"/>
              <w:tr2bl w:val="nil"/>
            </w:tcBorders>
            <w:shd w:val="clear" w:color="auto" w:fill="auto"/>
            <w:noWrap/>
            <w:vAlign w:val="center"/>
          </w:tcPr>
          <w:p w14:paraId="6F3DBF30">
            <w:pPr>
              <w:widowControl/>
              <w:spacing w:line="300" w:lineRule="exact"/>
              <w:jc w:val="left"/>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总装机容量5000kW，供电来自园区35kV变电站，主变容量为16000kVA。</w:t>
            </w:r>
          </w:p>
          <w:p w14:paraId="17BBA09B">
            <w:pPr>
              <w:spacing w:line="300" w:lineRule="exact"/>
              <w:rPr>
                <w:rFonts w:hint="default" w:ascii="Times New Roman" w:hAnsi="Times New Roman" w:cs="Times New Roman"/>
                <w:color w:val="auto"/>
                <w:szCs w:val="21"/>
              </w:rPr>
            </w:pPr>
            <w:r>
              <w:rPr>
                <w:rFonts w:hint="default" w:ascii="Times New Roman" w:hAnsi="Times New Roman" w:cs="Times New Roman"/>
                <w:bCs/>
                <w:color w:val="auto"/>
                <w:szCs w:val="21"/>
              </w:rPr>
              <w:t>厂区内设有35kV开关站1座，10kV系统采用单母线分段接线及放射性供电方式。</w:t>
            </w:r>
          </w:p>
        </w:tc>
        <w:tc>
          <w:tcPr>
            <w:tcW w:w="802" w:type="pct"/>
            <w:tcBorders>
              <w:tl2br w:val="nil"/>
              <w:tr2bl w:val="nil"/>
            </w:tcBorders>
            <w:shd w:val="clear" w:color="auto" w:fill="auto"/>
            <w:noWrap/>
            <w:vAlign w:val="center"/>
          </w:tcPr>
          <w:p w14:paraId="70D73E3F">
            <w:pPr>
              <w:spacing w:line="300" w:lineRule="exact"/>
              <w:rPr>
                <w:rFonts w:hint="default" w:ascii="Times New Roman" w:hAnsi="Times New Roman" w:cs="Times New Roman"/>
                <w:color w:val="auto"/>
                <w:szCs w:val="21"/>
              </w:rPr>
            </w:pPr>
          </w:p>
        </w:tc>
      </w:tr>
      <w:tr w14:paraId="746604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119" w:type="pct"/>
            <w:vMerge w:val="continue"/>
            <w:tcBorders>
              <w:tl2br w:val="nil"/>
              <w:tr2bl w:val="nil"/>
            </w:tcBorders>
            <w:shd w:val="clear" w:color="auto" w:fill="auto"/>
            <w:vAlign w:val="center"/>
          </w:tcPr>
          <w:p w14:paraId="115EFFC1">
            <w:pPr>
              <w:widowControl/>
              <w:spacing w:line="300" w:lineRule="exact"/>
              <w:jc w:val="center"/>
              <w:textAlignment w:val="center"/>
              <w:rPr>
                <w:rFonts w:hint="default" w:ascii="Times New Roman" w:hAnsi="Times New Roman" w:cs="Times New Roman"/>
                <w:color w:val="auto"/>
                <w:kern w:val="0"/>
                <w:szCs w:val="21"/>
                <w:lang w:bidi="ar"/>
              </w:rPr>
            </w:pPr>
          </w:p>
        </w:tc>
        <w:tc>
          <w:tcPr>
            <w:tcW w:w="330" w:type="pct"/>
            <w:tcBorders>
              <w:tl2br w:val="nil"/>
              <w:tr2bl w:val="nil"/>
            </w:tcBorders>
            <w:shd w:val="clear" w:color="auto" w:fill="auto"/>
            <w:vAlign w:val="center"/>
          </w:tcPr>
          <w:p w14:paraId="4FDADCBE">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供水</w:t>
            </w:r>
          </w:p>
        </w:tc>
        <w:tc>
          <w:tcPr>
            <w:tcW w:w="934" w:type="pct"/>
            <w:tcBorders>
              <w:tl2br w:val="nil"/>
              <w:tr2bl w:val="nil"/>
            </w:tcBorders>
            <w:shd w:val="clear" w:color="auto" w:fill="auto"/>
            <w:vAlign w:val="center"/>
          </w:tcPr>
          <w:p w14:paraId="1EC3978E">
            <w:pPr>
              <w:widowControl/>
              <w:spacing w:line="300" w:lineRule="exact"/>
              <w:jc w:val="left"/>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由市政管网供给</w:t>
            </w:r>
          </w:p>
        </w:tc>
        <w:tc>
          <w:tcPr>
            <w:tcW w:w="708" w:type="pct"/>
            <w:tcBorders>
              <w:tl2br w:val="nil"/>
              <w:tr2bl w:val="nil"/>
            </w:tcBorders>
            <w:shd w:val="clear" w:color="auto" w:fill="auto"/>
            <w:noWrap/>
            <w:vAlign w:val="center"/>
          </w:tcPr>
          <w:p w14:paraId="1E572ABC">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依托现有</w:t>
            </w:r>
          </w:p>
        </w:tc>
        <w:tc>
          <w:tcPr>
            <w:tcW w:w="1051" w:type="pct"/>
            <w:tcBorders>
              <w:tl2br w:val="nil"/>
              <w:tr2bl w:val="nil"/>
            </w:tcBorders>
            <w:shd w:val="clear" w:color="auto" w:fill="auto"/>
            <w:noWrap/>
            <w:vAlign w:val="center"/>
          </w:tcPr>
          <w:p w14:paraId="082E4A63">
            <w:pPr>
              <w:spacing w:line="300" w:lineRule="exact"/>
              <w:rPr>
                <w:rFonts w:hint="default" w:ascii="Times New Roman" w:hAnsi="Times New Roman" w:cs="Times New Roman"/>
                <w:color w:val="auto"/>
                <w:szCs w:val="21"/>
              </w:rPr>
            </w:pPr>
          </w:p>
        </w:tc>
        <w:tc>
          <w:tcPr>
            <w:tcW w:w="1054" w:type="pct"/>
            <w:tcBorders>
              <w:tl2br w:val="nil"/>
              <w:tr2bl w:val="nil"/>
            </w:tcBorders>
            <w:shd w:val="clear" w:color="auto" w:fill="auto"/>
            <w:noWrap/>
            <w:vAlign w:val="center"/>
          </w:tcPr>
          <w:p w14:paraId="5C7B3F50">
            <w:pPr>
              <w:spacing w:line="300" w:lineRule="exact"/>
              <w:rPr>
                <w:rFonts w:hint="default" w:ascii="Times New Roman" w:hAnsi="Times New Roman" w:cs="Times New Roman"/>
                <w:color w:val="auto"/>
                <w:szCs w:val="21"/>
              </w:rPr>
            </w:pPr>
          </w:p>
        </w:tc>
        <w:tc>
          <w:tcPr>
            <w:tcW w:w="802" w:type="pct"/>
            <w:tcBorders>
              <w:tl2br w:val="nil"/>
              <w:tr2bl w:val="nil"/>
            </w:tcBorders>
            <w:shd w:val="clear" w:color="auto" w:fill="auto"/>
            <w:noWrap/>
            <w:vAlign w:val="center"/>
          </w:tcPr>
          <w:p w14:paraId="37D9FD13">
            <w:pPr>
              <w:spacing w:line="300" w:lineRule="exact"/>
              <w:rPr>
                <w:rFonts w:hint="default" w:ascii="Times New Roman" w:hAnsi="Times New Roman" w:cs="Times New Roman"/>
                <w:color w:val="auto"/>
                <w:szCs w:val="21"/>
              </w:rPr>
            </w:pPr>
          </w:p>
        </w:tc>
      </w:tr>
      <w:tr w14:paraId="474C42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119" w:type="pct"/>
            <w:vMerge w:val="continue"/>
            <w:tcBorders>
              <w:tl2br w:val="nil"/>
              <w:tr2bl w:val="nil"/>
            </w:tcBorders>
            <w:shd w:val="clear" w:color="auto" w:fill="auto"/>
            <w:vAlign w:val="center"/>
          </w:tcPr>
          <w:p w14:paraId="6368CCD4">
            <w:pPr>
              <w:spacing w:line="300" w:lineRule="exact"/>
              <w:jc w:val="center"/>
              <w:rPr>
                <w:rFonts w:hint="default" w:ascii="Times New Roman" w:hAnsi="Times New Roman" w:cs="Times New Roman"/>
                <w:color w:val="auto"/>
                <w:szCs w:val="21"/>
              </w:rPr>
            </w:pPr>
          </w:p>
        </w:tc>
        <w:tc>
          <w:tcPr>
            <w:tcW w:w="330" w:type="pct"/>
            <w:tcBorders>
              <w:tl2br w:val="nil"/>
              <w:tr2bl w:val="nil"/>
            </w:tcBorders>
            <w:shd w:val="clear" w:color="auto" w:fill="auto"/>
            <w:vAlign w:val="center"/>
          </w:tcPr>
          <w:p w14:paraId="140086C5">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排水</w:t>
            </w:r>
          </w:p>
        </w:tc>
        <w:tc>
          <w:tcPr>
            <w:tcW w:w="934" w:type="pct"/>
            <w:tcBorders>
              <w:tl2br w:val="nil"/>
              <w:tr2bl w:val="nil"/>
            </w:tcBorders>
            <w:shd w:val="clear" w:color="auto" w:fill="auto"/>
            <w:vAlign w:val="center"/>
          </w:tcPr>
          <w:p w14:paraId="7389FE88">
            <w:pPr>
              <w:widowControl/>
              <w:spacing w:line="300" w:lineRule="exact"/>
              <w:jc w:val="left"/>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生产废水循环使用，不外排；生活污水</w:t>
            </w:r>
            <w:r>
              <w:rPr>
                <w:rFonts w:hint="default" w:ascii="Times New Roman" w:hAnsi="Times New Roman" w:cs="Times New Roman"/>
                <w:color w:val="auto"/>
                <w:kern w:val="0"/>
                <w:szCs w:val="21"/>
                <w:lang w:bidi="ar"/>
              </w:rPr>
              <w:t>经化粪池处理后暂存于企业原污水处理设施（现已停用）</w:t>
            </w:r>
          </w:p>
        </w:tc>
        <w:tc>
          <w:tcPr>
            <w:tcW w:w="708" w:type="pct"/>
            <w:tcBorders>
              <w:tl2br w:val="nil"/>
              <w:tr2bl w:val="nil"/>
            </w:tcBorders>
            <w:shd w:val="clear" w:color="auto" w:fill="auto"/>
            <w:noWrap/>
            <w:vAlign w:val="center"/>
          </w:tcPr>
          <w:p w14:paraId="74D8111E">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依托现有</w:t>
            </w:r>
          </w:p>
        </w:tc>
        <w:tc>
          <w:tcPr>
            <w:tcW w:w="1051" w:type="pct"/>
            <w:tcBorders>
              <w:tl2br w:val="nil"/>
              <w:tr2bl w:val="nil"/>
            </w:tcBorders>
            <w:shd w:val="clear" w:color="auto" w:fill="auto"/>
            <w:noWrap/>
            <w:vAlign w:val="center"/>
          </w:tcPr>
          <w:p w14:paraId="5570D692">
            <w:pPr>
              <w:spacing w:line="300" w:lineRule="exact"/>
              <w:textAlignment w:val="center"/>
              <w:rPr>
                <w:rFonts w:hint="default" w:ascii="Times New Roman" w:hAnsi="Times New Roman" w:cs="Times New Roman"/>
                <w:color w:val="auto"/>
                <w:szCs w:val="21"/>
              </w:rPr>
            </w:pP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1</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雨水：采用雨污分流，经厂内管沟流入厂区内雨水干管，最终排入市政雨水管网；</w:t>
            </w:r>
          </w:p>
          <w:p w14:paraId="36C09522">
            <w:pPr>
              <w:spacing w:line="300" w:lineRule="exact"/>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（2）生产废水经污水处理站处理达标后排入市政管道，汇入</w:t>
            </w:r>
            <w:r>
              <w:rPr>
                <w:rFonts w:hint="default" w:ascii="Times New Roman" w:hAnsi="Times New Roman" w:cs="Times New Roman"/>
                <w:color w:val="auto"/>
                <w:szCs w:val="21"/>
                <w:lang w:val="en-US" w:eastAsia="zh-CN"/>
              </w:rPr>
              <w:t>沙县</w:t>
            </w:r>
            <w:r>
              <w:rPr>
                <w:rFonts w:hint="default" w:ascii="Times New Roman" w:hAnsi="Times New Roman" w:cs="Times New Roman"/>
                <w:color w:val="auto"/>
                <w:szCs w:val="21"/>
              </w:rPr>
              <w:t>金古北片区污水处理厂处理。</w:t>
            </w:r>
          </w:p>
          <w:p w14:paraId="0E2EC358">
            <w:pPr>
              <w:spacing w:line="300" w:lineRule="exact"/>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（3）生活区污水经化粪池处理达标准后</w:t>
            </w:r>
            <w:bookmarkStart w:id="89" w:name="OLE_LINK15"/>
            <w:r>
              <w:rPr>
                <w:rFonts w:hint="default" w:ascii="Times New Roman" w:hAnsi="Times New Roman" w:cs="Times New Roman"/>
                <w:color w:val="auto"/>
                <w:szCs w:val="21"/>
              </w:rPr>
              <w:t>排入市政管道，汇入</w:t>
            </w:r>
            <w:r>
              <w:rPr>
                <w:rFonts w:hint="default" w:ascii="Times New Roman" w:hAnsi="Times New Roman" w:cs="Times New Roman"/>
                <w:color w:val="auto"/>
                <w:szCs w:val="21"/>
                <w:lang w:val="en-US" w:eastAsia="zh-CN"/>
              </w:rPr>
              <w:t>沙县</w:t>
            </w:r>
            <w:r>
              <w:rPr>
                <w:rFonts w:hint="default" w:ascii="Times New Roman" w:hAnsi="Times New Roman" w:cs="Times New Roman"/>
                <w:color w:val="auto"/>
                <w:szCs w:val="21"/>
              </w:rPr>
              <w:t>金古北片区污水处理厂处理。</w:t>
            </w:r>
            <w:bookmarkEnd w:id="89"/>
          </w:p>
        </w:tc>
        <w:tc>
          <w:tcPr>
            <w:tcW w:w="1054" w:type="pct"/>
            <w:tcBorders>
              <w:tl2br w:val="nil"/>
              <w:tr2bl w:val="nil"/>
            </w:tcBorders>
            <w:shd w:val="clear" w:color="auto" w:fill="auto"/>
            <w:noWrap/>
            <w:vAlign w:val="center"/>
          </w:tcPr>
          <w:p w14:paraId="357118D5">
            <w:pPr>
              <w:spacing w:line="300" w:lineRule="exact"/>
              <w:textAlignment w:val="center"/>
              <w:rPr>
                <w:rFonts w:hint="default" w:ascii="Times New Roman" w:hAnsi="Times New Roman" w:cs="Times New Roman"/>
                <w:color w:val="auto"/>
                <w:szCs w:val="21"/>
              </w:rPr>
            </w:pP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1</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雨水：采用雨污分流，经厂内管沟流入厂区内雨水干管，最终排入市政雨水管网；</w:t>
            </w:r>
          </w:p>
          <w:p w14:paraId="7620523B">
            <w:pPr>
              <w:spacing w:line="300" w:lineRule="exact"/>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（2）生产废水经污水处理站处理达标后排入市政管道，汇入</w:t>
            </w:r>
            <w:r>
              <w:rPr>
                <w:rFonts w:hint="default" w:ascii="Times New Roman" w:hAnsi="Times New Roman" w:cs="Times New Roman"/>
                <w:color w:val="auto"/>
                <w:szCs w:val="21"/>
                <w:lang w:val="en-US" w:eastAsia="zh-CN"/>
              </w:rPr>
              <w:t>沙县</w:t>
            </w:r>
            <w:r>
              <w:rPr>
                <w:rFonts w:hint="default" w:ascii="Times New Roman" w:hAnsi="Times New Roman" w:cs="Times New Roman"/>
                <w:color w:val="auto"/>
                <w:szCs w:val="21"/>
              </w:rPr>
              <w:t>金古北片区污水处理厂处理。</w:t>
            </w:r>
          </w:p>
          <w:p w14:paraId="00A1047D">
            <w:pPr>
              <w:spacing w:line="300" w:lineRule="exact"/>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（3）生活区污水经化粪池处理达标准后排入市政管道，汇入</w:t>
            </w:r>
            <w:r>
              <w:rPr>
                <w:rFonts w:hint="default" w:ascii="Times New Roman" w:hAnsi="Times New Roman" w:cs="Times New Roman"/>
                <w:color w:val="auto"/>
                <w:szCs w:val="21"/>
                <w:lang w:val="en-US" w:eastAsia="zh-CN"/>
              </w:rPr>
              <w:t>沙县</w:t>
            </w:r>
            <w:r>
              <w:rPr>
                <w:rFonts w:hint="default" w:ascii="Times New Roman" w:hAnsi="Times New Roman" w:cs="Times New Roman"/>
                <w:color w:val="auto"/>
                <w:szCs w:val="21"/>
              </w:rPr>
              <w:t>金古北片区污水处理厂处理。</w:t>
            </w:r>
          </w:p>
        </w:tc>
        <w:tc>
          <w:tcPr>
            <w:tcW w:w="802" w:type="pct"/>
            <w:tcBorders>
              <w:tl2br w:val="nil"/>
              <w:tr2bl w:val="nil"/>
            </w:tcBorders>
            <w:shd w:val="clear" w:color="auto" w:fill="auto"/>
            <w:noWrap/>
            <w:vAlign w:val="center"/>
          </w:tcPr>
          <w:p w14:paraId="6B753456">
            <w:pPr>
              <w:spacing w:line="300" w:lineRule="exact"/>
              <w:rPr>
                <w:rFonts w:hint="default" w:ascii="Times New Roman" w:hAnsi="Times New Roman" w:cs="Times New Roman"/>
                <w:color w:val="auto"/>
                <w:szCs w:val="21"/>
              </w:rPr>
            </w:pPr>
          </w:p>
        </w:tc>
      </w:tr>
      <w:tr w14:paraId="6DAC02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184" w:hRule="atLeast"/>
        </w:trPr>
        <w:tc>
          <w:tcPr>
            <w:tcW w:w="119" w:type="pct"/>
            <w:vMerge w:val="continue"/>
            <w:tcBorders>
              <w:tl2br w:val="nil"/>
              <w:tr2bl w:val="nil"/>
            </w:tcBorders>
            <w:shd w:val="clear" w:color="auto" w:fill="auto"/>
            <w:vAlign w:val="center"/>
          </w:tcPr>
          <w:p w14:paraId="005EB1AB">
            <w:pPr>
              <w:spacing w:line="300" w:lineRule="exact"/>
              <w:jc w:val="center"/>
              <w:rPr>
                <w:rFonts w:hint="default" w:ascii="Times New Roman" w:hAnsi="Times New Roman" w:cs="Times New Roman"/>
                <w:color w:val="auto"/>
                <w:szCs w:val="21"/>
              </w:rPr>
            </w:pPr>
          </w:p>
        </w:tc>
        <w:tc>
          <w:tcPr>
            <w:tcW w:w="330" w:type="pct"/>
            <w:tcBorders>
              <w:tl2br w:val="nil"/>
              <w:tr2bl w:val="nil"/>
            </w:tcBorders>
            <w:shd w:val="clear" w:color="auto" w:fill="auto"/>
            <w:vAlign w:val="center"/>
          </w:tcPr>
          <w:p w14:paraId="402849A5">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供气</w:t>
            </w:r>
          </w:p>
        </w:tc>
        <w:tc>
          <w:tcPr>
            <w:tcW w:w="934" w:type="pct"/>
            <w:tcBorders>
              <w:tl2br w:val="nil"/>
              <w:tr2bl w:val="nil"/>
            </w:tcBorders>
            <w:shd w:val="clear" w:color="auto" w:fill="auto"/>
            <w:vAlign w:val="center"/>
          </w:tcPr>
          <w:p w14:paraId="4F9CC4D6">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w:t>
            </w:r>
          </w:p>
        </w:tc>
        <w:tc>
          <w:tcPr>
            <w:tcW w:w="708" w:type="pct"/>
            <w:tcBorders>
              <w:tl2br w:val="nil"/>
              <w:tr2bl w:val="nil"/>
            </w:tcBorders>
            <w:shd w:val="clear" w:color="auto" w:fill="auto"/>
            <w:noWrap/>
            <w:vAlign w:val="center"/>
          </w:tcPr>
          <w:p w14:paraId="214400FC">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w:t>
            </w:r>
          </w:p>
        </w:tc>
        <w:tc>
          <w:tcPr>
            <w:tcW w:w="1051" w:type="pct"/>
            <w:tcBorders>
              <w:tl2br w:val="nil"/>
              <w:tr2bl w:val="nil"/>
            </w:tcBorders>
            <w:shd w:val="clear" w:color="auto" w:fill="auto"/>
            <w:noWrap/>
            <w:vAlign w:val="center"/>
          </w:tcPr>
          <w:p w14:paraId="77AD2E1B">
            <w:pPr>
              <w:spacing w:line="300" w:lineRule="exact"/>
              <w:rPr>
                <w:rFonts w:hint="default" w:ascii="Times New Roman" w:hAnsi="Times New Roman" w:cs="Times New Roman"/>
                <w:color w:val="auto"/>
                <w:szCs w:val="21"/>
              </w:rPr>
            </w:pPr>
            <w:r>
              <w:rPr>
                <w:rFonts w:hint="default" w:ascii="Times New Roman" w:hAnsi="Times New Roman" w:cs="Times New Roman"/>
                <w:color w:val="auto"/>
                <w:szCs w:val="21"/>
              </w:rPr>
              <w:t>（1）蒸汽：由2套天然气蒸汽发生器提供。本项目配置2台额定蒸发量1t/h的天然气蒸汽发生器，压力0.6～0.8Mpa，温度130-140℃,流量2000Kg/h；</w:t>
            </w:r>
          </w:p>
          <w:p w14:paraId="6830ED88">
            <w:pPr>
              <w:spacing w:line="300" w:lineRule="exact"/>
              <w:rPr>
                <w:rFonts w:hint="default" w:ascii="Times New Roman" w:hAnsi="Times New Roman" w:cs="Times New Roman"/>
                <w:color w:val="auto"/>
                <w:szCs w:val="21"/>
              </w:rPr>
            </w:pPr>
            <w:r>
              <w:rPr>
                <w:rFonts w:hint="default" w:ascii="Times New Roman" w:hAnsi="Times New Roman" w:cs="Times New Roman"/>
                <w:color w:val="auto"/>
                <w:szCs w:val="21"/>
              </w:rPr>
              <w:t>（2）压缩空气：新增3台空压机，压力0.5～0.8Mpa，流量：0.8～1.2m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/min。</w:t>
            </w:r>
          </w:p>
        </w:tc>
        <w:tc>
          <w:tcPr>
            <w:tcW w:w="1054" w:type="pct"/>
            <w:tcBorders>
              <w:tl2br w:val="nil"/>
              <w:tr2bl w:val="nil"/>
            </w:tcBorders>
            <w:shd w:val="clear" w:color="auto" w:fill="auto"/>
            <w:noWrap/>
            <w:vAlign w:val="center"/>
          </w:tcPr>
          <w:p w14:paraId="39D49E0A">
            <w:pPr>
              <w:spacing w:line="300" w:lineRule="exact"/>
              <w:rPr>
                <w:rFonts w:hint="default" w:ascii="Times New Roman" w:hAnsi="Times New Roman" w:cs="Times New Roman"/>
                <w:color w:val="auto"/>
                <w:szCs w:val="21"/>
              </w:rPr>
            </w:pPr>
            <w:r>
              <w:rPr>
                <w:rFonts w:hint="default" w:ascii="Times New Roman" w:hAnsi="Times New Roman" w:cs="Times New Roman"/>
                <w:color w:val="auto"/>
                <w:szCs w:val="21"/>
              </w:rPr>
              <w:t>（1）蒸汽：由2套天然气蒸汽发生器提供。配置2台额定蒸发量1t/h的天然气蒸汽发生器；</w:t>
            </w:r>
          </w:p>
          <w:p w14:paraId="2697F5CD">
            <w:pPr>
              <w:spacing w:line="300" w:lineRule="exact"/>
              <w:rPr>
                <w:rFonts w:hint="default" w:ascii="Times New Roman" w:hAnsi="Times New Roman" w:cs="Times New Roman"/>
                <w:color w:val="auto"/>
                <w:szCs w:val="21"/>
              </w:rPr>
            </w:pPr>
            <w:r>
              <w:rPr>
                <w:rFonts w:hint="default" w:ascii="Times New Roman" w:hAnsi="Times New Roman" w:cs="Times New Roman"/>
                <w:color w:val="auto"/>
                <w:szCs w:val="21"/>
              </w:rPr>
              <w:t>（2）压缩空气：3台空压机。</w:t>
            </w:r>
          </w:p>
        </w:tc>
        <w:tc>
          <w:tcPr>
            <w:tcW w:w="802" w:type="pct"/>
            <w:tcBorders>
              <w:tl2br w:val="nil"/>
              <w:tr2bl w:val="nil"/>
            </w:tcBorders>
            <w:shd w:val="clear" w:color="auto" w:fill="auto"/>
            <w:noWrap/>
            <w:vAlign w:val="center"/>
          </w:tcPr>
          <w:p w14:paraId="20E1A616">
            <w:pPr>
              <w:spacing w:line="300" w:lineRule="exact"/>
              <w:rPr>
                <w:rFonts w:hint="default" w:ascii="Times New Roman" w:hAnsi="Times New Roman" w:cs="Times New Roman"/>
                <w:color w:val="auto"/>
                <w:szCs w:val="21"/>
              </w:rPr>
            </w:pPr>
          </w:p>
        </w:tc>
      </w:tr>
      <w:tr w14:paraId="7C488B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15" w:hRule="atLeast"/>
        </w:trPr>
        <w:tc>
          <w:tcPr>
            <w:tcW w:w="119" w:type="pct"/>
            <w:vMerge w:val="restart"/>
            <w:tcBorders>
              <w:tl2br w:val="nil"/>
              <w:tr2bl w:val="nil"/>
            </w:tcBorders>
            <w:shd w:val="clear" w:color="auto" w:fill="auto"/>
            <w:noWrap/>
            <w:vAlign w:val="center"/>
          </w:tcPr>
          <w:p w14:paraId="56D71D9D">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环保工程</w:t>
            </w:r>
          </w:p>
        </w:tc>
        <w:tc>
          <w:tcPr>
            <w:tcW w:w="330" w:type="pct"/>
            <w:tcBorders>
              <w:tl2br w:val="nil"/>
              <w:tr2bl w:val="nil"/>
            </w:tcBorders>
            <w:shd w:val="clear" w:color="auto" w:fill="auto"/>
            <w:vAlign w:val="center"/>
          </w:tcPr>
          <w:p w14:paraId="7DEED5E6">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废气</w:t>
            </w:r>
          </w:p>
        </w:tc>
        <w:tc>
          <w:tcPr>
            <w:tcW w:w="934" w:type="pct"/>
            <w:tcBorders>
              <w:tl2br w:val="nil"/>
              <w:tr2bl w:val="nil"/>
            </w:tcBorders>
            <w:shd w:val="clear" w:color="auto" w:fill="auto"/>
            <w:vAlign w:val="center"/>
          </w:tcPr>
          <w:p w14:paraId="4831B3B4">
            <w:pPr>
              <w:widowControl/>
              <w:spacing w:line="300" w:lineRule="exact"/>
              <w:jc w:val="both"/>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现有项目16条生产线，共有5根排气筒。废气主要是感应加热炉使用电能加热产生的烟气，由抽烟罩吸附处理后通过15m排气筒排放。</w:t>
            </w:r>
          </w:p>
        </w:tc>
        <w:tc>
          <w:tcPr>
            <w:tcW w:w="708" w:type="pct"/>
            <w:tcBorders>
              <w:tl2br w:val="nil"/>
              <w:tr2bl w:val="nil"/>
            </w:tcBorders>
            <w:shd w:val="clear" w:color="auto" w:fill="auto"/>
            <w:vAlign w:val="center"/>
          </w:tcPr>
          <w:p w14:paraId="6F0AE7FF">
            <w:pPr>
              <w:widowControl/>
              <w:spacing w:line="300" w:lineRule="exact"/>
              <w:ind w:firstLine="420" w:firstLineChars="200"/>
              <w:jc w:val="both"/>
              <w:textAlignment w:val="top"/>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①剥壳除锈工序产生的颗粒物：剥壳除锈工序位于密闭车间内，产生的粉尘面源无组织排放；</w:t>
            </w:r>
          </w:p>
          <w:p w14:paraId="13A76F00">
            <w:pPr>
              <w:widowControl/>
              <w:spacing w:line="300" w:lineRule="exact"/>
              <w:ind w:firstLine="420" w:firstLineChars="200"/>
              <w:jc w:val="both"/>
              <w:textAlignment w:val="top"/>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②打磨工序产生的颗粒物：打磨工序位于密闭车间内，产生的粉尘经滤筒除尘设施处理后面源无组织排放。</w:t>
            </w:r>
          </w:p>
        </w:tc>
        <w:tc>
          <w:tcPr>
            <w:tcW w:w="1051" w:type="pct"/>
            <w:tcBorders>
              <w:tl2br w:val="nil"/>
              <w:tr2bl w:val="nil"/>
            </w:tcBorders>
            <w:shd w:val="clear" w:color="auto" w:fill="auto"/>
            <w:noWrap/>
            <w:vAlign w:val="center"/>
          </w:tcPr>
          <w:p w14:paraId="5F05D534">
            <w:pPr>
              <w:spacing w:line="300" w:lineRule="exact"/>
              <w:jc w:val="both"/>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①表面处理废气：全封闭环保节能型表面处理生产线，酸洗过程中产生的酸雾经引风机引入碱液喷淋吸收塔处理后，经</w:t>
            </w:r>
            <w:r>
              <w:rPr>
                <w:rFonts w:hint="default" w:ascii="Times New Roman" w:hAnsi="Times New Roman" w:cs="Times New Roman"/>
                <w:color w:val="auto"/>
                <w:kern w:val="0"/>
                <w:szCs w:val="21"/>
                <w:lang w:val="en-US" w:eastAsia="zh-CN" w:bidi="ar"/>
              </w:rPr>
              <w:t>1根</w:t>
            </w:r>
            <w:r>
              <w:rPr>
                <w:rFonts w:hint="default" w:ascii="Times New Roman" w:hAnsi="Times New Roman" w:cs="Times New Roman"/>
                <w:color w:val="auto"/>
                <w:kern w:val="0"/>
                <w:szCs w:val="21"/>
                <w:lang w:bidi="ar"/>
              </w:rPr>
              <w:t>18m排气筒排放；低位回用酸罐（池）废气、低位废酸罐（池）废气、盐酸储罐呼吸废气经管道引入碱液喷淋吸收塔处理后，经18m排气筒排放（与酸洗槽废气共用）</w:t>
            </w:r>
          </w:p>
          <w:p w14:paraId="6C936D9A">
            <w:pPr>
              <w:spacing w:line="300" w:lineRule="exact"/>
              <w:jc w:val="both"/>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②天然气燃烧废气由</w:t>
            </w:r>
            <w:r>
              <w:rPr>
                <w:rFonts w:hint="default" w:ascii="Times New Roman" w:hAnsi="Times New Roman" w:cs="Times New Roman"/>
                <w:color w:val="auto"/>
                <w:kern w:val="0"/>
                <w:szCs w:val="21"/>
                <w:lang w:val="en-US" w:eastAsia="zh-CN" w:bidi="ar"/>
              </w:rPr>
              <w:t>1根</w:t>
            </w:r>
            <w:r>
              <w:rPr>
                <w:rFonts w:hint="default" w:ascii="Times New Roman" w:hAnsi="Times New Roman" w:cs="Times New Roman"/>
                <w:color w:val="auto"/>
                <w:kern w:val="0"/>
                <w:szCs w:val="21"/>
                <w:lang w:bidi="ar"/>
              </w:rPr>
              <w:t>18m排气筒排放；</w:t>
            </w:r>
          </w:p>
          <w:p w14:paraId="40F926CF">
            <w:pPr>
              <w:spacing w:line="300" w:lineRule="exact"/>
              <w:jc w:val="both"/>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③沙发/床垫弹簧钢丝生产线剥壳除锈、打磨粉尘采用</w:t>
            </w:r>
            <w:r>
              <w:rPr>
                <w:rFonts w:hint="default" w:ascii="Times New Roman" w:hAnsi="Times New Roman" w:cs="Times New Roman"/>
                <w:color w:val="auto"/>
                <w:kern w:val="0"/>
                <w:szCs w:val="21"/>
                <w:lang w:val="en-US" w:eastAsia="zh-CN" w:bidi="ar"/>
              </w:rPr>
              <w:t>滤筒</w:t>
            </w:r>
            <w:r>
              <w:rPr>
                <w:rFonts w:hint="default" w:ascii="Times New Roman" w:hAnsi="Times New Roman" w:cs="Times New Roman"/>
                <w:color w:val="auto"/>
                <w:kern w:val="0"/>
                <w:szCs w:val="21"/>
                <w:lang w:bidi="ar"/>
              </w:rPr>
              <w:t>除尘器处理达标后由</w:t>
            </w:r>
            <w:r>
              <w:rPr>
                <w:rFonts w:hint="default" w:ascii="Times New Roman" w:hAnsi="Times New Roman" w:cs="Times New Roman"/>
                <w:color w:val="auto"/>
                <w:kern w:val="0"/>
                <w:szCs w:val="21"/>
                <w:lang w:val="en-US" w:eastAsia="zh-CN" w:bidi="ar"/>
              </w:rPr>
              <w:t>1根</w:t>
            </w:r>
            <w:r>
              <w:rPr>
                <w:rFonts w:hint="default" w:ascii="Times New Roman" w:hAnsi="Times New Roman" w:cs="Times New Roman"/>
                <w:color w:val="auto"/>
                <w:kern w:val="0"/>
                <w:szCs w:val="21"/>
                <w:lang w:bidi="ar"/>
              </w:rPr>
              <w:t>18m排气筒排放；</w:t>
            </w:r>
          </w:p>
          <w:p w14:paraId="6F50C7B6">
            <w:pPr>
              <w:spacing w:line="300" w:lineRule="exact"/>
              <w:jc w:val="both"/>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④在建工程的3条钢丝生产线废气治理措施整改：剥壳除锈、打磨粉尘采用</w:t>
            </w:r>
            <w:r>
              <w:rPr>
                <w:rFonts w:hint="default" w:ascii="Times New Roman" w:hAnsi="Times New Roman" w:cs="Times New Roman"/>
                <w:color w:val="auto"/>
                <w:kern w:val="0"/>
                <w:szCs w:val="21"/>
                <w:lang w:val="en-US" w:eastAsia="zh-CN" w:bidi="ar"/>
              </w:rPr>
              <w:t>滤筒</w:t>
            </w:r>
            <w:r>
              <w:rPr>
                <w:rFonts w:hint="default" w:ascii="Times New Roman" w:hAnsi="Times New Roman" w:cs="Times New Roman"/>
                <w:color w:val="auto"/>
                <w:kern w:val="0"/>
                <w:szCs w:val="21"/>
                <w:lang w:bidi="ar"/>
              </w:rPr>
              <w:t>除尘器处理达标后由</w:t>
            </w:r>
            <w:r>
              <w:rPr>
                <w:rFonts w:hint="default" w:ascii="Times New Roman" w:hAnsi="Times New Roman" w:cs="Times New Roman"/>
                <w:color w:val="auto"/>
                <w:kern w:val="0"/>
                <w:szCs w:val="21"/>
                <w:lang w:val="en-US" w:eastAsia="zh-CN" w:bidi="ar"/>
              </w:rPr>
              <w:t>1根</w:t>
            </w:r>
            <w:r>
              <w:rPr>
                <w:rFonts w:hint="default" w:ascii="Times New Roman" w:hAnsi="Times New Roman" w:cs="Times New Roman"/>
                <w:color w:val="auto"/>
                <w:kern w:val="0"/>
                <w:szCs w:val="21"/>
                <w:lang w:bidi="ar"/>
              </w:rPr>
              <w:t>18m排气筒排放</w:t>
            </w:r>
          </w:p>
        </w:tc>
        <w:tc>
          <w:tcPr>
            <w:tcW w:w="1054" w:type="pct"/>
            <w:tcBorders>
              <w:tl2br w:val="nil"/>
              <w:tr2bl w:val="nil"/>
            </w:tcBorders>
            <w:shd w:val="clear" w:color="auto" w:fill="auto"/>
            <w:noWrap/>
            <w:vAlign w:val="center"/>
          </w:tcPr>
          <w:p w14:paraId="6052AD2A">
            <w:pPr>
              <w:spacing w:line="300" w:lineRule="exact"/>
              <w:jc w:val="both"/>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①16条PC生产线，废气主要是感应加热炉使用电能加热产生的烟气，由抽烟罩吸附处理后通过15m排气筒排放(共有5根排气筒)；</w:t>
            </w:r>
          </w:p>
          <w:p w14:paraId="245A34B4">
            <w:pPr>
              <w:spacing w:line="300" w:lineRule="exact"/>
              <w:jc w:val="both"/>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②表面处理废气：酸洗槽废气、低位回用酸罐（池）废气、低位废酸罐（池）废气、</w:t>
            </w:r>
            <w:r>
              <w:rPr>
                <w:rFonts w:hint="default" w:ascii="Times New Roman" w:hAnsi="Times New Roman" w:cs="Times New Roman" w:eastAsiaTheme="minorEastAsia"/>
                <w:color w:val="auto"/>
              </w:rPr>
              <w:t>盐酸储罐呼吸废气</w:t>
            </w:r>
            <w:r>
              <w:rPr>
                <w:rFonts w:hint="default" w:ascii="Times New Roman" w:hAnsi="Times New Roman" w:cs="Times New Roman"/>
                <w:color w:val="auto"/>
                <w:kern w:val="0"/>
                <w:szCs w:val="21"/>
                <w:lang w:bidi="ar"/>
              </w:rPr>
              <w:t>经管道引入碱液喷淋吸收塔(</w:t>
            </w:r>
            <w:r>
              <w:rPr>
                <w:rFonts w:hint="default" w:ascii="Times New Roman" w:hAnsi="Times New Roman" w:cs="Times New Roman" w:eastAsiaTheme="minorEastAsia"/>
                <w:snapToGrid w:val="0"/>
                <w:color w:val="auto"/>
                <w:kern w:val="0"/>
                <w:szCs w:val="21"/>
              </w:rPr>
              <w:t>1用1备</w:t>
            </w:r>
            <w:r>
              <w:rPr>
                <w:rFonts w:hint="default" w:ascii="Times New Roman" w:hAnsi="Times New Roman" w:cs="Times New Roman"/>
                <w:color w:val="auto"/>
                <w:kern w:val="0"/>
                <w:szCs w:val="21"/>
                <w:lang w:bidi="ar"/>
              </w:rPr>
              <w:t>)处理后，经1根18m排气筒排放；</w:t>
            </w:r>
          </w:p>
          <w:p w14:paraId="48B10544">
            <w:pPr>
              <w:spacing w:line="300" w:lineRule="exact"/>
              <w:jc w:val="both"/>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③天然气燃烧废气由18m排气筒排放；</w:t>
            </w:r>
          </w:p>
          <w:p w14:paraId="55FD8DAE">
            <w:pPr>
              <w:spacing w:line="300" w:lineRule="exact"/>
              <w:jc w:val="both"/>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④钢丝生产线（剥壳除锈、打磨粉尘）采用</w:t>
            </w:r>
            <w:r>
              <w:rPr>
                <w:rFonts w:hint="default" w:ascii="Times New Roman" w:hAnsi="Times New Roman" w:cs="Times New Roman"/>
                <w:color w:val="auto"/>
                <w:kern w:val="0"/>
                <w:szCs w:val="21"/>
                <w:lang w:val="en-US" w:eastAsia="zh-CN" w:bidi="ar"/>
              </w:rPr>
              <w:t>滤筒</w:t>
            </w:r>
            <w:r>
              <w:rPr>
                <w:rFonts w:hint="default" w:ascii="Times New Roman" w:hAnsi="Times New Roman" w:cs="Times New Roman"/>
                <w:color w:val="auto"/>
                <w:kern w:val="0"/>
                <w:szCs w:val="21"/>
                <w:lang w:bidi="ar"/>
              </w:rPr>
              <w:t>除尘器处理达标后由18m排气筒排放（2根）。</w:t>
            </w:r>
          </w:p>
        </w:tc>
        <w:tc>
          <w:tcPr>
            <w:tcW w:w="802" w:type="pct"/>
            <w:tcBorders>
              <w:tl2br w:val="nil"/>
              <w:tr2bl w:val="nil"/>
            </w:tcBorders>
            <w:shd w:val="clear" w:color="auto" w:fill="auto"/>
            <w:noWrap/>
            <w:vAlign w:val="center"/>
          </w:tcPr>
          <w:p w14:paraId="0F73D1F6">
            <w:pPr>
              <w:spacing w:line="300" w:lineRule="exact"/>
              <w:rPr>
                <w:rFonts w:hint="default" w:ascii="Times New Roman" w:hAnsi="Times New Roman" w:cs="Times New Roman"/>
                <w:color w:val="auto"/>
                <w:szCs w:val="21"/>
              </w:rPr>
            </w:pPr>
          </w:p>
        </w:tc>
      </w:tr>
      <w:tr w14:paraId="0E4364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119" w:type="pct"/>
            <w:vMerge w:val="continue"/>
            <w:tcBorders>
              <w:tl2br w:val="nil"/>
              <w:tr2bl w:val="nil"/>
            </w:tcBorders>
            <w:shd w:val="clear" w:color="auto" w:fill="auto"/>
            <w:noWrap/>
            <w:vAlign w:val="center"/>
          </w:tcPr>
          <w:p w14:paraId="573A48EB">
            <w:pPr>
              <w:spacing w:line="300" w:lineRule="exact"/>
              <w:jc w:val="center"/>
              <w:rPr>
                <w:rFonts w:hint="default" w:ascii="Times New Roman" w:hAnsi="Times New Roman" w:cs="Times New Roman"/>
                <w:color w:val="auto"/>
                <w:szCs w:val="21"/>
              </w:rPr>
            </w:pPr>
          </w:p>
        </w:tc>
        <w:tc>
          <w:tcPr>
            <w:tcW w:w="330" w:type="pct"/>
            <w:tcBorders>
              <w:tl2br w:val="nil"/>
              <w:tr2bl w:val="nil"/>
            </w:tcBorders>
            <w:shd w:val="clear" w:color="auto" w:fill="auto"/>
            <w:vAlign w:val="center"/>
          </w:tcPr>
          <w:p w14:paraId="503001C0">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固废</w:t>
            </w:r>
          </w:p>
        </w:tc>
        <w:tc>
          <w:tcPr>
            <w:tcW w:w="934" w:type="pct"/>
            <w:tcBorders>
              <w:tl2br w:val="nil"/>
              <w:tr2bl w:val="nil"/>
            </w:tcBorders>
            <w:shd w:val="clear" w:color="auto" w:fill="auto"/>
            <w:vAlign w:val="center"/>
          </w:tcPr>
          <w:p w14:paraId="206163A6">
            <w:pPr>
              <w:widowControl/>
              <w:spacing w:line="300" w:lineRule="exact"/>
              <w:jc w:val="both"/>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工业废物储存间、危废间、垃圾桶等</w:t>
            </w:r>
          </w:p>
        </w:tc>
        <w:tc>
          <w:tcPr>
            <w:tcW w:w="708" w:type="pct"/>
            <w:tcBorders>
              <w:tl2br w:val="nil"/>
              <w:tr2bl w:val="nil"/>
            </w:tcBorders>
            <w:shd w:val="clear" w:color="auto" w:fill="auto"/>
            <w:vAlign w:val="center"/>
          </w:tcPr>
          <w:p w14:paraId="2B93C646">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依托现有</w:t>
            </w:r>
          </w:p>
        </w:tc>
        <w:tc>
          <w:tcPr>
            <w:tcW w:w="1051" w:type="pct"/>
            <w:tcBorders>
              <w:tl2br w:val="nil"/>
              <w:tr2bl w:val="nil"/>
            </w:tcBorders>
            <w:shd w:val="clear" w:color="auto" w:fill="auto"/>
            <w:noWrap/>
            <w:vAlign w:val="center"/>
          </w:tcPr>
          <w:p w14:paraId="7690CDC9">
            <w:pPr>
              <w:spacing w:line="300" w:lineRule="exact"/>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依托现有</w:t>
            </w:r>
          </w:p>
        </w:tc>
        <w:tc>
          <w:tcPr>
            <w:tcW w:w="1054" w:type="pct"/>
            <w:tcBorders>
              <w:tl2br w:val="nil"/>
              <w:tr2bl w:val="nil"/>
            </w:tcBorders>
            <w:shd w:val="clear" w:color="auto" w:fill="auto"/>
            <w:noWrap/>
            <w:vAlign w:val="center"/>
          </w:tcPr>
          <w:p w14:paraId="10D27B6B">
            <w:pPr>
              <w:spacing w:line="300" w:lineRule="exact"/>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工业废物储存间、危废间、垃圾桶等</w:t>
            </w:r>
          </w:p>
        </w:tc>
        <w:tc>
          <w:tcPr>
            <w:tcW w:w="802" w:type="pct"/>
            <w:tcBorders>
              <w:tl2br w:val="nil"/>
              <w:tr2bl w:val="nil"/>
            </w:tcBorders>
            <w:shd w:val="clear" w:color="auto" w:fill="auto"/>
            <w:noWrap/>
            <w:vAlign w:val="center"/>
          </w:tcPr>
          <w:p w14:paraId="6968AEC4">
            <w:pPr>
              <w:spacing w:line="300" w:lineRule="exact"/>
              <w:rPr>
                <w:rFonts w:hint="default" w:ascii="Times New Roman" w:hAnsi="Times New Roman" w:cs="Times New Roman"/>
                <w:color w:val="auto"/>
                <w:szCs w:val="21"/>
              </w:rPr>
            </w:pPr>
          </w:p>
        </w:tc>
      </w:tr>
      <w:tr w14:paraId="0956E3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119" w:type="pct"/>
            <w:vMerge w:val="continue"/>
            <w:tcBorders>
              <w:tl2br w:val="nil"/>
              <w:tr2bl w:val="nil"/>
            </w:tcBorders>
            <w:shd w:val="clear" w:color="auto" w:fill="auto"/>
            <w:noWrap/>
            <w:vAlign w:val="center"/>
          </w:tcPr>
          <w:p w14:paraId="7B02C52C">
            <w:pPr>
              <w:spacing w:line="300" w:lineRule="exact"/>
              <w:jc w:val="center"/>
              <w:rPr>
                <w:rFonts w:hint="default" w:ascii="Times New Roman" w:hAnsi="Times New Roman" w:cs="Times New Roman"/>
                <w:color w:val="auto"/>
                <w:szCs w:val="21"/>
              </w:rPr>
            </w:pPr>
          </w:p>
        </w:tc>
        <w:tc>
          <w:tcPr>
            <w:tcW w:w="330" w:type="pct"/>
            <w:tcBorders>
              <w:tl2br w:val="nil"/>
              <w:tr2bl w:val="nil"/>
            </w:tcBorders>
            <w:shd w:val="clear" w:color="auto" w:fill="auto"/>
            <w:vAlign w:val="center"/>
          </w:tcPr>
          <w:p w14:paraId="4BD7BA40">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噪声</w:t>
            </w:r>
          </w:p>
        </w:tc>
        <w:tc>
          <w:tcPr>
            <w:tcW w:w="934" w:type="pct"/>
            <w:tcBorders>
              <w:tl2br w:val="nil"/>
              <w:tr2bl w:val="nil"/>
            </w:tcBorders>
            <w:shd w:val="clear" w:color="auto" w:fill="auto"/>
            <w:vAlign w:val="center"/>
          </w:tcPr>
          <w:p w14:paraId="093AEA36">
            <w:pPr>
              <w:widowControl/>
              <w:spacing w:line="300" w:lineRule="exact"/>
              <w:jc w:val="both"/>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隔音、减振措施</w:t>
            </w:r>
          </w:p>
        </w:tc>
        <w:tc>
          <w:tcPr>
            <w:tcW w:w="708" w:type="pct"/>
            <w:tcBorders>
              <w:tl2br w:val="nil"/>
              <w:tr2bl w:val="nil"/>
            </w:tcBorders>
            <w:shd w:val="clear" w:color="auto" w:fill="auto"/>
            <w:vAlign w:val="center"/>
          </w:tcPr>
          <w:p w14:paraId="1C1332C5">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隔音、减振措施</w:t>
            </w:r>
          </w:p>
        </w:tc>
        <w:tc>
          <w:tcPr>
            <w:tcW w:w="1051" w:type="pct"/>
            <w:tcBorders>
              <w:tl2br w:val="nil"/>
              <w:tr2bl w:val="nil"/>
            </w:tcBorders>
            <w:shd w:val="clear" w:color="auto" w:fill="auto"/>
            <w:noWrap/>
            <w:vAlign w:val="center"/>
          </w:tcPr>
          <w:p w14:paraId="0E92B3C3">
            <w:pPr>
              <w:spacing w:line="300" w:lineRule="exact"/>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隔音、减振措施</w:t>
            </w:r>
          </w:p>
        </w:tc>
        <w:tc>
          <w:tcPr>
            <w:tcW w:w="1054" w:type="pct"/>
            <w:tcBorders>
              <w:tl2br w:val="nil"/>
              <w:tr2bl w:val="nil"/>
            </w:tcBorders>
            <w:shd w:val="clear" w:color="auto" w:fill="auto"/>
            <w:noWrap/>
            <w:vAlign w:val="center"/>
          </w:tcPr>
          <w:p w14:paraId="22478FDF">
            <w:pPr>
              <w:spacing w:line="300" w:lineRule="exact"/>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隔音、减振措施</w:t>
            </w:r>
          </w:p>
        </w:tc>
        <w:tc>
          <w:tcPr>
            <w:tcW w:w="802" w:type="pct"/>
            <w:tcBorders>
              <w:tl2br w:val="nil"/>
              <w:tr2bl w:val="nil"/>
            </w:tcBorders>
            <w:shd w:val="clear" w:color="auto" w:fill="auto"/>
            <w:noWrap/>
            <w:vAlign w:val="center"/>
          </w:tcPr>
          <w:p w14:paraId="0E55D3D6">
            <w:pPr>
              <w:spacing w:line="300" w:lineRule="exact"/>
              <w:rPr>
                <w:rFonts w:hint="default" w:ascii="Times New Roman" w:hAnsi="Times New Roman" w:cs="Times New Roman"/>
                <w:color w:val="auto"/>
                <w:szCs w:val="21"/>
              </w:rPr>
            </w:pPr>
          </w:p>
        </w:tc>
      </w:tr>
      <w:tr w14:paraId="4B50CB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15" w:hRule="atLeast"/>
        </w:trPr>
        <w:tc>
          <w:tcPr>
            <w:tcW w:w="119" w:type="pct"/>
            <w:vMerge w:val="continue"/>
            <w:tcBorders>
              <w:tl2br w:val="nil"/>
              <w:tr2bl w:val="nil"/>
            </w:tcBorders>
            <w:shd w:val="clear" w:color="auto" w:fill="auto"/>
            <w:noWrap/>
            <w:vAlign w:val="center"/>
          </w:tcPr>
          <w:p w14:paraId="52E9A717">
            <w:pPr>
              <w:spacing w:line="300" w:lineRule="exact"/>
              <w:jc w:val="center"/>
              <w:rPr>
                <w:rFonts w:hint="default" w:ascii="Times New Roman" w:hAnsi="Times New Roman" w:cs="Times New Roman"/>
                <w:color w:val="auto"/>
                <w:szCs w:val="21"/>
              </w:rPr>
            </w:pPr>
          </w:p>
        </w:tc>
        <w:tc>
          <w:tcPr>
            <w:tcW w:w="330" w:type="pct"/>
            <w:tcBorders>
              <w:tl2br w:val="nil"/>
              <w:tr2bl w:val="nil"/>
            </w:tcBorders>
            <w:shd w:val="clear" w:color="auto" w:fill="auto"/>
            <w:vAlign w:val="center"/>
          </w:tcPr>
          <w:p w14:paraId="592D2F7C">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生活污水</w:t>
            </w:r>
          </w:p>
        </w:tc>
        <w:tc>
          <w:tcPr>
            <w:tcW w:w="934" w:type="pct"/>
            <w:tcBorders>
              <w:tl2br w:val="nil"/>
              <w:tr2bl w:val="nil"/>
            </w:tcBorders>
            <w:shd w:val="clear" w:color="auto" w:fill="auto"/>
            <w:vAlign w:val="center"/>
          </w:tcPr>
          <w:p w14:paraId="12FAFF02">
            <w:pPr>
              <w:widowControl/>
              <w:spacing w:line="300" w:lineRule="exact"/>
              <w:jc w:val="both"/>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生活污水经化粪池处理后暂存于企业原污水处理设施（现已停用）</w:t>
            </w:r>
          </w:p>
        </w:tc>
        <w:tc>
          <w:tcPr>
            <w:tcW w:w="708" w:type="pct"/>
            <w:tcBorders>
              <w:tl2br w:val="nil"/>
              <w:tr2bl w:val="nil"/>
            </w:tcBorders>
            <w:shd w:val="clear" w:color="auto" w:fill="auto"/>
            <w:noWrap/>
            <w:vAlign w:val="center"/>
          </w:tcPr>
          <w:p w14:paraId="024C679D">
            <w:pPr>
              <w:widowControl/>
              <w:spacing w:line="300" w:lineRule="exact"/>
              <w:jc w:val="left"/>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项目不新增员工，生活污水维持原状</w:t>
            </w:r>
          </w:p>
        </w:tc>
        <w:tc>
          <w:tcPr>
            <w:tcW w:w="1051" w:type="pct"/>
            <w:tcBorders>
              <w:tl2br w:val="nil"/>
              <w:tr2bl w:val="nil"/>
            </w:tcBorders>
            <w:shd w:val="clear" w:color="auto" w:fill="auto"/>
            <w:noWrap/>
            <w:vAlign w:val="center"/>
          </w:tcPr>
          <w:p w14:paraId="13B77ADF">
            <w:pPr>
              <w:spacing w:line="300" w:lineRule="exact"/>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生活污水经化粪池处理后，排入市政污水管道，汇入金古北片区污水处理厂</w:t>
            </w:r>
          </w:p>
        </w:tc>
        <w:tc>
          <w:tcPr>
            <w:tcW w:w="1054" w:type="pct"/>
            <w:tcBorders>
              <w:tl2br w:val="nil"/>
              <w:tr2bl w:val="nil"/>
            </w:tcBorders>
            <w:shd w:val="clear" w:color="auto" w:fill="auto"/>
            <w:noWrap/>
            <w:vAlign w:val="center"/>
          </w:tcPr>
          <w:p w14:paraId="7CCE134C">
            <w:pPr>
              <w:spacing w:line="300" w:lineRule="exact"/>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生活污水经化粪池处理后，排入市政污水管道，汇入金古北片区污水处理厂</w:t>
            </w:r>
          </w:p>
        </w:tc>
        <w:tc>
          <w:tcPr>
            <w:tcW w:w="802" w:type="pct"/>
            <w:tcBorders>
              <w:tl2br w:val="nil"/>
              <w:tr2bl w:val="nil"/>
            </w:tcBorders>
            <w:shd w:val="clear" w:color="auto" w:fill="auto"/>
            <w:noWrap/>
            <w:vAlign w:val="center"/>
          </w:tcPr>
          <w:p w14:paraId="3E073258">
            <w:pPr>
              <w:spacing w:line="300" w:lineRule="exact"/>
              <w:rPr>
                <w:rFonts w:hint="default" w:ascii="Times New Roman" w:hAnsi="Times New Roman" w:cs="Times New Roman"/>
                <w:color w:val="auto"/>
                <w:szCs w:val="21"/>
              </w:rPr>
            </w:pPr>
          </w:p>
        </w:tc>
      </w:tr>
      <w:tr w14:paraId="3FD32E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06" w:hRule="atLeast"/>
        </w:trPr>
        <w:tc>
          <w:tcPr>
            <w:tcW w:w="119" w:type="pct"/>
            <w:vMerge w:val="continue"/>
            <w:tcBorders>
              <w:tl2br w:val="nil"/>
              <w:tr2bl w:val="nil"/>
            </w:tcBorders>
            <w:shd w:val="clear" w:color="auto" w:fill="auto"/>
            <w:noWrap/>
            <w:vAlign w:val="center"/>
          </w:tcPr>
          <w:p w14:paraId="4F4F1FD8">
            <w:pPr>
              <w:spacing w:line="300" w:lineRule="exact"/>
              <w:jc w:val="center"/>
              <w:rPr>
                <w:rFonts w:hint="default" w:ascii="Times New Roman" w:hAnsi="Times New Roman" w:cs="Times New Roman"/>
                <w:color w:val="auto"/>
                <w:szCs w:val="21"/>
              </w:rPr>
            </w:pPr>
          </w:p>
        </w:tc>
        <w:tc>
          <w:tcPr>
            <w:tcW w:w="330" w:type="pct"/>
            <w:tcBorders>
              <w:tl2br w:val="nil"/>
              <w:tr2bl w:val="nil"/>
            </w:tcBorders>
            <w:shd w:val="clear" w:color="auto" w:fill="auto"/>
            <w:vAlign w:val="center"/>
          </w:tcPr>
          <w:p w14:paraId="2F6C2340">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生产废水</w:t>
            </w:r>
          </w:p>
        </w:tc>
        <w:tc>
          <w:tcPr>
            <w:tcW w:w="934" w:type="pct"/>
            <w:tcBorders>
              <w:tl2br w:val="nil"/>
              <w:tr2bl w:val="nil"/>
            </w:tcBorders>
            <w:shd w:val="clear" w:color="auto" w:fill="auto"/>
            <w:vAlign w:val="center"/>
          </w:tcPr>
          <w:p w14:paraId="1C4054B3">
            <w:pPr>
              <w:widowControl/>
              <w:spacing w:line="300" w:lineRule="exact"/>
              <w:jc w:val="both"/>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感应加热炉用冷却水循环系统循环水量1600m</w:t>
            </w:r>
            <w:r>
              <w:rPr>
                <w:rFonts w:hint="default" w:ascii="Times New Roman" w:hAnsi="Times New Roman" w:cs="Times New Roman"/>
                <w:color w:val="auto"/>
                <w:kern w:val="0"/>
                <w:szCs w:val="21"/>
                <w:vertAlign w:val="superscript"/>
                <w:lang w:bidi="ar"/>
              </w:rPr>
              <w:t>3</w:t>
            </w:r>
            <w:r>
              <w:rPr>
                <w:rFonts w:hint="default" w:ascii="Times New Roman" w:hAnsi="Times New Roman" w:cs="Times New Roman"/>
                <w:color w:val="auto"/>
                <w:kern w:val="0"/>
                <w:szCs w:val="21"/>
                <w:lang w:bidi="ar"/>
              </w:rPr>
              <w:t>/h，回水水温升高。回水余压上冷却塔冷却降温后回到循环水泵房吸水井，再用加压泵送至车间循环使用。</w:t>
            </w:r>
          </w:p>
        </w:tc>
        <w:tc>
          <w:tcPr>
            <w:tcW w:w="708" w:type="pct"/>
            <w:tcBorders>
              <w:tl2br w:val="nil"/>
              <w:tr2bl w:val="nil"/>
            </w:tcBorders>
            <w:shd w:val="clear" w:color="auto" w:fill="auto"/>
            <w:noWrap/>
            <w:vAlign w:val="center"/>
          </w:tcPr>
          <w:p w14:paraId="4F5FAC87">
            <w:pPr>
              <w:widowControl/>
              <w:spacing w:line="300" w:lineRule="exact"/>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冷却废水循环使用，不外排</w:t>
            </w:r>
          </w:p>
        </w:tc>
        <w:tc>
          <w:tcPr>
            <w:tcW w:w="1051" w:type="pct"/>
            <w:tcBorders>
              <w:tl2br w:val="nil"/>
              <w:tr2bl w:val="nil"/>
            </w:tcBorders>
            <w:shd w:val="clear" w:color="auto" w:fill="auto"/>
            <w:noWrap/>
            <w:vAlign w:val="center"/>
          </w:tcPr>
          <w:p w14:paraId="7F81EC13">
            <w:pPr>
              <w:spacing w:line="300" w:lineRule="exact"/>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新建</w:t>
            </w:r>
            <w:r>
              <w:rPr>
                <w:rFonts w:hint="default" w:ascii="Times New Roman" w:hAnsi="Times New Roman" w:cs="Times New Roman"/>
                <w:color w:val="auto"/>
                <w:szCs w:val="21"/>
              </w:rPr>
              <w:t>总处理能力为200m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/d的厂区污水处理站</w:t>
            </w:r>
          </w:p>
        </w:tc>
        <w:tc>
          <w:tcPr>
            <w:tcW w:w="1054" w:type="pct"/>
            <w:tcBorders>
              <w:tl2br w:val="nil"/>
              <w:tr2bl w:val="nil"/>
            </w:tcBorders>
            <w:shd w:val="clear" w:color="auto" w:fill="auto"/>
            <w:noWrap/>
            <w:vAlign w:val="center"/>
          </w:tcPr>
          <w:p w14:paraId="1445708E">
            <w:pPr>
              <w:spacing w:line="300" w:lineRule="exact"/>
              <w:rPr>
                <w:rFonts w:hint="default" w:ascii="Times New Roman" w:hAnsi="Times New Roman" w:cs="Times New Roman"/>
                <w:color w:val="auto"/>
                <w:szCs w:val="21"/>
              </w:rPr>
            </w:pPr>
            <w:r>
              <w:rPr>
                <w:rFonts w:hint="default" w:ascii="Times New Roman" w:hAnsi="Times New Roman" w:cs="Times New Roman"/>
                <w:color w:val="auto"/>
                <w:szCs w:val="21"/>
              </w:rPr>
              <w:t>设备冷却水系统；总处理能力为200m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/d的厂区污水处理站</w:t>
            </w:r>
          </w:p>
        </w:tc>
        <w:tc>
          <w:tcPr>
            <w:tcW w:w="802" w:type="pct"/>
            <w:tcBorders>
              <w:tl2br w:val="nil"/>
              <w:tr2bl w:val="nil"/>
            </w:tcBorders>
            <w:shd w:val="clear" w:color="auto" w:fill="auto"/>
            <w:noWrap/>
            <w:vAlign w:val="center"/>
          </w:tcPr>
          <w:p w14:paraId="4CA6D956">
            <w:pPr>
              <w:spacing w:line="300" w:lineRule="exact"/>
              <w:rPr>
                <w:rFonts w:hint="default" w:ascii="Times New Roman" w:hAnsi="Times New Roman" w:cs="Times New Roman"/>
                <w:color w:val="auto"/>
                <w:szCs w:val="21"/>
              </w:rPr>
            </w:pPr>
          </w:p>
        </w:tc>
      </w:tr>
    </w:tbl>
    <w:p w14:paraId="13DC0549">
      <w:pPr>
        <w:rPr>
          <w:rFonts w:hint="default" w:ascii="Times New Roman" w:hAnsi="Times New Roman" w:cs="Times New Roman"/>
          <w:color w:val="auto"/>
        </w:rPr>
      </w:pPr>
    </w:p>
    <w:p w14:paraId="7BDFD41C">
      <w:pPr>
        <w:pStyle w:val="30"/>
        <w:spacing w:before="0" w:beforeAutospacing="0" w:after="0" w:afterAutospacing="0"/>
        <w:jc w:val="both"/>
        <w:outlineLvl w:val="0"/>
        <w:rPr>
          <w:rFonts w:hint="default" w:ascii="Times New Roman" w:hAnsi="Times New Roman" w:eastAsia="黑体" w:cs="Times New Roman"/>
          <w:snapToGrid w:val="0"/>
          <w:color w:val="auto"/>
          <w:sz w:val="32"/>
          <w:szCs w:val="32"/>
        </w:rPr>
        <w:sectPr>
          <w:pgSz w:w="23811" w:h="16838" w:orient="landscape"/>
          <w:pgMar w:top="1361" w:right="1417" w:bottom="1361" w:left="1417" w:header="964" w:footer="964" w:gutter="0"/>
          <w:pgBorders>
            <w:top w:val="none" w:sz="0" w:space="0"/>
            <w:left w:val="none" w:sz="0" w:space="0"/>
            <w:bottom w:val="none" w:sz="0" w:space="0"/>
            <w:right w:val="none" w:sz="0" w:space="0"/>
          </w:pgBorders>
          <w:cols w:space="720" w:num="1"/>
          <w:docGrid w:type="lines" w:linePitch="378" w:charSpace="0"/>
        </w:sectPr>
      </w:pPr>
    </w:p>
    <w:tbl>
      <w:tblPr>
        <w:tblStyle w:val="3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10"/>
        <w:gridCol w:w="8877"/>
      </w:tblGrid>
      <w:tr w14:paraId="12183F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21" w:hRule="atLeast"/>
          <w:jc w:val="center"/>
        </w:trPr>
        <w:tc>
          <w:tcPr>
            <w:tcW w:w="221" w:type="pct"/>
            <w:vAlign w:val="center"/>
          </w:tcPr>
          <w:p w14:paraId="2E5BEAEA">
            <w:pPr>
              <w:pStyle w:val="30"/>
              <w:widowControl w:val="0"/>
              <w:adjustRightInd w:val="0"/>
              <w:spacing w:before="0" w:beforeAutospacing="0" w:after="0" w:afterAutospacing="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w:t>
            </w:r>
          </w:p>
          <w:p w14:paraId="2A14FFD7">
            <w:pPr>
              <w:pStyle w:val="30"/>
              <w:widowControl w:val="0"/>
              <w:adjustRightInd w:val="0"/>
              <w:spacing w:before="0" w:beforeAutospacing="0" w:after="0" w:afterAutospacing="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内容</w:t>
            </w:r>
          </w:p>
        </w:tc>
        <w:tc>
          <w:tcPr>
            <w:tcW w:w="4778" w:type="pct"/>
          </w:tcPr>
          <w:p w14:paraId="2214D760">
            <w:pPr>
              <w:pStyle w:val="5"/>
              <w:keepNext w:val="0"/>
              <w:keepLines w:val="0"/>
              <w:pageBreakBefore w:val="0"/>
              <w:widowControl w:val="0"/>
              <w:kinsoku/>
              <w:wordWrap/>
              <w:overflowPunct/>
              <w:topLinePunct w:val="0"/>
              <w:autoSpaceDE/>
              <w:autoSpaceDN/>
              <w:bidi w:val="0"/>
              <w:adjustRightInd w:val="0"/>
              <w:snapToGrid w:val="0"/>
              <w:spacing w:before="115" w:beforeLines="30" w:after="226" w:afterLines="60" w:afterAutospacing="0" w:line="240" w:lineRule="auto"/>
              <w:textAlignment w:val="auto"/>
              <w:rPr>
                <w:rFonts w:hint="default" w:ascii="Times New Roman" w:hAnsi="Times New Roman" w:cs="Times New Roman"/>
                <w:color w:val="auto"/>
              </w:rPr>
            </w:pPr>
            <w:bookmarkStart w:id="90" w:name="_Toc20324"/>
            <w:bookmarkStart w:id="91" w:name="_Toc32289"/>
            <w:bookmarkStart w:id="92" w:name="_Toc219"/>
            <w:bookmarkStart w:id="93" w:name="_Toc17928"/>
            <w:bookmarkStart w:id="94" w:name="_Toc15514"/>
            <w:bookmarkStart w:id="95" w:name="_Toc27762"/>
            <w:r>
              <w:rPr>
                <w:rFonts w:hint="default" w:ascii="Times New Roman" w:hAnsi="Times New Roman" w:cs="Times New Roman"/>
                <w:color w:val="auto"/>
              </w:rPr>
              <w:t>2.2.3产品规模及方案</w:t>
            </w:r>
          </w:p>
          <w:p w14:paraId="743B0AF7">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本项目完成后，</w:t>
            </w:r>
            <w:bookmarkStart w:id="96" w:name="_Hlk118728332"/>
            <w:r>
              <w:rPr>
                <w:rFonts w:hint="default" w:ascii="Times New Roman" w:hAnsi="Times New Roman" w:cs="Times New Roman"/>
                <w:color w:val="auto"/>
                <w:sz w:val="24"/>
                <w:szCs w:val="24"/>
                <w:highlight w:val="none"/>
              </w:rPr>
              <w:t>新增产品方案：</w:t>
            </w:r>
            <w:r>
              <w:rPr>
                <w:rFonts w:hint="default" w:ascii="Times New Roman" w:hAnsi="Times New Roman" w:cs="Times New Roman"/>
                <w:color w:val="auto"/>
                <w:sz w:val="24"/>
                <w:szCs w:val="24"/>
                <w:highlight w:val="none"/>
                <w:lang w:val="en-US" w:eastAsia="zh-CN"/>
              </w:rPr>
              <w:t>12</w:t>
            </w:r>
            <w:r>
              <w:rPr>
                <w:rFonts w:hint="default" w:ascii="Times New Roman" w:hAnsi="Times New Roman" w:cs="Times New Roman"/>
                <w:color w:val="auto"/>
                <w:sz w:val="24"/>
                <w:szCs w:val="24"/>
                <w:highlight w:val="none"/>
              </w:rPr>
              <w:t>万吨/年</w:t>
            </w:r>
            <w:bookmarkEnd w:id="96"/>
            <w:r>
              <w:rPr>
                <w:rFonts w:hint="default" w:ascii="Times New Roman" w:hAnsi="Times New Roman" w:cs="Times New Roman"/>
                <w:color w:val="auto"/>
                <w:sz w:val="24"/>
                <w:szCs w:val="24"/>
                <w:highlight w:val="none"/>
              </w:rPr>
              <w:t>沙发/床垫弹簧钢丝（表2.2-3），配套表面处理能力15万吨/年（表2.2-4）。全厂产品方案见表2.2-5。</w:t>
            </w:r>
          </w:p>
          <w:p w14:paraId="0266F75E">
            <w:pPr>
              <w:pStyle w:val="7"/>
              <w:spacing w:before="75" w:beforeLines="20" w:after="75" w:afterLines="2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表2.2-3 </w:t>
            </w:r>
            <w:r>
              <w:rPr>
                <w:rFonts w:hint="eastAsia"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本项目新增产品方案（沙发/床垫弹簧钢丝）</w:t>
            </w:r>
          </w:p>
          <w:tbl>
            <w:tblPr>
              <w:tblStyle w:val="34"/>
              <w:tblW w:w="8658" w:type="dxa"/>
              <w:tblInd w:w="0" w:type="dxa"/>
              <w:tblLayout w:type="fixed"/>
              <w:tblCellMar>
                <w:top w:w="0" w:type="dxa"/>
                <w:left w:w="108" w:type="dxa"/>
                <w:bottom w:w="0" w:type="dxa"/>
                <w:right w:w="108" w:type="dxa"/>
              </w:tblCellMar>
            </w:tblPr>
            <w:tblGrid>
              <w:gridCol w:w="704"/>
              <w:gridCol w:w="1190"/>
              <w:gridCol w:w="3699"/>
              <w:gridCol w:w="1555"/>
              <w:gridCol w:w="1510"/>
            </w:tblGrid>
            <w:tr w14:paraId="4C56577F">
              <w:tblPrEx>
                <w:tblCellMar>
                  <w:top w:w="0" w:type="dxa"/>
                  <w:left w:w="108" w:type="dxa"/>
                  <w:bottom w:w="0" w:type="dxa"/>
                  <w:right w:w="108" w:type="dxa"/>
                </w:tblCellMar>
              </w:tblPrEx>
              <w:trPr>
                <w:trHeight w:val="363"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74218">
                  <w:pPr>
                    <w:widowControl/>
                    <w:adjustRightInd w:val="0"/>
                    <w:snapToGrid w:val="0"/>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序号</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B5E075">
                  <w:pPr>
                    <w:widowControl/>
                    <w:adjustRightInd w:val="0"/>
                    <w:snapToGrid w:val="0"/>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产品</w:t>
                  </w:r>
                </w:p>
              </w:tc>
              <w:tc>
                <w:tcPr>
                  <w:tcW w:w="21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DA5E1">
                  <w:pPr>
                    <w:widowControl/>
                    <w:adjustRightInd w:val="0"/>
                    <w:snapToGrid w:val="0"/>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规格</w:t>
                  </w:r>
                </w:p>
              </w:tc>
              <w:tc>
                <w:tcPr>
                  <w:tcW w:w="8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BCB648">
                  <w:pPr>
                    <w:widowControl/>
                    <w:adjustRightInd w:val="0"/>
                    <w:snapToGrid w:val="0"/>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用途</w:t>
                  </w: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6F810">
                  <w:pPr>
                    <w:widowControl/>
                    <w:adjustRightInd w:val="0"/>
                    <w:snapToGrid w:val="0"/>
                    <w:spacing w:line="28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规模</w:t>
                  </w:r>
                </w:p>
                <w:p w14:paraId="6FCE3314">
                  <w:pPr>
                    <w:widowControl/>
                    <w:adjustRightInd w:val="0"/>
                    <w:snapToGrid w:val="0"/>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（吨 / 年）</w:t>
                  </w:r>
                </w:p>
              </w:tc>
            </w:tr>
            <w:tr w14:paraId="06AC0E6A">
              <w:tblPrEx>
                <w:tblCellMar>
                  <w:top w:w="0" w:type="dxa"/>
                  <w:left w:w="108" w:type="dxa"/>
                  <w:bottom w:w="0" w:type="dxa"/>
                  <w:right w:w="108" w:type="dxa"/>
                </w:tblCellMar>
              </w:tblPrEx>
              <w:trPr>
                <w:trHeight w:val="363"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12DF1">
                  <w:pPr>
                    <w:widowControl/>
                    <w:adjustRightInd w:val="0"/>
                    <w:snapToGrid w:val="0"/>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①</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C4C7B">
                  <w:pPr>
                    <w:widowControl/>
                    <w:adjustRightInd w:val="0"/>
                    <w:snapToGrid w:val="0"/>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床垫弹簧钢丝</w:t>
                  </w:r>
                </w:p>
              </w:tc>
              <w:tc>
                <w:tcPr>
                  <w:tcW w:w="2136" w:type="pct"/>
                  <w:tcBorders>
                    <w:top w:val="single" w:color="000000" w:sz="4" w:space="0"/>
                    <w:left w:val="single" w:color="000000" w:sz="4" w:space="0"/>
                    <w:right w:val="single" w:color="000000" w:sz="4" w:space="0"/>
                  </w:tcBorders>
                  <w:shd w:val="clear" w:color="auto" w:fill="auto"/>
                  <w:noWrap/>
                  <w:vAlign w:val="center"/>
                </w:tcPr>
                <w:p w14:paraId="1534E84F">
                  <w:pPr>
                    <w:widowControl/>
                    <w:adjustRightInd w:val="0"/>
                    <w:snapToGrid w:val="0"/>
                    <w:spacing w:line="280" w:lineRule="exact"/>
                    <w:jc w:val="both"/>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直径：φ1.6、1.8、2.0、2.2、2.5 mm；</w:t>
                  </w:r>
                </w:p>
                <w:p w14:paraId="234E20B4">
                  <w:pPr>
                    <w:widowControl/>
                    <w:adjustRightInd w:val="0"/>
                    <w:snapToGrid w:val="0"/>
                    <w:spacing w:line="280" w:lineRule="exact"/>
                    <w:jc w:val="both"/>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材质：60#、65#、70#  ；</w:t>
                  </w:r>
                </w:p>
                <w:p w14:paraId="1A318BC7">
                  <w:pPr>
                    <w:widowControl/>
                    <w:adjustRightInd w:val="0"/>
                    <w:snapToGrid w:val="0"/>
                    <w:spacing w:line="280" w:lineRule="exact"/>
                    <w:jc w:val="both"/>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抗拉强度：1550～1750 MPa</w:t>
                  </w:r>
                </w:p>
              </w:tc>
              <w:tc>
                <w:tcPr>
                  <w:tcW w:w="8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9F01A7">
                  <w:pPr>
                    <w:widowControl/>
                    <w:adjustRightInd w:val="0"/>
                    <w:snapToGrid w:val="0"/>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床垫圆柱弹簧、布袋簧</w:t>
                  </w: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608F0">
                  <w:pPr>
                    <w:widowControl/>
                    <w:adjustRightInd w:val="0"/>
                    <w:snapToGrid w:val="0"/>
                    <w:spacing w:line="28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val="en-US" w:eastAsia="zh-CN" w:bidi="ar"/>
                    </w:rPr>
                    <w:t>72</w:t>
                  </w:r>
                  <w:r>
                    <w:rPr>
                      <w:rFonts w:hint="default" w:ascii="Times New Roman" w:hAnsi="Times New Roman" w:cs="Times New Roman"/>
                      <w:color w:val="auto"/>
                      <w:kern w:val="0"/>
                      <w:szCs w:val="21"/>
                      <w:lang w:bidi="ar"/>
                    </w:rPr>
                    <w:t>000</w:t>
                  </w:r>
                </w:p>
                <w:p w14:paraId="7A49140D">
                  <w:pPr>
                    <w:widowControl/>
                    <w:adjustRightInd w:val="0"/>
                    <w:snapToGrid w:val="0"/>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（占 60%）</w:t>
                  </w:r>
                </w:p>
              </w:tc>
            </w:tr>
            <w:tr w14:paraId="5257F064">
              <w:tblPrEx>
                <w:tblCellMar>
                  <w:top w:w="0" w:type="dxa"/>
                  <w:left w:w="108" w:type="dxa"/>
                  <w:bottom w:w="0" w:type="dxa"/>
                  <w:right w:w="108" w:type="dxa"/>
                </w:tblCellMar>
              </w:tblPrEx>
              <w:trPr>
                <w:trHeight w:val="363"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C57FDC">
                  <w:pPr>
                    <w:widowControl/>
                    <w:adjustRightInd w:val="0"/>
                    <w:snapToGrid w:val="0"/>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②</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811BF7">
                  <w:pPr>
                    <w:widowControl/>
                    <w:adjustRightInd w:val="0"/>
                    <w:snapToGrid w:val="0"/>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沙发弹簧钢丝</w:t>
                  </w:r>
                </w:p>
              </w:tc>
              <w:tc>
                <w:tcPr>
                  <w:tcW w:w="2136" w:type="pct"/>
                  <w:tcBorders>
                    <w:top w:val="single" w:color="000000" w:sz="4" w:space="0"/>
                    <w:left w:val="single" w:color="000000" w:sz="4" w:space="0"/>
                    <w:right w:val="single" w:color="000000" w:sz="4" w:space="0"/>
                  </w:tcBorders>
                  <w:shd w:val="clear" w:color="auto" w:fill="auto"/>
                  <w:noWrap/>
                  <w:vAlign w:val="center"/>
                </w:tcPr>
                <w:p w14:paraId="7567FC87">
                  <w:pPr>
                    <w:widowControl/>
                    <w:adjustRightInd w:val="0"/>
                    <w:snapToGrid w:val="0"/>
                    <w:spacing w:line="280" w:lineRule="exact"/>
                    <w:jc w:val="both"/>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直径：φ2.6、3.0、3.5、4.0、4.5 mm；</w:t>
                  </w:r>
                </w:p>
                <w:p w14:paraId="6947BACB">
                  <w:pPr>
                    <w:widowControl/>
                    <w:adjustRightInd w:val="0"/>
                    <w:snapToGrid w:val="0"/>
                    <w:spacing w:line="280" w:lineRule="exact"/>
                    <w:jc w:val="both"/>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材质：65Mn 、80#、82B；</w:t>
                  </w:r>
                </w:p>
                <w:p w14:paraId="2621A046">
                  <w:pPr>
                    <w:widowControl/>
                    <w:adjustRightInd w:val="0"/>
                    <w:snapToGrid w:val="0"/>
                    <w:spacing w:line="280" w:lineRule="exact"/>
                    <w:jc w:val="both"/>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抗拉强度：1600～1800</w:t>
                  </w:r>
                </w:p>
              </w:tc>
              <w:tc>
                <w:tcPr>
                  <w:tcW w:w="8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AD833">
                  <w:pPr>
                    <w:widowControl/>
                    <w:adjustRightInd w:val="0"/>
                    <w:snapToGrid w:val="0"/>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沙发蛇形簧、S 簧、靠背簧</w:t>
                  </w: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E3C5F">
                  <w:pPr>
                    <w:widowControl/>
                    <w:adjustRightInd w:val="0"/>
                    <w:snapToGrid w:val="0"/>
                    <w:spacing w:line="28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val="en-US" w:eastAsia="zh-CN" w:bidi="ar"/>
                    </w:rPr>
                    <w:t>48</w:t>
                  </w:r>
                  <w:r>
                    <w:rPr>
                      <w:rFonts w:hint="default" w:ascii="Times New Roman" w:hAnsi="Times New Roman" w:cs="Times New Roman"/>
                      <w:color w:val="auto"/>
                      <w:kern w:val="0"/>
                      <w:szCs w:val="21"/>
                      <w:lang w:bidi="ar"/>
                    </w:rPr>
                    <w:t>000</w:t>
                  </w:r>
                </w:p>
                <w:p w14:paraId="0A754B10">
                  <w:pPr>
                    <w:widowControl/>
                    <w:adjustRightInd w:val="0"/>
                    <w:snapToGrid w:val="0"/>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（占 40%）</w:t>
                  </w:r>
                </w:p>
              </w:tc>
            </w:tr>
            <w:tr w14:paraId="4AA7A65D">
              <w:tblPrEx>
                <w:tblCellMar>
                  <w:top w:w="0" w:type="dxa"/>
                  <w:left w:w="108" w:type="dxa"/>
                  <w:bottom w:w="0" w:type="dxa"/>
                  <w:right w:w="108" w:type="dxa"/>
                </w:tblCellMar>
              </w:tblPrEx>
              <w:trPr>
                <w:trHeight w:val="363"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6DBC55">
                  <w:pPr>
                    <w:widowControl/>
                    <w:adjustRightInd w:val="0"/>
                    <w:snapToGrid w:val="0"/>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合计</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D488AC">
                  <w:pPr>
                    <w:widowControl/>
                    <w:adjustRightInd w:val="0"/>
                    <w:snapToGrid w:val="0"/>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钢丝</w:t>
                  </w:r>
                </w:p>
              </w:tc>
              <w:tc>
                <w:tcPr>
                  <w:tcW w:w="21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903040">
                  <w:pPr>
                    <w:widowControl/>
                    <w:adjustRightInd w:val="0"/>
                    <w:snapToGrid w:val="0"/>
                    <w:spacing w:line="280" w:lineRule="exact"/>
                    <w:jc w:val="center"/>
                    <w:rPr>
                      <w:rFonts w:hint="default" w:ascii="Times New Roman" w:hAnsi="Times New Roman" w:cs="Times New Roman"/>
                      <w:color w:val="auto"/>
                      <w:szCs w:val="21"/>
                    </w:rPr>
                  </w:pPr>
                </w:p>
              </w:tc>
              <w:tc>
                <w:tcPr>
                  <w:tcW w:w="8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0A708">
                  <w:pPr>
                    <w:widowControl/>
                    <w:adjustRightInd w:val="0"/>
                    <w:snapToGrid w:val="0"/>
                    <w:spacing w:line="280" w:lineRule="exact"/>
                    <w:jc w:val="center"/>
                    <w:rPr>
                      <w:rFonts w:hint="default" w:ascii="Times New Roman" w:hAnsi="Times New Roman" w:cs="Times New Roman"/>
                      <w:color w:val="auto"/>
                      <w:szCs w:val="21"/>
                    </w:rPr>
                  </w:pP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1EB10">
                  <w:pPr>
                    <w:widowControl/>
                    <w:adjustRightInd w:val="0"/>
                    <w:snapToGrid w:val="0"/>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val="en-US" w:eastAsia="zh-CN" w:bidi="ar"/>
                    </w:rPr>
                    <w:t>12</w:t>
                  </w:r>
                  <w:r>
                    <w:rPr>
                      <w:rFonts w:hint="default" w:ascii="Times New Roman" w:hAnsi="Times New Roman" w:cs="Times New Roman"/>
                      <w:color w:val="auto"/>
                      <w:kern w:val="0"/>
                      <w:szCs w:val="21"/>
                      <w:lang w:bidi="ar"/>
                    </w:rPr>
                    <w:t>0000</w:t>
                  </w:r>
                </w:p>
              </w:tc>
            </w:tr>
          </w:tbl>
          <w:p w14:paraId="1F7F2796">
            <w:pPr>
              <w:pStyle w:val="7"/>
              <w:spacing w:before="75" w:beforeLines="20" w:after="75" w:afterLines="2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表2.2-4</w:t>
            </w:r>
            <w:r>
              <w:rPr>
                <w:rFonts w:hint="eastAsia"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 xml:space="preserve">本项目新增产品方案（表面处理能力） </w:t>
            </w:r>
          </w:p>
          <w:tbl>
            <w:tblPr>
              <w:tblStyle w:val="34"/>
              <w:tblW w:w="8617" w:type="dxa"/>
              <w:tblInd w:w="0" w:type="dxa"/>
              <w:tblLayout w:type="fixed"/>
              <w:tblCellMar>
                <w:top w:w="0" w:type="dxa"/>
                <w:left w:w="108" w:type="dxa"/>
                <w:bottom w:w="0" w:type="dxa"/>
                <w:right w:w="108" w:type="dxa"/>
              </w:tblCellMar>
            </w:tblPr>
            <w:tblGrid>
              <w:gridCol w:w="703"/>
              <w:gridCol w:w="1800"/>
              <w:gridCol w:w="2175"/>
              <w:gridCol w:w="1200"/>
              <w:gridCol w:w="974"/>
              <w:gridCol w:w="1765"/>
            </w:tblGrid>
            <w:tr w14:paraId="1F282D25">
              <w:tblPrEx>
                <w:tblCellMar>
                  <w:top w:w="0" w:type="dxa"/>
                  <w:left w:w="108" w:type="dxa"/>
                  <w:bottom w:w="0" w:type="dxa"/>
                  <w:right w:w="108" w:type="dxa"/>
                </w:tblCellMar>
              </w:tblPrEx>
              <w:trPr>
                <w:trHeight w:val="350" w:hRule="atLeast"/>
              </w:trPr>
              <w:tc>
                <w:tcPr>
                  <w:tcW w:w="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A008E2">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序号</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91825">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表面处理产品</w:t>
                  </w:r>
                </w:p>
              </w:tc>
              <w:tc>
                <w:tcPr>
                  <w:tcW w:w="2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F5C71">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典型钢种</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20817">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规格（mm）</w:t>
                  </w: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D59DB5">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最大卷重（T）</w:t>
                  </w:r>
                </w:p>
              </w:tc>
              <w:tc>
                <w:tcPr>
                  <w:tcW w:w="1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75094">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规模</w:t>
                  </w:r>
                </w:p>
                <w:p w14:paraId="22C45BF2">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（吨 / 年）</w:t>
                  </w:r>
                </w:p>
              </w:tc>
            </w:tr>
            <w:tr w14:paraId="3ED8D745">
              <w:tblPrEx>
                <w:tblCellMar>
                  <w:top w:w="0" w:type="dxa"/>
                  <w:left w:w="108" w:type="dxa"/>
                  <w:bottom w:w="0" w:type="dxa"/>
                  <w:right w:w="108" w:type="dxa"/>
                </w:tblCellMar>
              </w:tblPrEx>
              <w:trPr>
                <w:trHeight w:val="350" w:hRule="atLeast"/>
              </w:trPr>
              <w:tc>
                <w:tcPr>
                  <w:tcW w:w="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2E795">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①</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E85E1">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合金钢磷化盘条</w:t>
                  </w:r>
                </w:p>
              </w:tc>
              <w:tc>
                <w:tcPr>
                  <w:tcW w:w="2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0EE8A1">
                  <w:pPr>
                    <w:keepNext w:val="0"/>
                    <w:keepLines w:val="0"/>
                    <w:pageBreakBefore w:val="0"/>
                    <w:widowControl/>
                    <w:kinsoku/>
                    <w:wordWrap/>
                    <w:overflowPunct/>
                    <w:topLinePunct w:val="0"/>
                    <w:autoSpaceDE/>
                    <w:autoSpaceDN/>
                    <w:bidi w:val="0"/>
                    <w:adjustRightInd/>
                    <w:snapToGrid w:val="0"/>
                    <w:jc w:val="both"/>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40Cr、30CrMnTi</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1C43E2">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Ф5.5-40</w:t>
                  </w: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3885D">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2.4</w:t>
                  </w:r>
                </w:p>
              </w:tc>
              <w:tc>
                <w:tcPr>
                  <w:tcW w:w="1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B0217">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25500（占17%）</w:t>
                  </w:r>
                </w:p>
              </w:tc>
            </w:tr>
            <w:tr w14:paraId="26B148BB">
              <w:tblPrEx>
                <w:tblCellMar>
                  <w:top w:w="0" w:type="dxa"/>
                  <w:left w:w="108" w:type="dxa"/>
                  <w:bottom w:w="0" w:type="dxa"/>
                  <w:right w:w="108" w:type="dxa"/>
                </w:tblCellMar>
              </w:tblPrEx>
              <w:trPr>
                <w:trHeight w:val="350" w:hRule="atLeast"/>
              </w:trPr>
              <w:tc>
                <w:tcPr>
                  <w:tcW w:w="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FB1B9">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②</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1DF48F">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硬线磷化盘条</w:t>
                  </w:r>
                </w:p>
              </w:tc>
              <w:tc>
                <w:tcPr>
                  <w:tcW w:w="2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9FC80">
                  <w:pPr>
                    <w:keepNext w:val="0"/>
                    <w:keepLines w:val="0"/>
                    <w:pageBreakBefore w:val="0"/>
                    <w:widowControl/>
                    <w:kinsoku/>
                    <w:wordWrap/>
                    <w:overflowPunct/>
                    <w:topLinePunct w:val="0"/>
                    <w:autoSpaceDE/>
                    <w:autoSpaceDN/>
                    <w:bidi w:val="0"/>
                    <w:adjustRightInd/>
                    <w:snapToGrid w:val="0"/>
                    <w:jc w:val="both"/>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45#、60#、65#、72B、77B、82B</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F8DBE">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Ф5.5-40</w:t>
                  </w: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A5E4A">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2.4</w:t>
                  </w:r>
                </w:p>
              </w:tc>
              <w:tc>
                <w:tcPr>
                  <w:tcW w:w="1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6A4997">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87000t/a</w:t>
                  </w:r>
                </w:p>
                <w:p w14:paraId="10919662">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（占58%）</w:t>
                  </w:r>
                </w:p>
              </w:tc>
            </w:tr>
            <w:tr w14:paraId="21048F4A">
              <w:tblPrEx>
                <w:tblCellMar>
                  <w:top w:w="0" w:type="dxa"/>
                  <w:left w:w="108" w:type="dxa"/>
                  <w:bottom w:w="0" w:type="dxa"/>
                  <w:right w:w="108" w:type="dxa"/>
                </w:tblCellMar>
              </w:tblPrEx>
              <w:trPr>
                <w:trHeight w:val="350" w:hRule="atLeast"/>
              </w:trPr>
              <w:tc>
                <w:tcPr>
                  <w:tcW w:w="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2FBDE">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③</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AAD20">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冷镦钢磷化盘条</w:t>
                  </w:r>
                </w:p>
              </w:tc>
              <w:tc>
                <w:tcPr>
                  <w:tcW w:w="2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3EE91">
                  <w:pPr>
                    <w:keepNext w:val="0"/>
                    <w:keepLines w:val="0"/>
                    <w:pageBreakBefore w:val="0"/>
                    <w:widowControl/>
                    <w:kinsoku/>
                    <w:wordWrap/>
                    <w:overflowPunct/>
                    <w:topLinePunct w:val="0"/>
                    <w:autoSpaceDE/>
                    <w:autoSpaceDN/>
                    <w:bidi w:val="0"/>
                    <w:adjustRightInd/>
                    <w:snapToGrid w:val="0"/>
                    <w:jc w:val="both"/>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ML08AL、 22A、35K、10B21</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25755">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Ф5.5-40</w:t>
                  </w: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878F1E">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2.4</w:t>
                  </w:r>
                </w:p>
              </w:tc>
              <w:tc>
                <w:tcPr>
                  <w:tcW w:w="1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09C438">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37500t/a</w:t>
                  </w:r>
                </w:p>
                <w:p w14:paraId="40D216AA">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（占25%）</w:t>
                  </w:r>
                </w:p>
              </w:tc>
            </w:tr>
            <w:tr w14:paraId="1B60237A">
              <w:tblPrEx>
                <w:tblCellMar>
                  <w:top w:w="0" w:type="dxa"/>
                  <w:left w:w="108" w:type="dxa"/>
                  <w:bottom w:w="0" w:type="dxa"/>
                  <w:right w:w="108" w:type="dxa"/>
                </w:tblCellMar>
              </w:tblPrEx>
              <w:trPr>
                <w:trHeight w:val="359" w:hRule="atLeast"/>
              </w:trPr>
              <w:tc>
                <w:tcPr>
                  <w:tcW w:w="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7FD33">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合计</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84E5C">
                  <w:pPr>
                    <w:keepNext w:val="0"/>
                    <w:keepLines w:val="0"/>
                    <w:pageBreakBefore w:val="0"/>
                    <w:kinsoku/>
                    <w:wordWrap/>
                    <w:overflowPunct/>
                    <w:topLinePunct w:val="0"/>
                    <w:autoSpaceDE/>
                    <w:autoSpaceDN/>
                    <w:bidi w:val="0"/>
                    <w:adjustRightInd/>
                    <w:snapToGrid w:val="0"/>
                    <w:jc w:val="center"/>
                    <w:rPr>
                      <w:rFonts w:hint="default" w:ascii="Times New Roman" w:hAnsi="Times New Roman" w:cs="Times New Roman"/>
                      <w:color w:val="auto"/>
                      <w:sz w:val="21"/>
                      <w:szCs w:val="21"/>
                    </w:rPr>
                  </w:pPr>
                </w:p>
              </w:tc>
              <w:tc>
                <w:tcPr>
                  <w:tcW w:w="2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4E2BE1">
                  <w:pPr>
                    <w:keepNext w:val="0"/>
                    <w:keepLines w:val="0"/>
                    <w:pageBreakBefore w:val="0"/>
                    <w:kinsoku/>
                    <w:wordWrap/>
                    <w:overflowPunct/>
                    <w:topLinePunct w:val="0"/>
                    <w:autoSpaceDE/>
                    <w:autoSpaceDN/>
                    <w:bidi w:val="0"/>
                    <w:adjustRightInd/>
                    <w:snapToGrid w:val="0"/>
                    <w:jc w:val="center"/>
                    <w:rPr>
                      <w:rFonts w:hint="default" w:ascii="Times New Roman" w:hAnsi="Times New Roman" w:cs="Times New Roman"/>
                      <w:color w:val="auto"/>
                      <w:sz w:val="21"/>
                      <w:szCs w:val="21"/>
                    </w:rPr>
                  </w:pP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C857E">
                  <w:pPr>
                    <w:keepNext w:val="0"/>
                    <w:keepLines w:val="0"/>
                    <w:pageBreakBefore w:val="0"/>
                    <w:kinsoku/>
                    <w:wordWrap/>
                    <w:overflowPunct/>
                    <w:topLinePunct w:val="0"/>
                    <w:autoSpaceDE/>
                    <w:autoSpaceDN/>
                    <w:bidi w:val="0"/>
                    <w:adjustRightInd/>
                    <w:snapToGrid w:val="0"/>
                    <w:jc w:val="center"/>
                    <w:rPr>
                      <w:rFonts w:hint="default" w:ascii="Times New Roman" w:hAnsi="Times New Roman" w:cs="Times New Roman"/>
                      <w:color w:val="auto"/>
                      <w:sz w:val="21"/>
                      <w:szCs w:val="21"/>
                    </w:rPr>
                  </w:pP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6167D">
                  <w:pPr>
                    <w:keepNext w:val="0"/>
                    <w:keepLines w:val="0"/>
                    <w:pageBreakBefore w:val="0"/>
                    <w:kinsoku/>
                    <w:wordWrap/>
                    <w:overflowPunct/>
                    <w:topLinePunct w:val="0"/>
                    <w:autoSpaceDE/>
                    <w:autoSpaceDN/>
                    <w:bidi w:val="0"/>
                    <w:adjustRightInd/>
                    <w:snapToGrid w:val="0"/>
                    <w:jc w:val="center"/>
                    <w:rPr>
                      <w:rFonts w:hint="default" w:ascii="Times New Roman" w:hAnsi="Times New Roman" w:cs="Times New Roman"/>
                      <w:color w:val="auto"/>
                      <w:sz w:val="21"/>
                      <w:szCs w:val="21"/>
                    </w:rPr>
                  </w:pPr>
                </w:p>
              </w:tc>
              <w:tc>
                <w:tcPr>
                  <w:tcW w:w="1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9C0913">
                  <w:pPr>
                    <w:keepNext w:val="0"/>
                    <w:keepLines w:val="0"/>
                    <w:pageBreakBefore w:val="0"/>
                    <w:widowControl/>
                    <w:kinsoku/>
                    <w:wordWrap/>
                    <w:overflowPunct/>
                    <w:topLinePunct w:val="0"/>
                    <w:autoSpaceDE/>
                    <w:autoSpaceDN/>
                    <w:bidi w:val="0"/>
                    <w:adjustRightInd/>
                    <w:snapToGrid w:val="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150000</w:t>
                  </w:r>
                </w:p>
              </w:tc>
            </w:tr>
          </w:tbl>
          <w:p w14:paraId="333AC0ED">
            <w:pPr>
              <w:pStyle w:val="7"/>
              <w:spacing w:before="75" w:beforeLines="20" w:after="75" w:afterLines="2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表2.2-5</w:t>
            </w:r>
            <w:r>
              <w:rPr>
                <w:rFonts w:hint="eastAsia"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全厂产品方案</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
            <w:tblGrid>
              <w:gridCol w:w="549"/>
              <w:gridCol w:w="2138"/>
              <w:gridCol w:w="1012"/>
              <w:gridCol w:w="1013"/>
              <w:gridCol w:w="975"/>
              <w:gridCol w:w="2964"/>
            </w:tblGrid>
            <w:tr w14:paraId="4223AE8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594" w:hRule="atLeast"/>
                <w:jc w:val="center"/>
              </w:trPr>
              <w:tc>
                <w:tcPr>
                  <w:tcW w:w="317" w:type="pct"/>
                  <w:noWrap/>
                  <w:vAlign w:val="center"/>
                </w:tcPr>
                <w:p w14:paraId="34972ADA">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序号</w:t>
                  </w:r>
                </w:p>
              </w:tc>
              <w:tc>
                <w:tcPr>
                  <w:tcW w:w="1235" w:type="pct"/>
                  <w:noWrap/>
                  <w:vAlign w:val="center"/>
                </w:tcPr>
                <w:p w14:paraId="4F4923FF">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产品方案</w:t>
                  </w:r>
                </w:p>
              </w:tc>
              <w:tc>
                <w:tcPr>
                  <w:tcW w:w="584" w:type="pct"/>
                  <w:vAlign w:val="center"/>
                </w:tcPr>
                <w:p w14:paraId="460D6469">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现有工程产能</w:t>
                  </w:r>
                </w:p>
              </w:tc>
              <w:tc>
                <w:tcPr>
                  <w:tcW w:w="585" w:type="pct"/>
                  <w:vAlign w:val="center"/>
                </w:tcPr>
                <w:p w14:paraId="4685099C">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本项目新增产能</w:t>
                  </w:r>
                </w:p>
              </w:tc>
              <w:tc>
                <w:tcPr>
                  <w:tcW w:w="563" w:type="pct"/>
                  <w:vAlign w:val="center"/>
                </w:tcPr>
                <w:p w14:paraId="3F4395EF">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扩建后全厂产能</w:t>
                  </w:r>
                </w:p>
              </w:tc>
              <w:tc>
                <w:tcPr>
                  <w:tcW w:w="1713" w:type="pct"/>
                  <w:vAlign w:val="center"/>
                </w:tcPr>
                <w:p w14:paraId="0B481099">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备注</w:t>
                  </w:r>
                </w:p>
              </w:tc>
            </w:tr>
            <w:tr w14:paraId="3E48AAA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425" w:hRule="atLeast"/>
                <w:jc w:val="center"/>
              </w:trPr>
              <w:tc>
                <w:tcPr>
                  <w:tcW w:w="317" w:type="pct"/>
                  <w:noWrap/>
                  <w:vAlign w:val="center"/>
                </w:tcPr>
                <w:p w14:paraId="626C8BC1">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1</w:t>
                  </w:r>
                </w:p>
              </w:tc>
              <w:tc>
                <w:tcPr>
                  <w:tcW w:w="1235" w:type="pct"/>
                  <w:noWrap/>
                  <w:vAlign w:val="center"/>
                </w:tcPr>
                <w:p w14:paraId="48750013">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PC钢棒</w:t>
                  </w:r>
                </w:p>
              </w:tc>
              <w:tc>
                <w:tcPr>
                  <w:tcW w:w="584" w:type="pct"/>
                  <w:noWrap/>
                  <w:vAlign w:val="center"/>
                </w:tcPr>
                <w:p w14:paraId="53A54223">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24万t/a</w:t>
                  </w:r>
                </w:p>
              </w:tc>
              <w:tc>
                <w:tcPr>
                  <w:tcW w:w="585" w:type="pct"/>
                  <w:noWrap/>
                  <w:vAlign w:val="center"/>
                </w:tcPr>
                <w:p w14:paraId="040668FE">
                  <w:pPr>
                    <w:pStyle w:val="133"/>
                    <w:spacing w:before="0" w:after="0" w:line="240" w:lineRule="auto"/>
                    <w:rPr>
                      <w:rFonts w:hint="default" w:ascii="Times New Roman" w:hAnsi="Times New Roman" w:cs="Times New Roman"/>
                      <w:color w:val="auto"/>
                      <w:sz w:val="21"/>
                    </w:rPr>
                  </w:pPr>
                </w:p>
              </w:tc>
              <w:tc>
                <w:tcPr>
                  <w:tcW w:w="563" w:type="pct"/>
                  <w:noWrap/>
                  <w:vAlign w:val="center"/>
                </w:tcPr>
                <w:p w14:paraId="3DCEE912">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24万t/a</w:t>
                  </w:r>
                </w:p>
              </w:tc>
              <w:tc>
                <w:tcPr>
                  <w:tcW w:w="1713" w:type="pct"/>
                  <w:noWrap/>
                  <w:vAlign w:val="center"/>
                </w:tcPr>
                <w:p w14:paraId="7CACBE79">
                  <w:pPr>
                    <w:pStyle w:val="133"/>
                    <w:spacing w:before="0" w:after="0" w:line="240" w:lineRule="auto"/>
                    <w:rPr>
                      <w:rFonts w:hint="default" w:ascii="Times New Roman" w:hAnsi="Times New Roman" w:cs="Times New Roman"/>
                      <w:color w:val="auto"/>
                      <w:sz w:val="21"/>
                    </w:rPr>
                  </w:pPr>
                </w:p>
              </w:tc>
            </w:tr>
            <w:tr w14:paraId="03A1460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425" w:hRule="atLeast"/>
                <w:jc w:val="center"/>
              </w:trPr>
              <w:tc>
                <w:tcPr>
                  <w:tcW w:w="317" w:type="pct"/>
                  <w:noWrap/>
                  <w:vAlign w:val="center"/>
                </w:tcPr>
                <w:p w14:paraId="6AC27E28">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2</w:t>
                  </w:r>
                </w:p>
              </w:tc>
              <w:tc>
                <w:tcPr>
                  <w:tcW w:w="1235" w:type="pct"/>
                  <w:noWrap/>
                  <w:vAlign w:val="center"/>
                </w:tcPr>
                <w:p w14:paraId="66A01663">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钢丝</w:t>
                  </w:r>
                </w:p>
              </w:tc>
              <w:tc>
                <w:tcPr>
                  <w:tcW w:w="584" w:type="pct"/>
                  <w:noWrap/>
                  <w:vAlign w:val="center"/>
                </w:tcPr>
                <w:p w14:paraId="481095E5">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1.55万t/a</w:t>
                  </w:r>
                </w:p>
              </w:tc>
              <w:tc>
                <w:tcPr>
                  <w:tcW w:w="585" w:type="pct"/>
                  <w:noWrap/>
                  <w:vAlign w:val="center"/>
                </w:tcPr>
                <w:p w14:paraId="04B64B51">
                  <w:pPr>
                    <w:pStyle w:val="133"/>
                    <w:spacing w:before="0" w:after="0" w:line="240" w:lineRule="auto"/>
                    <w:rPr>
                      <w:rFonts w:hint="default" w:ascii="Times New Roman" w:hAnsi="Times New Roman" w:cs="Times New Roman"/>
                      <w:color w:val="auto"/>
                      <w:sz w:val="21"/>
                    </w:rPr>
                  </w:pPr>
                </w:p>
              </w:tc>
              <w:tc>
                <w:tcPr>
                  <w:tcW w:w="563" w:type="pct"/>
                  <w:vMerge w:val="restart"/>
                  <w:noWrap/>
                  <w:vAlign w:val="center"/>
                </w:tcPr>
                <w:p w14:paraId="53DFEB1A">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1</w:t>
                  </w:r>
                  <w:r>
                    <w:rPr>
                      <w:rFonts w:hint="default" w:ascii="Times New Roman" w:hAnsi="Times New Roman" w:cs="Times New Roman"/>
                      <w:color w:val="auto"/>
                      <w:sz w:val="21"/>
                      <w:lang w:val="en-US" w:eastAsia="zh-CN"/>
                    </w:rPr>
                    <w:t>3</w:t>
                  </w:r>
                  <w:r>
                    <w:rPr>
                      <w:rFonts w:hint="default" w:ascii="Times New Roman" w:hAnsi="Times New Roman" w:cs="Times New Roman"/>
                      <w:color w:val="auto"/>
                      <w:sz w:val="21"/>
                    </w:rPr>
                    <w:t>.55万t/a</w:t>
                  </w:r>
                </w:p>
              </w:tc>
              <w:tc>
                <w:tcPr>
                  <w:tcW w:w="1713" w:type="pct"/>
                  <w:noWrap/>
                  <w:vAlign w:val="center"/>
                </w:tcPr>
                <w:p w14:paraId="2491263A">
                  <w:pPr>
                    <w:pStyle w:val="133"/>
                    <w:spacing w:before="0" w:after="0" w:line="240" w:lineRule="auto"/>
                    <w:rPr>
                      <w:rFonts w:hint="default" w:ascii="Times New Roman" w:hAnsi="Times New Roman" w:cs="Times New Roman"/>
                      <w:color w:val="auto"/>
                      <w:sz w:val="21"/>
                    </w:rPr>
                  </w:pPr>
                </w:p>
              </w:tc>
            </w:tr>
            <w:tr w14:paraId="2A161D8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425" w:hRule="atLeast"/>
                <w:jc w:val="center"/>
              </w:trPr>
              <w:tc>
                <w:tcPr>
                  <w:tcW w:w="317" w:type="pct"/>
                  <w:noWrap/>
                  <w:vAlign w:val="center"/>
                </w:tcPr>
                <w:p w14:paraId="51315EE2">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3</w:t>
                  </w:r>
                </w:p>
              </w:tc>
              <w:tc>
                <w:tcPr>
                  <w:tcW w:w="1235" w:type="pct"/>
                  <w:noWrap/>
                  <w:vAlign w:val="center"/>
                </w:tcPr>
                <w:p w14:paraId="0A3397B3">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沙发/床垫弹簧钢丝</w:t>
                  </w:r>
                </w:p>
              </w:tc>
              <w:tc>
                <w:tcPr>
                  <w:tcW w:w="584" w:type="pct"/>
                  <w:noWrap/>
                  <w:vAlign w:val="center"/>
                </w:tcPr>
                <w:p w14:paraId="33B9FCC8">
                  <w:pPr>
                    <w:pStyle w:val="133"/>
                    <w:spacing w:before="0" w:after="0" w:line="240" w:lineRule="auto"/>
                    <w:rPr>
                      <w:rFonts w:hint="default" w:ascii="Times New Roman" w:hAnsi="Times New Roman" w:cs="Times New Roman"/>
                      <w:color w:val="auto"/>
                      <w:sz w:val="21"/>
                    </w:rPr>
                  </w:pPr>
                </w:p>
              </w:tc>
              <w:tc>
                <w:tcPr>
                  <w:tcW w:w="585" w:type="pct"/>
                  <w:noWrap/>
                  <w:vAlign w:val="center"/>
                </w:tcPr>
                <w:p w14:paraId="244781B3">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12</w:t>
                  </w:r>
                  <w:r>
                    <w:rPr>
                      <w:rFonts w:hint="default" w:ascii="Times New Roman" w:hAnsi="Times New Roman" w:cs="Times New Roman"/>
                      <w:color w:val="auto"/>
                      <w:sz w:val="21"/>
                    </w:rPr>
                    <w:t>万t/a</w:t>
                  </w:r>
                </w:p>
              </w:tc>
              <w:tc>
                <w:tcPr>
                  <w:tcW w:w="563" w:type="pct"/>
                  <w:vMerge w:val="continue"/>
                  <w:noWrap/>
                  <w:vAlign w:val="center"/>
                </w:tcPr>
                <w:p w14:paraId="1175784E">
                  <w:pPr>
                    <w:pStyle w:val="133"/>
                    <w:spacing w:before="0" w:after="0" w:line="240" w:lineRule="auto"/>
                    <w:rPr>
                      <w:rFonts w:hint="default" w:ascii="Times New Roman" w:hAnsi="Times New Roman" w:cs="Times New Roman"/>
                      <w:color w:val="auto"/>
                      <w:sz w:val="21"/>
                    </w:rPr>
                  </w:pPr>
                </w:p>
              </w:tc>
              <w:tc>
                <w:tcPr>
                  <w:tcW w:w="1713" w:type="pct"/>
                  <w:noWrap/>
                  <w:vAlign w:val="center"/>
                </w:tcPr>
                <w:p w14:paraId="0B6C4F96">
                  <w:pPr>
                    <w:pStyle w:val="133"/>
                    <w:spacing w:before="0" w:after="0" w:line="240" w:lineRule="auto"/>
                    <w:rPr>
                      <w:rFonts w:hint="default" w:ascii="Times New Roman" w:hAnsi="Times New Roman" w:cs="Times New Roman"/>
                      <w:color w:val="auto"/>
                      <w:sz w:val="21"/>
                    </w:rPr>
                  </w:pPr>
                </w:p>
              </w:tc>
            </w:tr>
            <w:tr w14:paraId="7CA4018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425" w:hRule="atLeast"/>
                <w:jc w:val="center"/>
              </w:trPr>
              <w:tc>
                <w:tcPr>
                  <w:tcW w:w="317" w:type="pct"/>
                  <w:noWrap/>
                  <w:vAlign w:val="center"/>
                </w:tcPr>
                <w:p w14:paraId="08F2DED9">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4</w:t>
                  </w:r>
                </w:p>
              </w:tc>
              <w:tc>
                <w:tcPr>
                  <w:tcW w:w="1235" w:type="pct"/>
                  <w:noWrap/>
                  <w:vAlign w:val="center"/>
                </w:tcPr>
                <w:p w14:paraId="0E2900EE">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kern w:val="0"/>
                      <w:sz w:val="21"/>
                      <w:lang w:bidi="ar"/>
                    </w:rPr>
                    <w:t>配套表面处理能力</w:t>
                  </w:r>
                </w:p>
              </w:tc>
              <w:tc>
                <w:tcPr>
                  <w:tcW w:w="584" w:type="pct"/>
                  <w:noWrap/>
                  <w:vAlign w:val="center"/>
                </w:tcPr>
                <w:p w14:paraId="547D0159">
                  <w:pPr>
                    <w:pStyle w:val="133"/>
                    <w:spacing w:before="0" w:after="0" w:line="240" w:lineRule="auto"/>
                    <w:rPr>
                      <w:rFonts w:hint="default" w:ascii="Times New Roman" w:hAnsi="Times New Roman" w:cs="Times New Roman"/>
                      <w:color w:val="auto"/>
                      <w:sz w:val="21"/>
                    </w:rPr>
                  </w:pPr>
                </w:p>
              </w:tc>
              <w:tc>
                <w:tcPr>
                  <w:tcW w:w="585" w:type="pct"/>
                  <w:noWrap/>
                  <w:vAlign w:val="center"/>
                </w:tcPr>
                <w:p w14:paraId="2D6F2431">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15万t/a</w:t>
                  </w:r>
                </w:p>
              </w:tc>
              <w:tc>
                <w:tcPr>
                  <w:tcW w:w="563" w:type="pct"/>
                  <w:noWrap/>
                  <w:vAlign w:val="center"/>
                </w:tcPr>
                <w:p w14:paraId="7DA5CF33">
                  <w:pPr>
                    <w:pStyle w:val="133"/>
                    <w:spacing w:before="0" w:after="0" w:line="240" w:lineRule="auto"/>
                    <w:rPr>
                      <w:rFonts w:hint="default" w:ascii="Times New Roman" w:hAnsi="Times New Roman" w:cs="Times New Roman"/>
                      <w:color w:val="auto"/>
                      <w:sz w:val="21"/>
                    </w:rPr>
                  </w:pPr>
                </w:p>
              </w:tc>
              <w:tc>
                <w:tcPr>
                  <w:tcW w:w="1713" w:type="pct"/>
                  <w:noWrap/>
                  <w:vAlign w:val="center"/>
                </w:tcPr>
                <w:p w14:paraId="2F7422E4">
                  <w:pPr>
                    <w:pStyle w:val="133"/>
                    <w:spacing w:before="0" w:after="0" w:line="240" w:lineRule="auto"/>
                    <w:jc w:val="both"/>
                    <w:rPr>
                      <w:rFonts w:hint="default" w:ascii="Times New Roman" w:hAnsi="Times New Roman" w:cs="Times New Roman"/>
                      <w:color w:val="auto"/>
                      <w:sz w:val="21"/>
                    </w:rPr>
                  </w:pPr>
                  <w:r>
                    <w:rPr>
                      <w:rFonts w:hint="default" w:ascii="Times New Roman" w:hAnsi="Times New Roman" w:cs="Times New Roman"/>
                      <w:color w:val="auto"/>
                      <w:sz w:val="21"/>
                    </w:rPr>
                    <w:t>配套全厂1</w:t>
                  </w:r>
                  <w:r>
                    <w:rPr>
                      <w:rFonts w:hint="default" w:ascii="Times New Roman" w:hAnsi="Times New Roman" w:cs="Times New Roman"/>
                      <w:color w:val="auto"/>
                      <w:sz w:val="21"/>
                      <w:lang w:val="en-US" w:eastAsia="zh-CN"/>
                    </w:rPr>
                    <w:t>3</w:t>
                  </w:r>
                  <w:r>
                    <w:rPr>
                      <w:rFonts w:hint="default" w:ascii="Times New Roman" w:hAnsi="Times New Roman" w:cs="Times New Roman"/>
                      <w:color w:val="auto"/>
                      <w:sz w:val="21"/>
                    </w:rPr>
                    <w:t>.55万t/a钢丝生产</w:t>
                  </w:r>
                  <w:r>
                    <w:rPr>
                      <w:rFonts w:hint="default" w:ascii="Times New Roman" w:hAnsi="Times New Roman" w:cs="Times New Roman"/>
                      <w:color w:val="auto"/>
                      <w:kern w:val="0"/>
                      <w:sz w:val="21"/>
                      <w:lang w:bidi="ar"/>
                    </w:rPr>
                    <w:t>和</w:t>
                  </w:r>
                  <w:r>
                    <w:rPr>
                      <w:rFonts w:hint="default" w:ascii="Times New Roman" w:hAnsi="Times New Roman" w:cs="Times New Roman"/>
                      <w:color w:val="auto"/>
                      <w:sz w:val="21"/>
                    </w:rPr>
                    <w:t>5#生产车间2</w:t>
                  </w:r>
                  <w:r>
                    <w:rPr>
                      <w:rFonts w:hint="default" w:ascii="Times New Roman" w:hAnsi="Times New Roman" w:cs="Times New Roman"/>
                      <w:color w:val="auto"/>
                      <w:kern w:val="0"/>
                      <w:sz w:val="21"/>
                      <w:lang w:bidi="ar"/>
                    </w:rPr>
                    <w:t>万吨/年钢丝</w:t>
                  </w:r>
                  <w:r>
                    <w:rPr>
                      <w:rFonts w:hint="default" w:ascii="Times New Roman" w:hAnsi="Times New Roman" w:cs="Times New Roman"/>
                      <w:color w:val="auto"/>
                      <w:sz w:val="21"/>
                    </w:rPr>
                    <w:t>。</w:t>
                  </w:r>
                </w:p>
              </w:tc>
            </w:tr>
          </w:tbl>
          <w:p w14:paraId="423DAB2D">
            <w:pPr>
              <w:bidi w:val="0"/>
              <w:rPr>
                <w:rFonts w:hint="default" w:ascii="Times New Roman" w:hAnsi="Times New Roman" w:cs="Times New Roman"/>
                <w:color w:val="auto"/>
              </w:rPr>
            </w:pPr>
            <w:r>
              <w:rPr>
                <w:rFonts w:hint="default" w:ascii="Times New Roman" w:hAnsi="Times New Roman" w:cs="Times New Roman"/>
                <w:color w:val="auto"/>
              </w:rPr>
              <w:t>注：上述冷镦钢盘条、硬线盘条、合金钢盘条生产的最终钢丝产品应能符合 GB/T 5953-2012《冷镦钢丝 第3部分：非调质型冷镦钢丝》、GB/T 4357-2022 《冷拉碳素弹簧钢丝》等国家标准。</w:t>
            </w:r>
          </w:p>
          <w:p w14:paraId="1E680D99">
            <w:pPr>
              <w:pStyle w:val="5"/>
              <w:spacing w:before="189" w:after="189" w:afterLines="50" w:afterAutospacing="0" w:line="240" w:lineRule="auto"/>
              <w:rPr>
                <w:rFonts w:hint="default" w:ascii="Times New Roman" w:hAnsi="Times New Roman" w:cs="Times New Roman"/>
                <w:color w:val="auto"/>
              </w:rPr>
            </w:pPr>
            <w:r>
              <w:rPr>
                <w:rFonts w:hint="default" w:ascii="Times New Roman" w:hAnsi="Times New Roman" w:cs="Times New Roman"/>
                <w:color w:val="auto"/>
              </w:rPr>
              <w:t>2.2.4职工人数及生产制度</w:t>
            </w:r>
          </w:p>
          <w:p w14:paraId="271D5829">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劳动定员：项目新增劳动定员为18人，项目建成后全部在厂员工约120人。</w:t>
            </w:r>
          </w:p>
          <w:p w14:paraId="52D9AD60">
            <w:pPr>
              <w:adjustRightInd w:val="0"/>
              <w:snapToGrid w:val="0"/>
              <w:spacing w:line="360" w:lineRule="auto"/>
              <w:ind w:firstLine="480" w:firstLineChars="200"/>
              <w:rPr>
                <w:rFonts w:hint="default" w:ascii="Times New Roman" w:hAnsi="Times New Roman" w:cs="Times New Roman"/>
                <w:color w:val="auto"/>
              </w:rPr>
            </w:pPr>
            <w:r>
              <w:rPr>
                <w:rFonts w:hint="default" w:ascii="Times New Roman" w:hAnsi="Times New Roman" w:cs="Times New Roman"/>
                <w:color w:val="auto"/>
                <w:sz w:val="24"/>
              </w:rPr>
              <w:t>生产制度：</w:t>
            </w:r>
            <w:r>
              <w:rPr>
                <w:rFonts w:hint="default" w:ascii="Times New Roman" w:hAnsi="Times New Roman" w:cs="Times New Roman"/>
                <w:color w:val="auto"/>
                <w:kern w:val="0"/>
                <w:sz w:val="24"/>
              </w:rPr>
              <w:t>生产车间采用连续倒班工作制，节假日实行轮休，全厂年工作时间330天。本次扩建钢丝生产线年</w:t>
            </w:r>
            <w:r>
              <w:rPr>
                <w:rFonts w:hint="default" w:ascii="Times New Roman" w:hAnsi="Times New Roman" w:cs="Times New Roman"/>
                <w:color w:val="auto"/>
                <w:sz w:val="24"/>
              </w:rPr>
              <w:t>工作天数为300天，每天3班；表面处理生产线年工作天数为300天，每天3班，每班工作8小时。</w:t>
            </w:r>
          </w:p>
          <w:p w14:paraId="5F17EF58">
            <w:pPr>
              <w:pStyle w:val="5"/>
              <w:keepNext w:val="0"/>
              <w:keepLines w:val="0"/>
              <w:pageBreakBefore w:val="0"/>
              <w:widowControl w:val="0"/>
              <w:kinsoku/>
              <w:wordWrap/>
              <w:overflowPunct/>
              <w:topLinePunct w:val="0"/>
              <w:autoSpaceDE/>
              <w:autoSpaceDN/>
              <w:bidi w:val="0"/>
              <w:adjustRightInd w:val="0"/>
              <w:snapToGrid w:val="0"/>
              <w:spacing w:before="113" w:beforeLines="30" w:after="189" w:afterLines="50" w:afterAutospacing="0" w:line="240" w:lineRule="auto"/>
              <w:textAlignment w:val="auto"/>
              <w:rPr>
                <w:rFonts w:hint="default" w:ascii="Times New Roman" w:hAnsi="Times New Roman" w:cs="Times New Roman"/>
                <w:color w:val="auto"/>
              </w:rPr>
            </w:pPr>
            <w:r>
              <w:rPr>
                <w:rFonts w:hint="default" w:ascii="Times New Roman" w:hAnsi="Times New Roman" w:cs="Times New Roman"/>
                <w:color w:val="auto"/>
              </w:rPr>
              <w:t>2.2.5主要原辅材料及燃料消耗</w:t>
            </w:r>
          </w:p>
          <w:p w14:paraId="1AFAE430">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（1）原辅材料及燃料用量</w:t>
            </w:r>
          </w:p>
          <w:p w14:paraId="24C38D3A">
            <w:pPr>
              <w:pStyle w:val="10"/>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本项目新增主要原辅材料、能源消耗详见表2.2-6，项目建成后全厂主要原辅材料、能源消耗详见表2.2-7。</w:t>
            </w:r>
          </w:p>
          <w:p w14:paraId="2E90954A">
            <w:pPr>
              <w:pStyle w:val="7"/>
              <w:spacing w:before="75" w:beforeLines="20" w:after="75" w:afterLines="2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表2.2-6  本项目新增主要原辅材料、能源消耗情况</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1"/>
              <w:gridCol w:w="1443"/>
              <w:gridCol w:w="965"/>
              <w:gridCol w:w="1329"/>
              <w:gridCol w:w="1328"/>
              <w:gridCol w:w="2790"/>
            </w:tblGrid>
            <w:tr w14:paraId="5D23F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tcBorders>
                    <w:tl2br w:val="nil"/>
                    <w:tr2bl w:val="nil"/>
                  </w:tcBorders>
                  <w:vAlign w:val="center"/>
                </w:tcPr>
                <w:p w14:paraId="6664A86F">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序号</w:t>
                  </w:r>
                </w:p>
              </w:tc>
              <w:tc>
                <w:tcPr>
                  <w:tcW w:w="834" w:type="pct"/>
                  <w:tcBorders>
                    <w:tl2br w:val="nil"/>
                    <w:tr2bl w:val="nil"/>
                  </w:tcBorders>
                  <w:vAlign w:val="center"/>
                </w:tcPr>
                <w:p w14:paraId="792B0336">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名称</w:t>
                  </w:r>
                </w:p>
              </w:tc>
              <w:tc>
                <w:tcPr>
                  <w:tcW w:w="558" w:type="pct"/>
                  <w:tcBorders>
                    <w:tl2br w:val="nil"/>
                    <w:tr2bl w:val="nil"/>
                  </w:tcBorders>
                  <w:vAlign w:val="center"/>
                </w:tcPr>
                <w:p w14:paraId="4958681D">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单位</w:t>
                  </w:r>
                </w:p>
              </w:tc>
              <w:tc>
                <w:tcPr>
                  <w:tcW w:w="768" w:type="pct"/>
                  <w:tcBorders>
                    <w:tl2br w:val="nil"/>
                    <w:tr2bl w:val="nil"/>
                  </w:tcBorders>
                  <w:vAlign w:val="center"/>
                </w:tcPr>
                <w:p w14:paraId="4764E9A1">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本项目新增</w:t>
                  </w:r>
                </w:p>
              </w:tc>
              <w:tc>
                <w:tcPr>
                  <w:tcW w:w="767" w:type="pct"/>
                  <w:tcBorders>
                    <w:tl2br w:val="nil"/>
                    <w:tr2bl w:val="nil"/>
                  </w:tcBorders>
                  <w:vAlign w:val="center"/>
                </w:tcPr>
                <w:p w14:paraId="35489D6D">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包装及运输</w:t>
                  </w:r>
                </w:p>
              </w:tc>
              <w:tc>
                <w:tcPr>
                  <w:tcW w:w="1613" w:type="pct"/>
                  <w:tcBorders>
                    <w:tl2br w:val="nil"/>
                    <w:tr2bl w:val="nil"/>
                  </w:tcBorders>
                  <w:vAlign w:val="center"/>
                </w:tcPr>
                <w:p w14:paraId="6CF6C825">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备注</w:t>
                  </w:r>
                </w:p>
              </w:tc>
            </w:tr>
            <w:tr w14:paraId="333F3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000" w:type="pct"/>
                  <w:gridSpan w:val="6"/>
                  <w:tcBorders>
                    <w:tl2br w:val="nil"/>
                    <w:tr2bl w:val="nil"/>
                  </w:tcBorders>
                  <w:vAlign w:val="center"/>
                </w:tcPr>
                <w:p w14:paraId="308EF4B9">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工艺主要原辅材料</w:t>
                  </w:r>
                </w:p>
              </w:tc>
            </w:tr>
            <w:tr w14:paraId="474E7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tcBorders>
                    <w:tl2br w:val="nil"/>
                    <w:tr2bl w:val="nil"/>
                  </w:tcBorders>
                  <w:vAlign w:val="center"/>
                </w:tcPr>
                <w:p w14:paraId="2B79C734">
                  <w:pPr>
                    <w:pStyle w:val="131"/>
                    <w:keepNext w:val="0"/>
                    <w:keepLines w:val="0"/>
                    <w:pageBreakBefore w:val="0"/>
                    <w:numPr>
                      <w:ilvl w:val="0"/>
                      <w:numId w:val="7"/>
                    </w:numPr>
                    <w:kinsoku/>
                    <w:wordWrap/>
                    <w:overflowPunct/>
                    <w:topLinePunct w:val="0"/>
                    <w:autoSpaceDE/>
                    <w:autoSpaceDN/>
                    <w:bidi w:val="0"/>
                    <w:snapToGrid w:val="0"/>
                    <w:spacing w:line="240" w:lineRule="auto"/>
                    <w:rPr>
                      <w:rFonts w:hint="default" w:ascii="Times New Roman" w:hAnsi="Times New Roman" w:cs="Times New Roman"/>
                      <w:color w:val="auto"/>
                    </w:rPr>
                  </w:pPr>
                </w:p>
              </w:tc>
              <w:tc>
                <w:tcPr>
                  <w:tcW w:w="834" w:type="pct"/>
                  <w:tcBorders>
                    <w:tl2br w:val="nil"/>
                    <w:tr2bl w:val="nil"/>
                  </w:tcBorders>
                  <w:vAlign w:val="center"/>
                </w:tcPr>
                <w:p w14:paraId="5C2F6086">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rPr>
                    <w:t>热轧盘条</w:t>
                  </w:r>
                </w:p>
              </w:tc>
              <w:tc>
                <w:tcPr>
                  <w:tcW w:w="558" w:type="pct"/>
                  <w:tcBorders>
                    <w:tl2br w:val="nil"/>
                    <w:tr2bl w:val="nil"/>
                  </w:tcBorders>
                  <w:vAlign w:val="center"/>
                </w:tcPr>
                <w:p w14:paraId="2A3604E3">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szCs w:val="21"/>
                    </w:rPr>
                    <w:t>万吨/年</w:t>
                  </w:r>
                </w:p>
              </w:tc>
              <w:tc>
                <w:tcPr>
                  <w:tcW w:w="768" w:type="pct"/>
                  <w:tcBorders>
                    <w:tl2br w:val="nil"/>
                    <w:tr2bl w:val="nil"/>
                  </w:tcBorders>
                  <w:vAlign w:val="center"/>
                </w:tcPr>
                <w:p w14:paraId="6A08989B">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eastAsia="宋体" w:cs="Times New Roman"/>
                      <w:color w:val="auto"/>
                      <w:lang w:eastAsia="zh-CN"/>
                    </w:rPr>
                  </w:pPr>
                </w:p>
              </w:tc>
              <w:tc>
                <w:tcPr>
                  <w:tcW w:w="767" w:type="pct"/>
                  <w:tcBorders>
                    <w:tl2br w:val="nil"/>
                    <w:tr2bl w:val="nil"/>
                  </w:tcBorders>
                  <w:vAlign w:val="center"/>
                </w:tcPr>
                <w:p w14:paraId="2CB42C9D">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汽车运输</w:t>
                  </w:r>
                </w:p>
              </w:tc>
              <w:tc>
                <w:tcPr>
                  <w:tcW w:w="1613" w:type="pct"/>
                  <w:tcBorders>
                    <w:tl2br w:val="nil"/>
                    <w:tr2bl w:val="nil"/>
                  </w:tcBorders>
                  <w:vAlign w:val="center"/>
                </w:tcPr>
                <w:p w14:paraId="0708EE78">
                  <w:pPr>
                    <w:pStyle w:val="131"/>
                    <w:keepNext w:val="0"/>
                    <w:keepLines w:val="0"/>
                    <w:pageBreakBefore w:val="0"/>
                    <w:kinsoku/>
                    <w:wordWrap/>
                    <w:overflowPunct/>
                    <w:topLinePunct w:val="0"/>
                    <w:autoSpaceDE/>
                    <w:autoSpaceDN/>
                    <w:bidi w:val="0"/>
                    <w:snapToGrid w:val="0"/>
                    <w:spacing w:line="240" w:lineRule="auto"/>
                    <w:jc w:val="both"/>
                    <w:rPr>
                      <w:rFonts w:hint="default" w:ascii="Times New Roman" w:hAnsi="Times New Roman" w:cs="Times New Roman"/>
                      <w:color w:val="auto"/>
                    </w:rPr>
                  </w:pPr>
                  <w:r>
                    <w:rPr>
                      <w:rFonts w:hint="default" w:ascii="Times New Roman" w:hAnsi="Times New Roman" w:cs="Times New Roman"/>
                      <w:color w:val="auto"/>
                    </w:rPr>
                    <w:t>主要来自福建三钢集团（规格60#、65#、70# 、65Mn 、80#、82B）</w:t>
                  </w:r>
                </w:p>
              </w:tc>
            </w:tr>
            <w:tr w14:paraId="5906B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tcBorders>
                    <w:tl2br w:val="nil"/>
                    <w:tr2bl w:val="nil"/>
                  </w:tcBorders>
                  <w:vAlign w:val="center"/>
                </w:tcPr>
                <w:p w14:paraId="3473FC16">
                  <w:pPr>
                    <w:pStyle w:val="131"/>
                    <w:keepNext w:val="0"/>
                    <w:keepLines w:val="0"/>
                    <w:pageBreakBefore w:val="0"/>
                    <w:numPr>
                      <w:ilvl w:val="0"/>
                      <w:numId w:val="7"/>
                    </w:numPr>
                    <w:kinsoku/>
                    <w:wordWrap/>
                    <w:overflowPunct/>
                    <w:topLinePunct w:val="0"/>
                    <w:autoSpaceDE/>
                    <w:autoSpaceDN/>
                    <w:bidi w:val="0"/>
                    <w:snapToGrid w:val="0"/>
                    <w:spacing w:line="240" w:lineRule="auto"/>
                    <w:rPr>
                      <w:rFonts w:hint="default" w:ascii="Times New Roman" w:hAnsi="Times New Roman" w:cs="Times New Roman"/>
                      <w:color w:val="auto"/>
                    </w:rPr>
                  </w:pPr>
                </w:p>
              </w:tc>
              <w:tc>
                <w:tcPr>
                  <w:tcW w:w="834" w:type="pct"/>
                  <w:tcBorders>
                    <w:tl2br w:val="nil"/>
                    <w:tr2bl w:val="nil"/>
                  </w:tcBorders>
                  <w:vAlign w:val="center"/>
                </w:tcPr>
                <w:p w14:paraId="60F533C2">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rPr>
                    <w:t>热轧</w:t>
                  </w:r>
                  <w:r>
                    <w:rPr>
                      <w:rFonts w:hint="default" w:ascii="Times New Roman" w:hAnsi="Times New Roman" w:cs="Times New Roman"/>
                      <w:color w:val="auto"/>
                      <w:kern w:val="0"/>
                      <w:szCs w:val="21"/>
                    </w:rPr>
                    <w:t>盘条</w:t>
                  </w:r>
                </w:p>
              </w:tc>
              <w:tc>
                <w:tcPr>
                  <w:tcW w:w="558" w:type="pct"/>
                  <w:tcBorders>
                    <w:tl2br w:val="nil"/>
                    <w:tr2bl w:val="nil"/>
                  </w:tcBorders>
                  <w:vAlign w:val="center"/>
                </w:tcPr>
                <w:p w14:paraId="51E075AB">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万吨/年</w:t>
                  </w:r>
                </w:p>
              </w:tc>
              <w:tc>
                <w:tcPr>
                  <w:tcW w:w="768" w:type="pct"/>
                  <w:tcBorders>
                    <w:tl2br w:val="nil"/>
                    <w:tr2bl w:val="nil"/>
                  </w:tcBorders>
                  <w:vAlign w:val="center"/>
                </w:tcPr>
                <w:p w14:paraId="7FEF5BC9">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eastAsia="宋体" w:cs="Times New Roman"/>
                      <w:color w:val="auto"/>
                      <w:lang w:eastAsia="zh-CN"/>
                    </w:rPr>
                  </w:pPr>
                </w:p>
              </w:tc>
              <w:tc>
                <w:tcPr>
                  <w:tcW w:w="767" w:type="pct"/>
                  <w:tcBorders>
                    <w:tl2br w:val="nil"/>
                    <w:tr2bl w:val="nil"/>
                  </w:tcBorders>
                  <w:vAlign w:val="center"/>
                </w:tcPr>
                <w:p w14:paraId="30FCC11A">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eastAsiaTheme="minorEastAsia"/>
                      <w:color w:val="auto"/>
                      <w:szCs w:val="21"/>
                    </w:rPr>
                  </w:pPr>
                  <w:r>
                    <w:rPr>
                      <w:rFonts w:hint="default" w:ascii="Times New Roman" w:hAnsi="Times New Roman" w:cs="Times New Roman"/>
                      <w:color w:val="auto"/>
                    </w:rPr>
                    <w:t>汽车运输</w:t>
                  </w:r>
                </w:p>
              </w:tc>
              <w:tc>
                <w:tcPr>
                  <w:tcW w:w="1613" w:type="pct"/>
                  <w:tcBorders>
                    <w:tl2br w:val="nil"/>
                    <w:tr2bl w:val="nil"/>
                  </w:tcBorders>
                  <w:vAlign w:val="center"/>
                </w:tcPr>
                <w:p w14:paraId="5520AEA6">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szCs w:val="21"/>
                    </w:rPr>
                    <w:t>来自</w:t>
                  </w:r>
                  <w:r>
                    <w:rPr>
                      <w:rFonts w:hint="default" w:ascii="Times New Roman" w:hAnsi="Times New Roman" w:cs="Times New Roman"/>
                      <w:color w:val="auto"/>
                      <w:szCs w:val="21"/>
                      <w:lang w:val="en-US" w:eastAsia="zh-CN"/>
                    </w:rPr>
                    <w:t>公司内租贷</w:t>
                  </w:r>
                  <w:r>
                    <w:rPr>
                      <w:rFonts w:hint="default" w:ascii="Times New Roman" w:hAnsi="Times New Roman" w:cs="Times New Roman"/>
                      <w:color w:val="auto"/>
                      <w:szCs w:val="21"/>
                    </w:rPr>
                    <w:t>企业</w:t>
                  </w:r>
                </w:p>
              </w:tc>
            </w:tr>
            <w:tr w14:paraId="2F38B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tcBorders>
                    <w:tl2br w:val="nil"/>
                    <w:tr2bl w:val="nil"/>
                  </w:tcBorders>
                  <w:vAlign w:val="center"/>
                </w:tcPr>
                <w:p w14:paraId="6221B236">
                  <w:pPr>
                    <w:pStyle w:val="131"/>
                    <w:keepNext w:val="0"/>
                    <w:keepLines w:val="0"/>
                    <w:pageBreakBefore w:val="0"/>
                    <w:numPr>
                      <w:ilvl w:val="0"/>
                      <w:numId w:val="7"/>
                    </w:numPr>
                    <w:kinsoku/>
                    <w:wordWrap/>
                    <w:overflowPunct/>
                    <w:topLinePunct w:val="0"/>
                    <w:autoSpaceDE/>
                    <w:autoSpaceDN/>
                    <w:bidi w:val="0"/>
                    <w:snapToGrid w:val="0"/>
                    <w:spacing w:line="240" w:lineRule="auto"/>
                    <w:rPr>
                      <w:rFonts w:hint="default" w:ascii="Times New Roman" w:hAnsi="Times New Roman" w:cs="Times New Roman"/>
                      <w:color w:val="auto"/>
                    </w:rPr>
                  </w:pPr>
                </w:p>
              </w:tc>
              <w:tc>
                <w:tcPr>
                  <w:tcW w:w="834" w:type="pct"/>
                  <w:tcBorders>
                    <w:tl2br w:val="nil"/>
                    <w:tr2bl w:val="nil"/>
                  </w:tcBorders>
                  <w:vAlign w:val="center"/>
                </w:tcPr>
                <w:p w14:paraId="686CFBBF">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rPr>
                    <w:t>拉丝润滑粉</w:t>
                  </w:r>
                </w:p>
              </w:tc>
              <w:tc>
                <w:tcPr>
                  <w:tcW w:w="558" w:type="pct"/>
                  <w:tcBorders>
                    <w:tl2br w:val="nil"/>
                    <w:tr2bl w:val="nil"/>
                  </w:tcBorders>
                  <w:vAlign w:val="center"/>
                </w:tcPr>
                <w:p w14:paraId="45D14B72">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color w:val="auto"/>
                      <w:szCs w:val="21"/>
                    </w:rPr>
                  </w:pPr>
                  <w:r>
                    <w:rPr>
                      <w:rFonts w:hint="default" w:ascii="Times New Roman" w:hAnsi="Times New Roman" w:cs="Times New Roman"/>
                      <w:color w:val="auto"/>
                    </w:rPr>
                    <w:t>吨/年</w:t>
                  </w:r>
                </w:p>
              </w:tc>
              <w:tc>
                <w:tcPr>
                  <w:tcW w:w="768" w:type="pct"/>
                  <w:tcBorders>
                    <w:tl2br w:val="nil"/>
                    <w:tr2bl w:val="nil"/>
                  </w:tcBorders>
                  <w:vAlign w:val="center"/>
                </w:tcPr>
                <w:p w14:paraId="58986A88">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eastAsia="宋体" w:cs="Times New Roman"/>
                      <w:color w:val="auto"/>
                      <w:lang w:val="en-US" w:eastAsia="zh-CN"/>
                    </w:rPr>
                  </w:pPr>
                </w:p>
              </w:tc>
              <w:tc>
                <w:tcPr>
                  <w:tcW w:w="767" w:type="pct"/>
                  <w:tcBorders>
                    <w:tl2br w:val="nil"/>
                    <w:tr2bl w:val="nil"/>
                  </w:tcBorders>
                  <w:vAlign w:val="center"/>
                </w:tcPr>
                <w:p w14:paraId="4A26B0EC">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color w:val="auto"/>
                    </w:rPr>
                  </w:pPr>
                  <w:r>
                    <w:rPr>
                      <w:rFonts w:hint="default" w:ascii="Times New Roman" w:hAnsi="Times New Roman" w:cs="Times New Roman" w:eastAsiaTheme="minorEastAsia"/>
                      <w:color w:val="auto"/>
                      <w:szCs w:val="21"/>
                    </w:rPr>
                    <w:t>袋装</w:t>
                  </w:r>
                </w:p>
              </w:tc>
              <w:tc>
                <w:tcPr>
                  <w:tcW w:w="1613" w:type="pct"/>
                  <w:tcBorders>
                    <w:tl2br w:val="nil"/>
                    <w:tr2bl w:val="nil"/>
                  </w:tcBorders>
                  <w:vAlign w:val="center"/>
                </w:tcPr>
                <w:p w14:paraId="79D0FBB5">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eastAsiaTheme="minorEastAsia"/>
                      <w:color w:val="auto"/>
                      <w:szCs w:val="21"/>
                    </w:rPr>
                  </w:pPr>
                  <w:r>
                    <w:rPr>
                      <w:rFonts w:hint="default" w:ascii="Times New Roman" w:hAnsi="Times New Roman" w:cs="Times New Roman"/>
                      <w:color w:val="auto"/>
                      <w:szCs w:val="21"/>
                    </w:rPr>
                    <w:t>用于</w:t>
                  </w:r>
                  <w:r>
                    <w:rPr>
                      <w:rFonts w:hint="default" w:ascii="Times New Roman" w:hAnsi="Times New Roman" w:cs="Times New Roman"/>
                      <w:color w:val="auto"/>
                    </w:rPr>
                    <w:t>拉丝</w:t>
                  </w:r>
                </w:p>
              </w:tc>
            </w:tr>
            <w:tr w14:paraId="2D019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tcBorders>
                    <w:tl2br w:val="nil"/>
                    <w:tr2bl w:val="nil"/>
                  </w:tcBorders>
                  <w:vAlign w:val="center"/>
                </w:tcPr>
                <w:p w14:paraId="0653B3A6">
                  <w:pPr>
                    <w:pStyle w:val="131"/>
                    <w:keepNext w:val="0"/>
                    <w:keepLines w:val="0"/>
                    <w:pageBreakBefore w:val="0"/>
                    <w:numPr>
                      <w:ilvl w:val="0"/>
                      <w:numId w:val="7"/>
                    </w:numPr>
                    <w:kinsoku/>
                    <w:wordWrap/>
                    <w:overflowPunct/>
                    <w:topLinePunct w:val="0"/>
                    <w:autoSpaceDE/>
                    <w:autoSpaceDN/>
                    <w:bidi w:val="0"/>
                    <w:snapToGrid w:val="0"/>
                    <w:spacing w:line="240" w:lineRule="auto"/>
                    <w:rPr>
                      <w:rFonts w:hint="default" w:ascii="Times New Roman" w:hAnsi="Times New Roman" w:cs="Times New Roman"/>
                      <w:color w:val="auto"/>
                    </w:rPr>
                  </w:pPr>
                </w:p>
              </w:tc>
              <w:tc>
                <w:tcPr>
                  <w:tcW w:w="834" w:type="pct"/>
                  <w:tcBorders>
                    <w:tl2br w:val="nil"/>
                    <w:tr2bl w:val="nil"/>
                  </w:tcBorders>
                  <w:vAlign w:val="center"/>
                </w:tcPr>
                <w:p w14:paraId="30008EFA">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盐酸（3</w:t>
                  </w:r>
                  <w:r>
                    <w:rPr>
                      <w:rFonts w:hint="default" w:ascii="Times New Roman" w:hAnsi="Times New Roman" w:cs="Times New Roman"/>
                      <w:color w:val="auto"/>
                      <w:kern w:val="0"/>
                      <w:szCs w:val="21"/>
                      <w:lang w:val="en-US" w:eastAsia="zh-CN"/>
                    </w:rPr>
                    <w:t>2</w:t>
                  </w:r>
                  <w:r>
                    <w:rPr>
                      <w:rFonts w:hint="default" w:ascii="Times New Roman" w:hAnsi="Times New Roman" w:cs="Times New Roman"/>
                      <w:color w:val="auto"/>
                      <w:kern w:val="0"/>
                      <w:szCs w:val="21"/>
                    </w:rPr>
                    <w:t>%）</w:t>
                  </w:r>
                </w:p>
              </w:tc>
              <w:tc>
                <w:tcPr>
                  <w:tcW w:w="558" w:type="pct"/>
                  <w:tcBorders>
                    <w:tl2br w:val="nil"/>
                    <w:tr2bl w:val="nil"/>
                  </w:tcBorders>
                  <w:vAlign w:val="center"/>
                </w:tcPr>
                <w:p w14:paraId="1C4F09BA">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吨/年</w:t>
                  </w:r>
                </w:p>
              </w:tc>
              <w:tc>
                <w:tcPr>
                  <w:tcW w:w="768" w:type="pct"/>
                  <w:tcBorders>
                    <w:tl2br w:val="nil"/>
                    <w:tr2bl w:val="nil"/>
                  </w:tcBorders>
                  <w:vAlign w:val="center"/>
                </w:tcPr>
                <w:p w14:paraId="0EAB447E">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p>
              </w:tc>
              <w:tc>
                <w:tcPr>
                  <w:tcW w:w="767" w:type="pct"/>
                  <w:tcBorders>
                    <w:tl2br w:val="nil"/>
                    <w:tr2bl w:val="nil"/>
                  </w:tcBorders>
                  <w:vAlign w:val="center"/>
                </w:tcPr>
                <w:p w14:paraId="5A98806E">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eastAsiaTheme="minorEastAsia"/>
                      <w:color w:val="auto"/>
                      <w:szCs w:val="21"/>
                    </w:rPr>
                    <w:t>槽车运输</w:t>
                  </w:r>
                </w:p>
              </w:tc>
              <w:tc>
                <w:tcPr>
                  <w:tcW w:w="1613" w:type="pct"/>
                  <w:vMerge w:val="restart"/>
                  <w:tcBorders>
                    <w:tl2br w:val="nil"/>
                    <w:tr2bl w:val="nil"/>
                  </w:tcBorders>
                  <w:vAlign w:val="center"/>
                </w:tcPr>
                <w:p w14:paraId="7CF95D60">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用于表面处理工序</w:t>
                  </w:r>
                </w:p>
              </w:tc>
            </w:tr>
            <w:tr w14:paraId="180B7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tcBorders>
                    <w:tl2br w:val="nil"/>
                    <w:tr2bl w:val="nil"/>
                  </w:tcBorders>
                  <w:vAlign w:val="center"/>
                </w:tcPr>
                <w:p w14:paraId="0BA9D118">
                  <w:pPr>
                    <w:pStyle w:val="131"/>
                    <w:keepNext w:val="0"/>
                    <w:keepLines w:val="0"/>
                    <w:pageBreakBefore w:val="0"/>
                    <w:numPr>
                      <w:ilvl w:val="0"/>
                      <w:numId w:val="7"/>
                    </w:numPr>
                    <w:kinsoku/>
                    <w:wordWrap/>
                    <w:overflowPunct/>
                    <w:topLinePunct w:val="0"/>
                    <w:autoSpaceDE/>
                    <w:autoSpaceDN/>
                    <w:bidi w:val="0"/>
                    <w:snapToGrid w:val="0"/>
                    <w:spacing w:line="240" w:lineRule="auto"/>
                    <w:rPr>
                      <w:rFonts w:hint="default" w:ascii="Times New Roman" w:hAnsi="Times New Roman" w:cs="Times New Roman"/>
                      <w:color w:val="auto"/>
                    </w:rPr>
                  </w:pPr>
                </w:p>
              </w:tc>
              <w:tc>
                <w:tcPr>
                  <w:tcW w:w="834" w:type="pct"/>
                  <w:tcBorders>
                    <w:tl2br w:val="nil"/>
                    <w:tr2bl w:val="nil"/>
                  </w:tcBorders>
                  <w:vAlign w:val="center"/>
                </w:tcPr>
                <w:p w14:paraId="6986A8D9">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磷化液</w:t>
                  </w:r>
                </w:p>
              </w:tc>
              <w:tc>
                <w:tcPr>
                  <w:tcW w:w="558" w:type="pct"/>
                  <w:tcBorders>
                    <w:tl2br w:val="nil"/>
                    <w:tr2bl w:val="nil"/>
                  </w:tcBorders>
                  <w:vAlign w:val="center"/>
                </w:tcPr>
                <w:p w14:paraId="3D1AE4B4">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吨/年</w:t>
                  </w:r>
                </w:p>
              </w:tc>
              <w:tc>
                <w:tcPr>
                  <w:tcW w:w="768" w:type="pct"/>
                  <w:tcBorders>
                    <w:tl2br w:val="nil"/>
                    <w:tr2bl w:val="nil"/>
                  </w:tcBorders>
                  <w:vAlign w:val="center"/>
                </w:tcPr>
                <w:p w14:paraId="5DE831E1">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p>
              </w:tc>
              <w:tc>
                <w:tcPr>
                  <w:tcW w:w="767" w:type="pct"/>
                  <w:tcBorders>
                    <w:tl2br w:val="nil"/>
                    <w:tr2bl w:val="nil"/>
                  </w:tcBorders>
                  <w:vAlign w:val="center"/>
                </w:tcPr>
                <w:p w14:paraId="1AF2E561">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eastAsiaTheme="minorEastAsia"/>
                      <w:color w:val="auto"/>
                      <w:szCs w:val="21"/>
                    </w:rPr>
                    <w:t>桶装</w:t>
                  </w:r>
                </w:p>
              </w:tc>
              <w:tc>
                <w:tcPr>
                  <w:tcW w:w="1613" w:type="pct"/>
                  <w:vMerge w:val="continue"/>
                  <w:tcBorders>
                    <w:tl2br w:val="nil"/>
                    <w:tr2bl w:val="nil"/>
                  </w:tcBorders>
                  <w:vAlign w:val="center"/>
                </w:tcPr>
                <w:p w14:paraId="59231720">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p>
              </w:tc>
            </w:tr>
            <w:tr w14:paraId="57072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tcBorders>
                    <w:tl2br w:val="nil"/>
                    <w:tr2bl w:val="nil"/>
                  </w:tcBorders>
                  <w:vAlign w:val="center"/>
                </w:tcPr>
                <w:p w14:paraId="381AB712">
                  <w:pPr>
                    <w:pStyle w:val="131"/>
                    <w:keepNext w:val="0"/>
                    <w:keepLines w:val="0"/>
                    <w:pageBreakBefore w:val="0"/>
                    <w:numPr>
                      <w:ilvl w:val="0"/>
                      <w:numId w:val="7"/>
                    </w:numPr>
                    <w:kinsoku/>
                    <w:wordWrap/>
                    <w:overflowPunct/>
                    <w:topLinePunct w:val="0"/>
                    <w:autoSpaceDE/>
                    <w:autoSpaceDN/>
                    <w:bidi w:val="0"/>
                    <w:snapToGrid w:val="0"/>
                    <w:spacing w:line="240" w:lineRule="auto"/>
                    <w:rPr>
                      <w:rFonts w:hint="default" w:ascii="Times New Roman" w:hAnsi="Times New Roman" w:cs="Times New Roman"/>
                      <w:color w:val="auto"/>
                    </w:rPr>
                  </w:pPr>
                </w:p>
              </w:tc>
              <w:tc>
                <w:tcPr>
                  <w:tcW w:w="834" w:type="pct"/>
                  <w:tcBorders>
                    <w:tl2br w:val="nil"/>
                    <w:tr2bl w:val="nil"/>
                  </w:tcBorders>
                  <w:vAlign w:val="center"/>
                </w:tcPr>
                <w:p w14:paraId="32F12E8F">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皂片</w:t>
                  </w:r>
                </w:p>
              </w:tc>
              <w:tc>
                <w:tcPr>
                  <w:tcW w:w="558" w:type="pct"/>
                  <w:tcBorders>
                    <w:tl2br w:val="nil"/>
                    <w:tr2bl w:val="nil"/>
                  </w:tcBorders>
                  <w:vAlign w:val="center"/>
                </w:tcPr>
                <w:p w14:paraId="2A7BACFC">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吨/年</w:t>
                  </w:r>
                </w:p>
              </w:tc>
              <w:tc>
                <w:tcPr>
                  <w:tcW w:w="768" w:type="pct"/>
                  <w:tcBorders>
                    <w:tl2br w:val="nil"/>
                    <w:tr2bl w:val="nil"/>
                  </w:tcBorders>
                  <w:vAlign w:val="center"/>
                </w:tcPr>
                <w:p w14:paraId="7B1ECF32">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p>
              </w:tc>
              <w:tc>
                <w:tcPr>
                  <w:tcW w:w="767" w:type="pct"/>
                  <w:tcBorders>
                    <w:tl2br w:val="nil"/>
                    <w:tr2bl w:val="nil"/>
                  </w:tcBorders>
                  <w:vAlign w:val="center"/>
                </w:tcPr>
                <w:p w14:paraId="4A7009CD">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eastAsiaTheme="minorEastAsia"/>
                      <w:color w:val="auto"/>
                      <w:szCs w:val="21"/>
                    </w:rPr>
                    <w:t>袋装</w:t>
                  </w:r>
                </w:p>
              </w:tc>
              <w:tc>
                <w:tcPr>
                  <w:tcW w:w="1613" w:type="pct"/>
                  <w:vMerge w:val="continue"/>
                  <w:tcBorders>
                    <w:tl2br w:val="nil"/>
                    <w:tr2bl w:val="nil"/>
                  </w:tcBorders>
                  <w:vAlign w:val="center"/>
                </w:tcPr>
                <w:p w14:paraId="2E8D4334">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p>
              </w:tc>
            </w:tr>
            <w:tr w14:paraId="34330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tcBorders>
                    <w:tl2br w:val="nil"/>
                    <w:tr2bl w:val="nil"/>
                  </w:tcBorders>
                  <w:vAlign w:val="center"/>
                </w:tcPr>
                <w:p w14:paraId="7FD37018">
                  <w:pPr>
                    <w:pStyle w:val="131"/>
                    <w:keepNext w:val="0"/>
                    <w:keepLines w:val="0"/>
                    <w:pageBreakBefore w:val="0"/>
                    <w:numPr>
                      <w:ilvl w:val="0"/>
                      <w:numId w:val="7"/>
                    </w:numPr>
                    <w:kinsoku/>
                    <w:wordWrap/>
                    <w:overflowPunct/>
                    <w:topLinePunct w:val="0"/>
                    <w:autoSpaceDE/>
                    <w:autoSpaceDN/>
                    <w:bidi w:val="0"/>
                    <w:snapToGrid w:val="0"/>
                    <w:spacing w:line="240" w:lineRule="auto"/>
                    <w:rPr>
                      <w:rFonts w:hint="default" w:ascii="Times New Roman" w:hAnsi="Times New Roman" w:cs="Times New Roman"/>
                      <w:color w:val="auto"/>
                    </w:rPr>
                  </w:pPr>
                </w:p>
              </w:tc>
              <w:tc>
                <w:tcPr>
                  <w:tcW w:w="834" w:type="pct"/>
                  <w:tcBorders>
                    <w:tl2br w:val="nil"/>
                    <w:tr2bl w:val="nil"/>
                  </w:tcBorders>
                  <w:vAlign w:val="center"/>
                </w:tcPr>
                <w:p w14:paraId="7E3B97A3">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碱片</w:t>
                  </w:r>
                </w:p>
              </w:tc>
              <w:tc>
                <w:tcPr>
                  <w:tcW w:w="558" w:type="pct"/>
                  <w:tcBorders>
                    <w:tl2br w:val="nil"/>
                    <w:tr2bl w:val="nil"/>
                  </w:tcBorders>
                  <w:vAlign w:val="center"/>
                </w:tcPr>
                <w:p w14:paraId="30186FF6">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吨/年</w:t>
                  </w:r>
                </w:p>
              </w:tc>
              <w:tc>
                <w:tcPr>
                  <w:tcW w:w="768" w:type="pct"/>
                  <w:tcBorders>
                    <w:tl2br w:val="nil"/>
                    <w:tr2bl w:val="nil"/>
                  </w:tcBorders>
                  <w:vAlign w:val="center"/>
                </w:tcPr>
                <w:p w14:paraId="429653A3">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p>
              </w:tc>
              <w:tc>
                <w:tcPr>
                  <w:tcW w:w="767" w:type="pct"/>
                  <w:tcBorders>
                    <w:tl2br w:val="nil"/>
                    <w:tr2bl w:val="nil"/>
                  </w:tcBorders>
                  <w:vAlign w:val="center"/>
                </w:tcPr>
                <w:p w14:paraId="2A4DF542">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eastAsiaTheme="minorEastAsia"/>
                      <w:color w:val="auto"/>
                      <w:szCs w:val="21"/>
                    </w:rPr>
                    <w:t>袋装</w:t>
                  </w:r>
                </w:p>
              </w:tc>
              <w:tc>
                <w:tcPr>
                  <w:tcW w:w="1613" w:type="pct"/>
                  <w:vMerge w:val="continue"/>
                  <w:tcBorders>
                    <w:tl2br w:val="nil"/>
                    <w:tr2bl w:val="nil"/>
                  </w:tcBorders>
                  <w:vAlign w:val="center"/>
                </w:tcPr>
                <w:p w14:paraId="7498CAA8">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p>
              </w:tc>
            </w:tr>
            <w:tr w14:paraId="7EDD2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tcBorders>
                    <w:tl2br w:val="nil"/>
                    <w:tr2bl w:val="nil"/>
                  </w:tcBorders>
                  <w:vAlign w:val="center"/>
                </w:tcPr>
                <w:p w14:paraId="6B8A5A50">
                  <w:pPr>
                    <w:pStyle w:val="131"/>
                    <w:keepNext w:val="0"/>
                    <w:keepLines w:val="0"/>
                    <w:pageBreakBefore w:val="0"/>
                    <w:numPr>
                      <w:ilvl w:val="0"/>
                      <w:numId w:val="7"/>
                    </w:numPr>
                    <w:kinsoku/>
                    <w:wordWrap/>
                    <w:overflowPunct/>
                    <w:topLinePunct w:val="0"/>
                    <w:autoSpaceDE/>
                    <w:autoSpaceDN/>
                    <w:bidi w:val="0"/>
                    <w:snapToGrid w:val="0"/>
                    <w:spacing w:line="240" w:lineRule="auto"/>
                    <w:rPr>
                      <w:rFonts w:hint="default" w:ascii="Times New Roman" w:hAnsi="Times New Roman" w:cs="Times New Roman"/>
                      <w:color w:val="auto"/>
                    </w:rPr>
                  </w:pPr>
                </w:p>
              </w:tc>
              <w:tc>
                <w:tcPr>
                  <w:tcW w:w="834" w:type="pct"/>
                  <w:tcBorders>
                    <w:tl2br w:val="nil"/>
                    <w:tr2bl w:val="nil"/>
                  </w:tcBorders>
                  <w:vAlign w:val="center"/>
                </w:tcPr>
                <w:p w14:paraId="5A643D59">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草酸</w:t>
                  </w:r>
                </w:p>
              </w:tc>
              <w:tc>
                <w:tcPr>
                  <w:tcW w:w="558" w:type="pct"/>
                  <w:tcBorders>
                    <w:tl2br w:val="nil"/>
                    <w:tr2bl w:val="nil"/>
                  </w:tcBorders>
                  <w:vAlign w:val="center"/>
                </w:tcPr>
                <w:p w14:paraId="6650A5AA">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吨/年</w:t>
                  </w:r>
                </w:p>
              </w:tc>
              <w:tc>
                <w:tcPr>
                  <w:tcW w:w="768" w:type="pct"/>
                  <w:tcBorders>
                    <w:tl2br w:val="nil"/>
                    <w:tr2bl w:val="nil"/>
                  </w:tcBorders>
                  <w:vAlign w:val="center"/>
                </w:tcPr>
                <w:p w14:paraId="3AAB0216">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p>
              </w:tc>
              <w:tc>
                <w:tcPr>
                  <w:tcW w:w="767" w:type="pct"/>
                  <w:tcBorders>
                    <w:tl2br w:val="nil"/>
                    <w:tr2bl w:val="nil"/>
                  </w:tcBorders>
                  <w:vAlign w:val="center"/>
                </w:tcPr>
                <w:p w14:paraId="212ED2C8">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eastAsiaTheme="minorEastAsia"/>
                      <w:color w:val="auto"/>
                      <w:szCs w:val="21"/>
                    </w:rPr>
                    <w:t>袋装</w:t>
                  </w:r>
                </w:p>
              </w:tc>
              <w:tc>
                <w:tcPr>
                  <w:tcW w:w="1613" w:type="pct"/>
                  <w:vMerge w:val="continue"/>
                  <w:tcBorders>
                    <w:tl2br w:val="nil"/>
                    <w:tr2bl w:val="nil"/>
                  </w:tcBorders>
                  <w:vAlign w:val="center"/>
                </w:tcPr>
                <w:p w14:paraId="3299F87F">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p>
              </w:tc>
            </w:tr>
            <w:tr w14:paraId="00867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tcBorders>
                    <w:tl2br w:val="nil"/>
                    <w:tr2bl w:val="nil"/>
                  </w:tcBorders>
                  <w:vAlign w:val="center"/>
                </w:tcPr>
                <w:p w14:paraId="0B4CF83D">
                  <w:pPr>
                    <w:pStyle w:val="131"/>
                    <w:keepNext w:val="0"/>
                    <w:keepLines w:val="0"/>
                    <w:pageBreakBefore w:val="0"/>
                    <w:numPr>
                      <w:ilvl w:val="0"/>
                      <w:numId w:val="7"/>
                    </w:numPr>
                    <w:kinsoku/>
                    <w:wordWrap/>
                    <w:overflowPunct/>
                    <w:topLinePunct w:val="0"/>
                    <w:autoSpaceDE/>
                    <w:autoSpaceDN/>
                    <w:bidi w:val="0"/>
                    <w:snapToGrid w:val="0"/>
                    <w:spacing w:line="240" w:lineRule="auto"/>
                    <w:rPr>
                      <w:rFonts w:hint="default" w:ascii="Times New Roman" w:hAnsi="Times New Roman" w:cs="Times New Roman"/>
                      <w:color w:val="auto"/>
                    </w:rPr>
                  </w:pPr>
                </w:p>
              </w:tc>
              <w:tc>
                <w:tcPr>
                  <w:tcW w:w="834" w:type="pct"/>
                  <w:tcBorders>
                    <w:tl2br w:val="nil"/>
                    <w:tr2bl w:val="nil"/>
                  </w:tcBorders>
                  <w:vAlign w:val="center"/>
                </w:tcPr>
                <w:p w14:paraId="65BBB1A1">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石灰</w:t>
                  </w:r>
                </w:p>
              </w:tc>
              <w:tc>
                <w:tcPr>
                  <w:tcW w:w="558" w:type="pct"/>
                  <w:tcBorders>
                    <w:tl2br w:val="nil"/>
                    <w:tr2bl w:val="nil"/>
                  </w:tcBorders>
                  <w:vAlign w:val="center"/>
                </w:tcPr>
                <w:p w14:paraId="4C63025E">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吨/年</w:t>
                  </w:r>
                </w:p>
              </w:tc>
              <w:tc>
                <w:tcPr>
                  <w:tcW w:w="768" w:type="pct"/>
                  <w:tcBorders>
                    <w:tl2br w:val="nil"/>
                    <w:tr2bl w:val="nil"/>
                  </w:tcBorders>
                  <w:vAlign w:val="center"/>
                </w:tcPr>
                <w:p w14:paraId="676E4FA9">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p>
              </w:tc>
              <w:tc>
                <w:tcPr>
                  <w:tcW w:w="767" w:type="pct"/>
                  <w:tcBorders>
                    <w:tl2br w:val="nil"/>
                    <w:tr2bl w:val="nil"/>
                  </w:tcBorders>
                  <w:vAlign w:val="center"/>
                </w:tcPr>
                <w:p w14:paraId="103940A8">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eastAsiaTheme="minorEastAsia"/>
                      <w:color w:val="auto"/>
                      <w:szCs w:val="21"/>
                    </w:rPr>
                    <w:t>袋装</w:t>
                  </w:r>
                </w:p>
              </w:tc>
              <w:tc>
                <w:tcPr>
                  <w:tcW w:w="1613" w:type="pct"/>
                  <w:vMerge w:val="continue"/>
                  <w:tcBorders>
                    <w:tl2br w:val="nil"/>
                    <w:tr2bl w:val="nil"/>
                  </w:tcBorders>
                  <w:vAlign w:val="center"/>
                </w:tcPr>
                <w:p w14:paraId="45025846">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p>
              </w:tc>
            </w:tr>
            <w:tr w14:paraId="5145A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tcBorders>
                    <w:tl2br w:val="nil"/>
                    <w:tr2bl w:val="nil"/>
                  </w:tcBorders>
                  <w:vAlign w:val="center"/>
                </w:tcPr>
                <w:p w14:paraId="2DBC149D">
                  <w:pPr>
                    <w:pStyle w:val="131"/>
                    <w:keepNext w:val="0"/>
                    <w:keepLines w:val="0"/>
                    <w:pageBreakBefore w:val="0"/>
                    <w:numPr>
                      <w:ilvl w:val="0"/>
                      <w:numId w:val="7"/>
                    </w:numPr>
                    <w:kinsoku/>
                    <w:wordWrap/>
                    <w:overflowPunct/>
                    <w:topLinePunct w:val="0"/>
                    <w:autoSpaceDE/>
                    <w:autoSpaceDN/>
                    <w:bidi w:val="0"/>
                    <w:snapToGrid w:val="0"/>
                    <w:spacing w:line="240" w:lineRule="auto"/>
                    <w:rPr>
                      <w:rFonts w:hint="default" w:ascii="Times New Roman" w:hAnsi="Times New Roman" w:cs="Times New Roman"/>
                      <w:color w:val="auto"/>
                    </w:rPr>
                  </w:pPr>
                </w:p>
              </w:tc>
              <w:tc>
                <w:tcPr>
                  <w:tcW w:w="834" w:type="pct"/>
                  <w:tcBorders>
                    <w:tl2br w:val="nil"/>
                    <w:tr2bl w:val="nil"/>
                  </w:tcBorders>
                  <w:vAlign w:val="center"/>
                </w:tcPr>
                <w:p w14:paraId="0BA27AAA">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氢氧化钠</w:t>
                  </w:r>
                </w:p>
              </w:tc>
              <w:tc>
                <w:tcPr>
                  <w:tcW w:w="558" w:type="pct"/>
                  <w:tcBorders>
                    <w:tl2br w:val="nil"/>
                    <w:tr2bl w:val="nil"/>
                  </w:tcBorders>
                  <w:vAlign w:val="center"/>
                </w:tcPr>
                <w:p w14:paraId="4AEA2C0D">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吨/年</w:t>
                  </w:r>
                </w:p>
              </w:tc>
              <w:tc>
                <w:tcPr>
                  <w:tcW w:w="768" w:type="pct"/>
                  <w:tcBorders>
                    <w:tl2br w:val="nil"/>
                    <w:tr2bl w:val="nil"/>
                  </w:tcBorders>
                  <w:vAlign w:val="center"/>
                </w:tcPr>
                <w:p w14:paraId="66F10809">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p>
              </w:tc>
              <w:tc>
                <w:tcPr>
                  <w:tcW w:w="767" w:type="pct"/>
                  <w:tcBorders>
                    <w:tl2br w:val="nil"/>
                    <w:tr2bl w:val="nil"/>
                  </w:tcBorders>
                  <w:vAlign w:val="center"/>
                </w:tcPr>
                <w:p w14:paraId="01F43255">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eastAsiaTheme="minorEastAsia"/>
                      <w:color w:val="auto"/>
                      <w:szCs w:val="21"/>
                    </w:rPr>
                    <w:t>袋装</w:t>
                  </w:r>
                </w:p>
              </w:tc>
              <w:tc>
                <w:tcPr>
                  <w:tcW w:w="1613" w:type="pct"/>
                  <w:tcBorders>
                    <w:tl2br w:val="nil"/>
                    <w:tr2bl w:val="nil"/>
                  </w:tcBorders>
                  <w:vAlign w:val="center"/>
                </w:tcPr>
                <w:p w14:paraId="1E0FFC8A">
                  <w:pPr>
                    <w:keepNext w:val="0"/>
                    <w:keepLines w:val="0"/>
                    <w:pageBreakBefore w:val="0"/>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用于碱液喷淋塔碱液</w:t>
                  </w:r>
                </w:p>
              </w:tc>
            </w:tr>
            <w:tr w14:paraId="6497B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000" w:type="pct"/>
                  <w:gridSpan w:val="6"/>
                  <w:tcBorders>
                    <w:tl2br w:val="nil"/>
                    <w:tr2bl w:val="nil"/>
                  </w:tcBorders>
                  <w:vAlign w:val="center"/>
                </w:tcPr>
                <w:p w14:paraId="0B1ED902">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能源及耗能</w:t>
                  </w:r>
                </w:p>
              </w:tc>
            </w:tr>
            <w:tr w14:paraId="10499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tcBorders>
                    <w:tl2br w:val="nil"/>
                    <w:tr2bl w:val="nil"/>
                  </w:tcBorders>
                  <w:vAlign w:val="center"/>
                </w:tcPr>
                <w:p w14:paraId="64791B8A">
                  <w:pPr>
                    <w:pStyle w:val="131"/>
                    <w:keepNext w:val="0"/>
                    <w:keepLines w:val="0"/>
                    <w:pageBreakBefore w:val="0"/>
                    <w:numPr>
                      <w:ilvl w:val="255"/>
                      <w:numId w:val="0"/>
                    </w:numPr>
                    <w:kinsoku/>
                    <w:wordWrap/>
                    <w:overflowPunct/>
                    <w:topLinePunct w:val="0"/>
                    <w:autoSpaceDE/>
                    <w:autoSpaceDN/>
                    <w:bidi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1</w:t>
                  </w:r>
                </w:p>
              </w:tc>
              <w:tc>
                <w:tcPr>
                  <w:tcW w:w="834" w:type="pct"/>
                  <w:tcBorders>
                    <w:tl2br w:val="nil"/>
                    <w:tr2bl w:val="nil"/>
                  </w:tcBorders>
                  <w:vAlign w:val="center"/>
                </w:tcPr>
                <w:p w14:paraId="275A323F">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水</w:t>
                  </w:r>
                </w:p>
              </w:tc>
              <w:tc>
                <w:tcPr>
                  <w:tcW w:w="558" w:type="pct"/>
                  <w:tcBorders>
                    <w:tl2br w:val="nil"/>
                    <w:tr2bl w:val="nil"/>
                  </w:tcBorders>
                  <w:vAlign w:val="center"/>
                </w:tcPr>
                <w:p w14:paraId="67DE954F">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吨/年</w:t>
                  </w:r>
                </w:p>
              </w:tc>
              <w:tc>
                <w:tcPr>
                  <w:tcW w:w="768" w:type="pct"/>
                  <w:tcBorders>
                    <w:tl2br w:val="nil"/>
                    <w:tr2bl w:val="nil"/>
                  </w:tcBorders>
                  <w:vAlign w:val="center"/>
                </w:tcPr>
                <w:p w14:paraId="71BC0E72">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115779</w:t>
                  </w:r>
                </w:p>
              </w:tc>
              <w:tc>
                <w:tcPr>
                  <w:tcW w:w="767" w:type="pct"/>
                  <w:tcBorders>
                    <w:tl2br w:val="nil"/>
                    <w:tr2bl w:val="nil"/>
                  </w:tcBorders>
                  <w:vAlign w:val="center"/>
                </w:tcPr>
                <w:p w14:paraId="0B3B6556">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color w:val="auto"/>
                      <w:szCs w:val="21"/>
                    </w:rPr>
                  </w:pPr>
                </w:p>
              </w:tc>
              <w:tc>
                <w:tcPr>
                  <w:tcW w:w="1613" w:type="pct"/>
                  <w:tcBorders>
                    <w:tl2br w:val="nil"/>
                    <w:tr2bl w:val="nil"/>
                  </w:tcBorders>
                  <w:vAlign w:val="center"/>
                </w:tcPr>
                <w:p w14:paraId="4F252D53">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color w:val="auto"/>
                      <w:szCs w:val="21"/>
                    </w:rPr>
                  </w:pPr>
                </w:p>
              </w:tc>
            </w:tr>
            <w:tr w14:paraId="62CD1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tcBorders>
                    <w:tl2br w:val="nil"/>
                    <w:tr2bl w:val="nil"/>
                  </w:tcBorders>
                  <w:vAlign w:val="center"/>
                </w:tcPr>
                <w:p w14:paraId="7CB06471">
                  <w:pPr>
                    <w:pStyle w:val="131"/>
                    <w:keepNext w:val="0"/>
                    <w:keepLines w:val="0"/>
                    <w:pageBreakBefore w:val="0"/>
                    <w:numPr>
                      <w:ilvl w:val="255"/>
                      <w:numId w:val="0"/>
                    </w:numPr>
                    <w:kinsoku/>
                    <w:wordWrap/>
                    <w:overflowPunct/>
                    <w:topLinePunct w:val="0"/>
                    <w:autoSpaceDE/>
                    <w:autoSpaceDN/>
                    <w:bidi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2</w:t>
                  </w:r>
                </w:p>
              </w:tc>
              <w:tc>
                <w:tcPr>
                  <w:tcW w:w="834" w:type="pct"/>
                  <w:tcBorders>
                    <w:tl2br w:val="nil"/>
                    <w:tr2bl w:val="nil"/>
                  </w:tcBorders>
                  <w:vAlign w:val="center"/>
                </w:tcPr>
                <w:p w14:paraId="6E694390">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电</w:t>
                  </w:r>
                </w:p>
              </w:tc>
              <w:tc>
                <w:tcPr>
                  <w:tcW w:w="558" w:type="pct"/>
                  <w:tcBorders>
                    <w:tl2br w:val="nil"/>
                    <w:tr2bl w:val="nil"/>
                  </w:tcBorders>
                  <w:vAlign w:val="center"/>
                </w:tcPr>
                <w:p w14:paraId="28B8980F">
                  <w:pPr>
                    <w:keepNext w:val="0"/>
                    <w:keepLines w:val="0"/>
                    <w:pageBreakBefore w:val="0"/>
                    <w:widowControl/>
                    <w:kinsoku/>
                    <w:wordWrap/>
                    <w:overflowPunct/>
                    <w:topLinePunct w:val="0"/>
                    <w:autoSpaceDE/>
                    <w:autoSpaceDN/>
                    <w:bidi w:val="0"/>
                    <w:snapToGrid w:val="0"/>
                    <w:spacing w:line="240" w:lineRule="auto"/>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万kW·h/a</w:t>
                  </w:r>
                </w:p>
              </w:tc>
              <w:tc>
                <w:tcPr>
                  <w:tcW w:w="768" w:type="pct"/>
                  <w:tcBorders>
                    <w:tl2br w:val="nil"/>
                    <w:tr2bl w:val="nil"/>
                  </w:tcBorders>
                  <w:vAlign w:val="center"/>
                </w:tcPr>
                <w:p w14:paraId="44E4941D">
                  <w:pPr>
                    <w:keepNext w:val="0"/>
                    <w:keepLines w:val="0"/>
                    <w:pageBreakBefore w:val="0"/>
                    <w:widowControl/>
                    <w:kinsoku/>
                    <w:wordWrap/>
                    <w:overflowPunct/>
                    <w:topLinePunct w:val="0"/>
                    <w:autoSpaceDE/>
                    <w:autoSpaceDN/>
                    <w:bidi w:val="0"/>
                    <w:snapToGrid w:val="0"/>
                    <w:spacing w:line="240" w:lineRule="auto"/>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8785</w:t>
                  </w:r>
                </w:p>
              </w:tc>
              <w:tc>
                <w:tcPr>
                  <w:tcW w:w="767" w:type="pct"/>
                  <w:tcBorders>
                    <w:tl2br w:val="nil"/>
                    <w:tr2bl w:val="nil"/>
                  </w:tcBorders>
                  <w:vAlign w:val="center"/>
                </w:tcPr>
                <w:p w14:paraId="739AF5C6">
                  <w:pPr>
                    <w:keepNext w:val="0"/>
                    <w:keepLines w:val="0"/>
                    <w:pageBreakBefore w:val="0"/>
                    <w:widowControl/>
                    <w:kinsoku/>
                    <w:wordWrap/>
                    <w:overflowPunct/>
                    <w:topLinePunct w:val="0"/>
                    <w:autoSpaceDE/>
                    <w:autoSpaceDN/>
                    <w:bidi w:val="0"/>
                    <w:snapToGrid w:val="0"/>
                    <w:spacing w:line="240" w:lineRule="auto"/>
                    <w:jc w:val="center"/>
                    <w:rPr>
                      <w:rFonts w:hint="default" w:ascii="Times New Roman" w:hAnsi="Times New Roman" w:cs="Times New Roman"/>
                      <w:color w:val="auto"/>
                      <w:kern w:val="0"/>
                      <w:szCs w:val="21"/>
                    </w:rPr>
                  </w:pPr>
                </w:p>
              </w:tc>
              <w:tc>
                <w:tcPr>
                  <w:tcW w:w="1613" w:type="pct"/>
                  <w:tcBorders>
                    <w:tl2br w:val="nil"/>
                    <w:tr2bl w:val="nil"/>
                  </w:tcBorders>
                  <w:vAlign w:val="center"/>
                </w:tcPr>
                <w:p w14:paraId="703E388A">
                  <w:pPr>
                    <w:keepNext w:val="0"/>
                    <w:keepLines w:val="0"/>
                    <w:pageBreakBefore w:val="0"/>
                    <w:widowControl/>
                    <w:kinsoku/>
                    <w:wordWrap/>
                    <w:overflowPunct/>
                    <w:topLinePunct w:val="0"/>
                    <w:autoSpaceDE/>
                    <w:autoSpaceDN/>
                    <w:bidi w:val="0"/>
                    <w:snapToGrid w:val="0"/>
                    <w:spacing w:line="240" w:lineRule="auto"/>
                    <w:jc w:val="center"/>
                    <w:rPr>
                      <w:rFonts w:hint="default" w:ascii="Times New Roman" w:hAnsi="Times New Roman" w:cs="Times New Roman"/>
                      <w:color w:val="auto"/>
                      <w:kern w:val="0"/>
                      <w:szCs w:val="21"/>
                    </w:rPr>
                  </w:pPr>
                </w:p>
              </w:tc>
            </w:tr>
            <w:tr w14:paraId="58917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tcBorders>
                    <w:tl2br w:val="nil"/>
                    <w:tr2bl w:val="nil"/>
                  </w:tcBorders>
                  <w:vAlign w:val="center"/>
                </w:tcPr>
                <w:p w14:paraId="434E116A">
                  <w:pPr>
                    <w:pStyle w:val="131"/>
                    <w:keepNext w:val="0"/>
                    <w:keepLines w:val="0"/>
                    <w:pageBreakBefore w:val="0"/>
                    <w:numPr>
                      <w:ilvl w:val="255"/>
                      <w:numId w:val="0"/>
                    </w:numPr>
                    <w:kinsoku/>
                    <w:wordWrap/>
                    <w:overflowPunct/>
                    <w:topLinePunct w:val="0"/>
                    <w:autoSpaceDE/>
                    <w:autoSpaceDN/>
                    <w:bidi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3</w:t>
                  </w:r>
                </w:p>
              </w:tc>
              <w:tc>
                <w:tcPr>
                  <w:tcW w:w="834" w:type="pct"/>
                  <w:tcBorders>
                    <w:tl2br w:val="nil"/>
                    <w:tr2bl w:val="nil"/>
                  </w:tcBorders>
                  <w:vAlign w:val="center"/>
                </w:tcPr>
                <w:p w14:paraId="36BCBC40">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天然气</w:t>
                  </w:r>
                </w:p>
              </w:tc>
              <w:tc>
                <w:tcPr>
                  <w:tcW w:w="558" w:type="pct"/>
                  <w:tcBorders>
                    <w:tl2br w:val="nil"/>
                    <w:tr2bl w:val="nil"/>
                  </w:tcBorders>
                  <w:vAlign w:val="center"/>
                </w:tcPr>
                <w:p w14:paraId="6A8614F2">
                  <w:pPr>
                    <w:keepNext w:val="0"/>
                    <w:keepLines w:val="0"/>
                    <w:pageBreakBefore w:val="0"/>
                    <w:widowControl/>
                    <w:kinsoku/>
                    <w:wordWrap/>
                    <w:overflowPunct/>
                    <w:topLinePunct w:val="0"/>
                    <w:autoSpaceDE/>
                    <w:autoSpaceDN/>
                    <w:bidi w:val="0"/>
                    <w:snapToGrid w:val="0"/>
                    <w:spacing w:line="240" w:lineRule="auto"/>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万m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kern w:val="0"/>
                      <w:szCs w:val="21"/>
                    </w:rPr>
                    <w:t>/年</w:t>
                  </w:r>
                </w:p>
              </w:tc>
              <w:tc>
                <w:tcPr>
                  <w:tcW w:w="768" w:type="pct"/>
                  <w:tcBorders>
                    <w:tl2br w:val="nil"/>
                    <w:tr2bl w:val="nil"/>
                  </w:tcBorders>
                  <w:vAlign w:val="center"/>
                </w:tcPr>
                <w:p w14:paraId="57906030">
                  <w:pPr>
                    <w:keepNext w:val="0"/>
                    <w:keepLines w:val="0"/>
                    <w:pageBreakBefore w:val="0"/>
                    <w:widowControl/>
                    <w:kinsoku/>
                    <w:wordWrap/>
                    <w:overflowPunct/>
                    <w:topLinePunct w:val="0"/>
                    <w:autoSpaceDE/>
                    <w:autoSpaceDN/>
                    <w:bidi w:val="0"/>
                    <w:snapToGrid w:val="0"/>
                    <w:spacing w:line="240" w:lineRule="auto"/>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90</w:t>
                  </w:r>
                </w:p>
              </w:tc>
              <w:tc>
                <w:tcPr>
                  <w:tcW w:w="767" w:type="pct"/>
                  <w:tcBorders>
                    <w:tl2br w:val="nil"/>
                    <w:tr2bl w:val="nil"/>
                  </w:tcBorders>
                  <w:vAlign w:val="center"/>
                </w:tcPr>
                <w:p w14:paraId="3DD81FBF">
                  <w:pPr>
                    <w:keepNext w:val="0"/>
                    <w:keepLines w:val="0"/>
                    <w:pageBreakBefore w:val="0"/>
                    <w:widowControl/>
                    <w:kinsoku/>
                    <w:wordWrap/>
                    <w:overflowPunct/>
                    <w:topLinePunct w:val="0"/>
                    <w:autoSpaceDE/>
                    <w:autoSpaceDN/>
                    <w:bidi w:val="0"/>
                    <w:snapToGrid w:val="0"/>
                    <w:spacing w:line="240" w:lineRule="auto"/>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天然气管道</w:t>
                  </w:r>
                </w:p>
              </w:tc>
              <w:tc>
                <w:tcPr>
                  <w:tcW w:w="1613" w:type="pct"/>
                  <w:tcBorders>
                    <w:tl2br w:val="nil"/>
                    <w:tr2bl w:val="nil"/>
                  </w:tcBorders>
                  <w:vAlign w:val="center"/>
                </w:tcPr>
                <w:p w14:paraId="0DE7C621">
                  <w:pPr>
                    <w:keepNext w:val="0"/>
                    <w:keepLines w:val="0"/>
                    <w:pageBreakBefore w:val="0"/>
                    <w:widowControl/>
                    <w:kinsoku/>
                    <w:wordWrap/>
                    <w:overflowPunct/>
                    <w:topLinePunct w:val="0"/>
                    <w:autoSpaceDE/>
                    <w:autoSpaceDN/>
                    <w:bidi w:val="0"/>
                    <w:snapToGrid w:val="0"/>
                    <w:spacing w:line="240" w:lineRule="auto"/>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园区内天然气气化站（中闽海油燃气（沙县）有限公司）</w:t>
                  </w:r>
                </w:p>
              </w:tc>
            </w:tr>
            <w:tr w14:paraId="1B1F8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tcBorders>
                    <w:tl2br w:val="nil"/>
                    <w:tr2bl w:val="nil"/>
                  </w:tcBorders>
                  <w:vAlign w:val="center"/>
                </w:tcPr>
                <w:p w14:paraId="69072468">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4</w:t>
                  </w:r>
                </w:p>
              </w:tc>
              <w:tc>
                <w:tcPr>
                  <w:tcW w:w="834" w:type="pct"/>
                  <w:tcBorders>
                    <w:tl2br w:val="nil"/>
                    <w:tr2bl w:val="nil"/>
                  </w:tcBorders>
                  <w:vAlign w:val="center"/>
                </w:tcPr>
                <w:p w14:paraId="23975726">
                  <w:pPr>
                    <w:pStyle w:val="131"/>
                    <w:keepNext w:val="0"/>
                    <w:keepLines w:val="0"/>
                    <w:pageBreakBefore w:val="0"/>
                    <w:kinsoku/>
                    <w:wordWrap/>
                    <w:overflowPunct/>
                    <w:topLinePunct w:val="0"/>
                    <w:autoSpaceDE/>
                    <w:autoSpaceDN/>
                    <w:bidi w:val="0"/>
                    <w:snapToGri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压缩空气</w:t>
                  </w:r>
                </w:p>
              </w:tc>
              <w:tc>
                <w:tcPr>
                  <w:tcW w:w="558" w:type="pct"/>
                  <w:tcBorders>
                    <w:tl2br w:val="nil"/>
                    <w:tr2bl w:val="nil"/>
                  </w:tcBorders>
                  <w:vAlign w:val="center"/>
                </w:tcPr>
                <w:p w14:paraId="78AEE42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万m³/a</w:t>
                  </w:r>
                </w:p>
              </w:tc>
              <w:tc>
                <w:tcPr>
                  <w:tcW w:w="768" w:type="pct"/>
                  <w:tcBorders>
                    <w:tl2br w:val="nil"/>
                    <w:tr2bl w:val="nil"/>
                  </w:tcBorders>
                  <w:vAlign w:val="center"/>
                </w:tcPr>
                <w:p w14:paraId="739B3EA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10.6</w:t>
                  </w:r>
                </w:p>
              </w:tc>
              <w:tc>
                <w:tcPr>
                  <w:tcW w:w="767" w:type="pct"/>
                  <w:tcBorders>
                    <w:tl2br w:val="nil"/>
                    <w:tr2bl w:val="nil"/>
                  </w:tcBorders>
                  <w:vAlign w:val="center"/>
                </w:tcPr>
                <w:p w14:paraId="63F2E744">
                  <w:pPr>
                    <w:keepNext w:val="0"/>
                    <w:keepLines w:val="0"/>
                    <w:pageBreakBefore w:val="0"/>
                    <w:widowControl/>
                    <w:kinsoku/>
                    <w:wordWrap/>
                    <w:overflowPunct/>
                    <w:topLinePunct w:val="0"/>
                    <w:autoSpaceDE/>
                    <w:autoSpaceDN/>
                    <w:bidi w:val="0"/>
                    <w:snapToGrid w:val="0"/>
                    <w:spacing w:line="240" w:lineRule="auto"/>
                    <w:jc w:val="center"/>
                    <w:rPr>
                      <w:rFonts w:hint="default" w:ascii="Times New Roman" w:hAnsi="Times New Roman" w:cs="Times New Roman"/>
                      <w:color w:val="auto"/>
                      <w:kern w:val="0"/>
                      <w:szCs w:val="21"/>
                    </w:rPr>
                  </w:pPr>
                </w:p>
              </w:tc>
              <w:tc>
                <w:tcPr>
                  <w:tcW w:w="1613" w:type="pct"/>
                  <w:tcBorders>
                    <w:tl2br w:val="nil"/>
                    <w:tr2bl w:val="nil"/>
                  </w:tcBorders>
                  <w:vAlign w:val="center"/>
                </w:tcPr>
                <w:p w14:paraId="2580600B">
                  <w:pPr>
                    <w:keepNext w:val="0"/>
                    <w:keepLines w:val="0"/>
                    <w:pageBreakBefore w:val="0"/>
                    <w:widowControl/>
                    <w:kinsoku/>
                    <w:wordWrap/>
                    <w:overflowPunct/>
                    <w:topLinePunct w:val="0"/>
                    <w:autoSpaceDE/>
                    <w:autoSpaceDN/>
                    <w:bidi w:val="0"/>
                    <w:snapToGrid w:val="0"/>
                    <w:spacing w:line="240" w:lineRule="auto"/>
                    <w:jc w:val="center"/>
                    <w:rPr>
                      <w:rFonts w:hint="default" w:ascii="Times New Roman" w:hAnsi="Times New Roman" w:cs="Times New Roman"/>
                      <w:color w:val="auto"/>
                      <w:kern w:val="0"/>
                      <w:szCs w:val="21"/>
                    </w:rPr>
                  </w:pPr>
                </w:p>
              </w:tc>
            </w:tr>
          </w:tbl>
          <w:p w14:paraId="189DF5B8">
            <w:pPr>
              <w:keepNext w:val="0"/>
              <w:keepLines w:val="0"/>
              <w:pageBreakBefore w:val="0"/>
              <w:widowControl w:val="0"/>
              <w:kinsoku/>
              <w:wordWrap/>
              <w:overflowPunct/>
              <w:topLinePunct w:val="0"/>
              <w:autoSpaceDE/>
              <w:autoSpaceDN/>
              <w:bidi w:val="0"/>
              <w:adjustRightInd/>
              <w:snapToGrid w:val="0"/>
              <w:spacing w:before="115" w:beforeLines="30" w:after="115" w:afterLines="30"/>
              <w:jc w:val="center"/>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t>表2.2-7</w:t>
            </w:r>
            <w:r>
              <w:rPr>
                <w:rFonts w:hint="default" w:ascii="Times New Roman" w:hAnsi="Times New Roman" w:eastAsia="黑体" w:cs="Times New Roman"/>
                <w:color w:val="auto"/>
                <w:sz w:val="24"/>
                <w:szCs w:val="24"/>
                <w:lang w:val="en-US" w:eastAsia="zh-CN"/>
              </w:rPr>
              <w:t xml:space="preserve">  </w:t>
            </w:r>
            <w:r>
              <w:rPr>
                <w:rFonts w:hint="default" w:ascii="Times New Roman" w:hAnsi="Times New Roman" w:eastAsia="黑体" w:cs="Times New Roman"/>
                <w:color w:val="auto"/>
                <w:sz w:val="24"/>
                <w:szCs w:val="24"/>
              </w:rPr>
              <w:t>全厂主要原辅材料、能源消耗</w:t>
            </w:r>
          </w:p>
          <w:tbl>
            <w:tblPr>
              <w:tblStyle w:val="34"/>
              <w:tblW w:w="4998"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274"/>
              <w:gridCol w:w="2475"/>
              <w:gridCol w:w="2648"/>
              <w:gridCol w:w="2241"/>
            </w:tblGrid>
            <w:tr w14:paraId="07D7959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3" w:hRule="atLeast"/>
                <w:jc w:val="center"/>
              </w:trPr>
              <w:tc>
                <w:tcPr>
                  <w:tcW w:w="737" w:type="pct"/>
                  <w:tcBorders>
                    <w:tl2br w:val="nil"/>
                    <w:tr2bl w:val="nil"/>
                  </w:tcBorders>
                  <w:vAlign w:val="center"/>
                </w:tcPr>
                <w:p w14:paraId="002A96D1">
                  <w:pPr>
                    <w:pStyle w:val="131"/>
                    <w:jc w:val="center"/>
                    <w:rPr>
                      <w:rFonts w:hint="default" w:ascii="Times New Roman" w:hAnsi="Times New Roman" w:cs="Times New Roman"/>
                      <w:color w:val="auto"/>
                    </w:rPr>
                  </w:pPr>
                  <w:r>
                    <w:rPr>
                      <w:rFonts w:hint="default" w:ascii="Times New Roman" w:hAnsi="Times New Roman" w:cs="Times New Roman"/>
                      <w:color w:val="auto"/>
                    </w:rPr>
                    <w:t>序号</w:t>
                  </w:r>
                </w:p>
              </w:tc>
              <w:tc>
                <w:tcPr>
                  <w:tcW w:w="1432" w:type="pct"/>
                  <w:tcBorders>
                    <w:tl2br w:val="nil"/>
                    <w:tr2bl w:val="nil"/>
                  </w:tcBorders>
                  <w:vAlign w:val="center"/>
                </w:tcPr>
                <w:p w14:paraId="4C6E0D74">
                  <w:pPr>
                    <w:pStyle w:val="131"/>
                    <w:rPr>
                      <w:rFonts w:hint="default" w:ascii="Times New Roman" w:hAnsi="Times New Roman" w:cs="Times New Roman"/>
                      <w:color w:val="auto"/>
                    </w:rPr>
                  </w:pPr>
                  <w:r>
                    <w:rPr>
                      <w:rFonts w:hint="default" w:ascii="Times New Roman" w:hAnsi="Times New Roman" w:cs="Times New Roman"/>
                      <w:color w:val="auto"/>
                    </w:rPr>
                    <w:t>原辅材料名称</w:t>
                  </w:r>
                </w:p>
              </w:tc>
              <w:tc>
                <w:tcPr>
                  <w:tcW w:w="1532" w:type="pct"/>
                  <w:tcBorders>
                    <w:tl2br w:val="nil"/>
                    <w:tr2bl w:val="nil"/>
                  </w:tcBorders>
                  <w:vAlign w:val="center"/>
                </w:tcPr>
                <w:p w14:paraId="2313F8C9">
                  <w:pPr>
                    <w:pStyle w:val="131"/>
                    <w:rPr>
                      <w:rFonts w:hint="default" w:ascii="Times New Roman" w:hAnsi="Times New Roman" w:cs="Times New Roman"/>
                      <w:color w:val="auto"/>
                    </w:rPr>
                  </w:pPr>
                  <w:r>
                    <w:rPr>
                      <w:rFonts w:hint="default" w:ascii="Times New Roman" w:hAnsi="Times New Roman" w:cs="Times New Roman"/>
                      <w:color w:val="auto"/>
                    </w:rPr>
                    <w:t>全厂使用量</w:t>
                  </w:r>
                </w:p>
              </w:tc>
              <w:tc>
                <w:tcPr>
                  <w:tcW w:w="1297" w:type="pct"/>
                  <w:tcBorders>
                    <w:tl2br w:val="nil"/>
                    <w:tr2bl w:val="nil"/>
                  </w:tcBorders>
                  <w:vAlign w:val="center"/>
                </w:tcPr>
                <w:p w14:paraId="60693400">
                  <w:pPr>
                    <w:pStyle w:val="131"/>
                    <w:rPr>
                      <w:rFonts w:hint="default" w:ascii="Times New Roman" w:hAnsi="Times New Roman" w:cs="Times New Roman"/>
                      <w:color w:val="auto"/>
                    </w:rPr>
                  </w:pPr>
                  <w:r>
                    <w:rPr>
                      <w:rFonts w:hint="default" w:ascii="Times New Roman" w:hAnsi="Times New Roman" w:cs="Times New Roman"/>
                      <w:color w:val="auto"/>
                    </w:rPr>
                    <w:t>备注</w:t>
                  </w:r>
                </w:p>
              </w:tc>
            </w:tr>
            <w:tr w14:paraId="264E7C4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3" w:hRule="atLeast"/>
                <w:jc w:val="center"/>
              </w:trPr>
              <w:tc>
                <w:tcPr>
                  <w:tcW w:w="737" w:type="pct"/>
                  <w:tcBorders>
                    <w:tl2br w:val="nil"/>
                    <w:tr2bl w:val="nil"/>
                  </w:tcBorders>
                  <w:vAlign w:val="center"/>
                </w:tcPr>
                <w:p w14:paraId="0276CDDA">
                  <w:pPr>
                    <w:pStyle w:val="131"/>
                    <w:numPr>
                      <w:ilvl w:val="0"/>
                      <w:numId w:val="8"/>
                    </w:numPr>
                    <w:jc w:val="center"/>
                    <w:rPr>
                      <w:rFonts w:hint="default" w:ascii="Times New Roman" w:hAnsi="Times New Roman" w:cs="Times New Roman"/>
                      <w:color w:val="auto"/>
                    </w:rPr>
                  </w:pPr>
                </w:p>
              </w:tc>
              <w:tc>
                <w:tcPr>
                  <w:tcW w:w="1432" w:type="pct"/>
                  <w:tcBorders>
                    <w:tl2br w:val="nil"/>
                    <w:tr2bl w:val="nil"/>
                  </w:tcBorders>
                  <w:vAlign w:val="center"/>
                </w:tcPr>
                <w:p w14:paraId="0673FB65">
                  <w:pPr>
                    <w:pStyle w:val="131"/>
                    <w:rPr>
                      <w:rFonts w:hint="default" w:ascii="Times New Roman" w:hAnsi="Times New Roman" w:cs="Times New Roman"/>
                      <w:color w:val="auto"/>
                    </w:rPr>
                  </w:pPr>
                  <w:r>
                    <w:rPr>
                      <w:rFonts w:hint="default" w:ascii="Times New Roman" w:hAnsi="Times New Roman" w:cs="Times New Roman"/>
                      <w:color w:val="auto"/>
                    </w:rPr>
                    <w:t>热轧盘条</w:t>
                  </w:r>
                </w:p>
              </w:tc>
              <w:tc>
                <w:tcPr>
                  <w:tcW w:w="1532" w:type="pct"/>
                  <w:tcBorders>
                    <w:tl2br w:val="nil"/>
                    <w:tr2bl w:val="nil"/>
                  </w:tcBorders>
                  <w:vAlign w:val="center"/>
                </w:tcPr>
                <w:p w14:paraId="54396386">
                  <w:pPr>
                    <w:pStyle w:val="131"/>
                    <w:rPr>
                      <w:rFonts w:hint="default" w:ascii="Times New Roman" w:hAnsi="Times New Roman" w:cs="Times New Roman"/>
                      <w:color w:val="auto"/>
                    </w:rPr>
                  </w:pPr>
                  <w:r>
                    <w:rPr>
                      <w:rFonts w:hint="default" w:ascii="Times New Roman" w:hAnsi="Times New Roman" w:cs="Times New Roman"/>
                      <w:color w:val="auto"/>
                      <w:lang w:val="en-US" w:eastAsia="zh-CN"/>
                    </w:rPr>
                    <w:t>41.074</w:t>
                  </w:r>
                  <w:r>
                    <w:rPr>
                      <w:rFonts w:hint="default" w:ascii="Times New Roman" w:hAnsi="Times New Roman" w:cs="Times New Roman"/>
                      <w:color w:val="auto"/>
                    </w:rPr>
                    <w:t>万吨/年</w:t>
                  </w:r>
                </w:p>
              </w:tc>
              <w:tc>
                <w:tcPr>
                  <w:tcW w:w="1297" w:type="pct"/>
                  <w:tcBorders>
                    <w:tl2br w:val="nil"/>
                    <w:tr2bl w:val="nil"/>
                  </w:tcBorders>
                  <w:vAlign w:val="center"/>
                </w:tcPr>
                <w:p w14:paraId="5C76812C">
                  <w:pPr>
                    <w:pStyle w:val="131"/>
                    <w:rPr>
                      <w:rFonts w:hint="default" w:ascii="Times New Roman" w:hAnsi="Times New Roman" w:cs="Times New Roman"/>
                      <w:color w:val="auto"/>
                    </w:rPr>
                  </w:pPr>
                  <w:r>
                    <w:rPr>
                      <w:rFonts w:hint="default" w:ascii="Times New Roman" w:hAnsi="Times New Roman" w:cs="Times New Roman"/>
                      <w:color w:val="auto"/>
                    </w:rPr>
                    <w:t>外购</w:t>
                  </w:r>
                </w:p>
              </w:tc>
            </w:tr>
            <w:tr w14:paraId="5BD2FAC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3" w:hRule="atLeast"/>
                <w:jc w:val="center"/>
              </w:trPr>
              <w:tc>
                <w:tcPr>
                  <w:tcW w:w="737" w:type="pct"/>
                  <w:tcBorders>
                    <w:tl2br w:val="nil"/>
                    <w:tr2bl w:val="nil"/>
                  </w:tcBorders>
                  <w:vAlign w:val="center"/>
                </w:tcPr>
                <w:p w14:paraId="1A57E48E">
                  <w:pPr>
                    <w:pStyle w:val="131"/>
                    <w:numPr>
                      <w:ilvl w:val="0"/>
                      <w:numId w:val="8"/>
                    </w:numPr>
                    <w:jc w:val="center"/>
                    <w:rPr>
                      <w:rFonts w:hint="default" w:ascii="Times New Roman" w:hAnsi="Times New Roman" w:cs="Times New Roman"/>
                      <w:color w:val="auto"/>
                    </w:rPr>
                  </w:pPr>
                </w:p>
              </w:tc>
              <w:tc>
                <w:tcPr>
                  <w:tcW w:w="1432" w:type="pct"/>
                  <w:tcBorders>
                    <w:tl2br w:val="nil"/>
                    <w:tr2bl w:val="nil"/>
                  </w:tcBorders>
                  <w:vAlign w:val="center"/>
                </w:tcPr>
                <w:p w14:paraId="1F6DE238">
                  <w:pPr>
                    <w:pStyle w:val="131"/>
                    <w:rPr>
                      <w:rFonts w:hint="default" w:ascii="Times New Roman" w:hAnsi="Times New Roman" w:cs="Times New Roman"/>
                      <w:color w:val="auto"/>
                    </w:rPr>
                  </w:pPr>
                  <w:r>
                    <w:rPr>
                      <w:rFonts w:hint="default" w:ascii="Times New Roman" w:hAnsi="Times New Roman" w:cs="Times New Roman"/>
                      <w:color w:val="auto"/>
                    </w:rPr>
                    <w:t>拉丝润滑粉</w:t>
                  </w:r>
                </w:p>
              </w:tc>
              <w:tc>
                <w:tcPr>
                  <w:tcW w:w="1532" w:type="pct"/>
                  <w:tcBorders>
                    <w:tl2br w:val="nil"/>
                    <w:tr2bl w:val="nil"/>
                  </w:tcBorders>
                  <w:vAlign w:val="center"/>
                </w:tcPr>
                <w:p w14:paraId="56C9363F">
                  <w:pPr>
                    <w:pStyle w:val="131"/>
                    <w:rPr>
                      <w:rFonts w:hint="default" w:ascii="Times New Roman" w:hAnsi="Times New Roman" w:cs="Times New Roman"/>
                      <w:color w:val="auto"/>
                    </w:rPr>
                  </w:pPr>
                  <w:r>
                    <w:rPr>
                      <w:rFonts w:hint="default" w:ascii="Times New Roman" w:hAnsi="Times New Roman" w:cs="Times New Roman"/>
                      <w:color w:val="auto"/>
                      <w:lang w:val="en-US" w:eastAsia="zh-CN"/>
                    </w:rPr>
                    <w:t>70</w:t>
                  </w:r>
                  <w:r>
                    <w:rPr>
                      <w:rFonts w:hint="default" w:ascii="Times New Roman" w:hAnsi="Times New Roman" w:cs="Times New Roman"/>
                      <w:color w:val="auto"/>
                    </w:rPr>
                    <w:t>吨/年</w:t>
                  </w:r>
                </w:p>
              </w:tc>
              <w:tc>
                <w:tcPr>
                  <w:tcW w:w="1297" w:type="pct"/>
                  <w:tcBorders>
                    <w:tl2br w:val="nil"/>
                    <w:tr2bl w:val="nil"/>
                  </w:tcBorders>
                  <w:vAlign w:val="center"/>
                </w:tcPr>
                <w:p w14:paraId="775D1C94">
                  <w:pPr>
                    <w:jc w:val="center"/>
                    <w:rPr>
                      <w:rFonts w:hint="default" w:ascii="Times New Roman" w:hAnsi="Times New Roman" w:cs="Times New Roman"/>
                      <w:color w:val="auto"/>
                    </w:rPr>
                  </w:pPr>
                  <w:r>
                    <w:rPr>
                      <w:rFonts w:hint="default" w:ascii="Times New Roman" w:hAnsi="Times New Roman" w:cs="Times New Roman"/>
                      <w:color w:val="auto"/>
                    </w:rPr>
                    <w:t>外购</w:t>
                  </w:r>
                </w:p>
              </w:tc>
            </w:tr>
            <w:tr w14:paraId="08A6EB4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3" w:hRule="atLeast"/>
                <w:jc w:val="center"/>
              </w:trPr>
              <w:tc>
                <w:tcPr>
                  <w:tcW w:w="737" w:type="pct"/>
                  <w:tcBorders>
                    <w:tl2br w:val="nil"/>
                    <w:tr2bl w:val="nil"/>
                  </w:tcBorders>
                  <w:vAlign w:val="center"/>
                </w:tcPr>
                <w:p w14:paraId="30540A72">
                  <w:pPr>
                    <w:pStyle w:val="131"/>
                    <w:numPr>
                      <w:ilvl w:val="0"/>
                      <w:numId w:val="8"/>
                    </w:numPr>
                    <w:jc w:val="center"/>
                    <w:rPr>
                      <w:rFonts w:hint="default" w:ascii="Times New Roman" w:hAnsi="Times New Roman" w:cs="Times New Roman"/>
                      <w:color w:val="auto"/>
                    </w:rPr>
                  </w:pPr>
                </w:p>
              </w:tc>
              <w:tc>
                <w:tcPr>
                  <w:tcW w:w="1432" w:type="pct"/>
                  <w:tcBorders>
                    <w:tl2br w:val="nil"/>
                    <w:tr2bl w:val="nil"/>
                  </w:tcBorders>
                  <w:vAlign w:val="center"/>
                </w:tcPr>
                <w:p w14:paraId="56263916">
                  <w:pPr>
                    <w:widowControl/>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盐酸（3</w:t>
                  </w:r>
                  <w:r>
                    <w:rPr>
                      <w:rFonts w:hint="default" w:ascii="Times New Roman" w:hAnsi="Times New Roman" w:cs="Times New Roman"/>
                      <w:color w:val="auto"/>
                      <w:kern w:val="0"/>
                      <w:szCs w:val="21"/>
                      <w:lang w:val="en-US" w:eastAsia="zh-CN"/>
                    </w:rPr>
                    <w:t>2</w:t>
                  </w:r>
                  <w:r>
                    <w:rPr>
                      <w:rFonts w:hint="default" w:ascii="Times New Roman" w:hAnsi="Times New Roman" w:cs="Times New Roman"/>
                      <w:color w:val="auto"/>
                      <w:kern w:val="0"/>
                      <w:szCs w:val="21"/>
                    </w:rPr>
                    <w:t>%）</w:t>
                  </w:r>
                </w:p>
              </w:tc>
              <w:tc>
                <w:tcPr>
                  <w:tcW w:w="1532" w:type="pct"/>
                  <w:tcBorders>
                    <w:tl2br w:val="nil"/>
                    <w:tr2bl w:val="nil"/>
                  </w:tcBorders>
                  <w:vAlign w:val="center"/>
                </w:tcPr>
                <w:p w14:paraId="66134049">
                  <w:pPr>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2250</w:t>
                  </w:r>
                  <w:r>
                    <w:rPr>
                      <w:rFonts w:hint="default" w:ascii="Times New Roman" w:hAnsi="Times New Roman" w:cs="Times New Roman"/>
                      <w:color w:val="auto"/>
                    </w:rPr>
                    <w:t>吨/年</w:t>
                  </w:r>
                </w:p>
              </w:tc>
              <w:tc>
                <w:tcPr>
                  <w:tcW w:w="1297" w:type="pct"/>
                  <w:tcBorders>
                    <w:tl2br w:val="nil"/>
                    <w:tr2bl w:val="nil"/>
                  </w:tcBorders>
                  <w:vAlign w:val="center"/>
                </w:tcPr>
                <w:p w14:paraId="2637400B">
                  <w:pPr>
                    <w:jc w:val="center"/>
                    <w:rPr>
                      <w:rFonts w:hint="default" w:ascii="Times New Roman" w:hAnsi="Times New Roman" w:cs="Times New Roman"/>
                      <w:color w:val="auto"/>
                    </w:rPr>
                  </w:pPr>
                  <w:r>
                    <w:rPr>
                      <w:rFonts w:hint="default" w:ascii="Times New Roman" w:hAnsi="Times New Roman" w:cs="Times New Roman"/>
                      <w:color w:val="auto"/>
                    </w:rPr>
                    <w:t>外购</w:t>
                  </w:r>
                </w:p>
              </w:tc>
            </w:tr>
            <w:tr w14:paraId="32A1194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3" w:hRule="atLeast"/>
                <w:jc w:val="center"/>
              </w:trPr>
              <w:tc>
                <w:tcPr>
                  <w:tcW w:w="737" w:type="pct"/>
                  <w:tcBorders>
                    <w:tl2br w:val="nil"/>
                    <w:tr2bl w:val="nil"/>
                  </w:tcBorders>
                  <w:vAlign w:val="center"/>
                </w:tcPr>
                <w:p w14:paraId="24CFBF38">
                  <w:pPr>
                    <w:pStyle w:val="131"/>
                    <w:numPr>
                      <w:ilvl w:val="0"/>
                      <w:numId w:val="8"/>
                    </w:numPr>
                    <w:jc w:val="center"/>
                    <w:rPr>
                      <w:rFonts w:hint="default" w:ascii="Times New Roman" w:hAnsi="Times New Roman" w:cs="Times New Roman"/>
                      <w:color w:val="auto"/>
                    </w:rPr>
                  </w:pPr>
                </w:p>
              </w:tc>
              <w:tc>
                <w:tcPr>
                  <w:tcW w:w="1432" w:type="pct"/>
                  <w:tcBorders>
                    <w:tl2br w:val="nil"/>
                    <w:tr2bl w:val="nil"/>
                  </w:tcBorders>
                  <w:vAlign w:val="center"/>
                </w:tcPr>
                <w:p w14:paraId="3AA31688">
                  <w:pPr>
                    <w:widowControl/>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磷化液</w:t>
                  </w:r>
                </w:p>
              </w:tc>
              <w:tc>
                <w:tcPr>
                  <w:tcW w:w="1532" w:type="pct"/>
                  <w:tcBorders>
                    <w:tl2br w:val="nil"/>
                    <w:tr2bl w:val="nil"/>
                  </w:tcBorders>
                  <w:vAlign w:val="center"/>
                </w:tcPr>
                <w:p w14:paraId="6B820144">
                  <w:pPr>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600</w:t>
                  </w:r>
                  <w:r>
                    <w:rPr>
                      <w:rFonts w:hint="default" w:ascii="Times New Roman" w:hAnsi="Times New Roman" w:cs="Times New Roman"/>
                      <w:color w:val="auto"/>
                    </w:rPr>
                    <w:t>吨/年</w:t>
                  </w:r>
                </w:p>
              </w:tc>
              <w:tc>
                <w:tcPr>
                  <w:tcW w:w="1297" w:type="pct"/>
                  <w:tcBorders>
                    <w:tl2br w:val="nil"/>
                    <w:tr2bl w:val="nil"/>
                  </w:tcBorders>
                  <w:vAlign w:val="center"/>
                </w:tcPr>
                <w:p w14:paraId="0BB7359C">
                  <w:pPr>
                    <w:jc w:val="center"/>
                    <w:rPr>
                      <w:rFonts w:hint="default" w:ascii="Times New Roman" w:hAnsi="Times New Roman" w:cs="Times New Roman"/>
                      <w:color w:val="auto"/>
                    </w:rPr>
                  </w:pPr>
                  <w:r>
                    <w:rPr>
                      <w:rFonts w:hint="default" w:ascii="Times New Roman" w:hAnsi="Times New Roman" w:cs="Times New Roman"/>
                      <w:color w:val="auto"/>
                    </w:rPr>
                    <w:t>外购</w:t>
                  </w:r>
                </w:p>
              </w:tc>
            </w:tr>
            <w:tr w14:paraId="133977D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3" w:hRule="atLeast"/>
                <w:jc w:val="center"/>
              </w:trPr>
              <w:tc>
                <w:tcPr>
                  <w:tcW w:w="737" w:type="pct"/>
                  <w:tcBorders>
                    <w:tl2br w:val="nil"/>
                    <w:tr2bl w:val="nil"/>
                  </w:tcBorders>
                  <w:vAlign w:val="center"/>
                </w:tcPr>
                <w:p w14:paraId="14AA85C1">
                  <w:pPr>
                    <w:pStyle w:val="131"/>
                    <w:numPr>
                      <w:ilvl w:val="0"/>
                      <w:numId w:val="8"/>
                    </w:numPr>
                    <w:jc w:val="center"/>
                    <w:rPr>
                      <w:rFonts w:hint="default" w:ascii="Times New Roman" w:hAnsi="Times New Roman" w:cs="Times New Roman"/>
                      <w:color w:val="auto"/>
                    </w:rPr>
                  </w:pPr>
                </w:p>
              </w:tc>
              <w:tc>
                <w:tcPr>
                  <w:tcW w:w="1432" w:type="pct"/>
                  <w:tcBorders>
                    <w:tl2br w:val="nil"/>
                    <w:tr2bl w:val="nil"/>
                  </w:tcBorders>
                  <w:vAlign w:val="center"/>
                </w:tcPr>
                <w:p w14:paraId="7D3109CF">
                  <w:pPr>
                    <w:widowControl/>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皂片</w:t>
                  </w:r>
                </w:p>
              </w:tc>
              <w:tc>
                <w:tcPr>
                  <w:tcW w:w="1532" w:type="pct"/>
                  <w:tcBorders>
                    <w:tl2br w:val="nil"/>
                    <w:tr2bl w:val="nil"/>
                  </w:tcBorders>
                  <w:vAlign w:val="center"/>
                </w:tcPr>
                <w:p w14:paraId="172ADB18">
                  <w:pPr>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150</w:t>
                  </w:r>
                  <w:r>
                    <w:rPr>
                      <w:rFonts w:hint="default" w:ascii="Times New Roman" w:hAnsi="Times New Roman" w:cs="Times New Roman"/>
                      <w:color w:val="auto"/>
                    </w:rPr>
                    <w:t>吨/年</w:t>
                  </w:r>
                </w:p>
              </w:tc>
              <w:tc>
                <w:tcPr>
                  <w:tcW w:w="1297" w:type="pct"/>
                  <w:tcBorders>
                    <w:tl2br w:val="nil"/>
                    <w:tr2bl w:val="nil"/>
                  </w:tcBorders>
                  <w:vAlign w:val="center"/>
                </w:tcPr>
                <w:p w14:paraId="6BD9E579">
                  <w:pPr>
                    <w:jc w:val="center"/>
                    <w:rPr>
                      <w:rFonts w:hint="default" w:ascii="Times New Roman" w:hAnsi="Times New Roman" w:cs="Times New Roman"/>
                      <w:color w:val="auto"/>
                    </w:rPr>
                  </w:pPr>
                  <w:r>
                    <w:rPr>
                      <w:rFonts w:hint="default" w:ascii="Times New Roman" w:hAnsi="Times New Roman" w:cs="Times New Roman"/>
                      <w:color w:val="auto"/>
                    </w:rPr>
                    <w:t>外购</w:t>
                  </w:r>
                </w:p>
              </w:tc>
            </w:tr>
            <w:tr w14:paraId="415122F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3" w:hRule="atLeast"/>
                <w:jc w:val="center"/>
              </w:trPr>
              <w:tc>
                <w:tcPr>
                  <w:tcW w:w="737" w:type="pct"/>
                  <w:tcBorders>
                    <w:tl2br w:val="nil"/>
                    <w:tr2bl w:val="nil"/>
                  </w:tcBorders>
                  <w:vAlign w:val="center"/>
                </w:tcPr>
                <w:p w14:paraId="1416FABA">
                  <w:pPr>
                    <w:pStyle w:val="131"/>
                    <w:numPr>
                      <w:ilvl w:val="0"/>
                      <w:numId w:val="8"/>
                    </w:numPr>
                    <w:jc w:val="center"/>
                    <w:rPr>
                      <w:rFonts w:hint="default" w:ascii="Times New Roman" w:hAnsi="Times New Roman" w:cs="Times New Roman"/>
                      <w:color w:val="auto"/>
                    </w:rPr>
                  </w:pPr>
                </w:p>
              </w:tc>
              <w:tc>
                <w:tcPr>
                  <w:tcW w:w="1432" w:type="pct"/>
                  <w:tcBorders>
                    <w:tl2br w:val="nil"/>
                    <w:tr2bl w:val="nil"/>
                  </w:tcBorders>
                  <w:vAlign w:val="center"/>
                </w:tcPr>
                <w:p w14:paraId="7DE2411C">
                  <w:pPr>
                    <w:widowControl/>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碱片</w:t>
                  </w:r>
                </w:p>
              </w:tc>
              <w:tc>
                <w:tcPr>
                  <w:tcW w:w="1532" w:type="pct"/>
                  <w:tcBorders>
                    <w:tl2br w:val="nil"/>
                    <w:tr2bl w:val="nil"/>
                  </w:tcBorders>
                  <w:vAlign w:val="center"/>
                </w:tcPr>
                <w:p w14:paraId="2B3E5EC6">
                  <w:pPr>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60</w:t>
                  </w:r>
                  <w:r>
                    <w:rPr>
                      <w:rFonts w:hint="default" w:ascii="Times New Roman" w:hAnsi="Times New Roman" w:cs="Times New Roman"/>
                      <w:color w:val="auto"/>
                    </w:rPr>
                    <w:t>吨/年</w:t>
                  </w:r>
                </w:p>
              </w:tc>
              <w:tc>
                <w:tcPr>
                  <w:tcW w:w="1297" w:type="pct"/>
                  <w:tcBorders>
                    <w:tl2br w:val="nil"/>
                    <w:tr2bl w:val="nil"/>
                  </w:tcBorders>
                  <w:vAlign w:val="center"/>
                </w:tcPr>
                <w:p w14:paraId="7A9FC74C">
                  <w:pPr>
                    <w:jc w:val="center"/>
                    <w:rPr>
                      <w:rFonts w:hint="default" w:ascii="Times New Roman" w:hAnsi="Times New Roman" w:cs="Times New Roman"/>
                      <w:color w:val="auto"/>
                    </w:rPr>
                  </w:pPr>
                  <w:r>
                    <w:rPr>
                      <w:rFonts w:hint="default" w:ascii="Times New Roman" w:hAnsi="Times New Roman" w:cs="Times New Roman"/>
                      <w:color w:val="auto"/>
                    </w:rPr>
                    <w:t>外购</w:t>
                  </w:r>
                </w:p>
              </w:tc>
            </w:tr>
            <w:tr w14:paraId="4FA47E2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3" w:hRule="atLeast"/>
                <w:jc w:val="center"/>
              </w:trPr>
              <w:tc>
                <w:tcPr>
                  <w:tcW w:w="737" w:type="pct"/>
                  <w:tcBorders>
                    <w:tl2br w:val="nil"/>
                    <w:tr2bl w:val="nil"/>
                  </w:tcBorders>
                  <w:vAlign w:val="center"/>
                </w:tcPr>
                <w:p w14:paraId="2DC39883">
                  <w:pPr>
                    <w:pStyle w:val="131"/>
                    <w:numPr>
                      <w:ilvl w:val="0"/>
                      <w:numId w:val="8"/>
                    </w:numPr>
                    <w:jc w:val="center"/>
                    <w:rPr>
                      <w:rFonts w:hint="default" w:ascii="Times New Roman" w:hAnsi="Times New Roman" w:cs="Times New Roman"/>
                      <w:color w:val="auto"/>
                    </w:rPr>
                  </w:pPr>
                </w:p>
              </w:tc>
              <w:tc>
                <w:tcPr>
                  <w:tcW w:w="1432" w:type="pct"/>
                  <w:tcBorders>
                    <w:tl2br w:val="nil"/>
                    <w:tr2bl w:val="nil"/>
                  </w:tcBorders>
                  <w:vAlign w:val="center"/>
                </w:tcPr>
                <w:p w14:paraId="1B5CA8D1">
                  <w:pPr>
                    <w:widowControl/>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草酸</w:t>
                  </w:r>
                </w:p>
              </w:tc>
              <w:tc>
                <w:tcPr>
                  <w:tcW w:w="1532" w:type="pct"/>
                  <w:tcBorders>
                    <w:tl2br w:val="nil"/>
                    <w:tr2bl w:val="nil"/>
                  </w:tcBorders>
                  <w:vAlign w:val="center"/>
                </w:tcPr>
                <w:p w14:paraId="2B1F8A71">
                  <w:pPr>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4.5</w:t>
                  </w:r>
                  <w:r>
                    <w:rPr>
                      <w:rFonts w:hint="default" w:ascii="Times New Roman" w:hAnsi="Times New Roman" w:cs="Times New Roman"/>
                      <w:color w:val="auto"/>
                    </w:rPr>
                    <w:t>吨/年</w:t>
                  </w:r>
                </w:p>
              </w:tc>
              <w:tc>
                <w:tcPr>
                  <w:tcW w:w="1297" w:type="pct"/>
                  <w:tcBorders>
                    <w:tl2br w:val="nil"/>
                    <w:tr2bl w:val="nil"/>
                  </w:tcBorders>
                  <w:vAlign w:val="center"/>
                </w:tcPr>
                <w:p w14:paraId="3360248C">
                  <w:pPr>
                    <w:jc w:val="center"/>
                    <w:rPr>
                      <w:rFonts w:hint="default" w:ascii="Times New Roman" w:hAnsi="Times New Roman" w:cs="Times New Roman"/>
                      <w:color w:val="auto"/>
                    </w:rPr>
                  </w:pPr>
                  <w:r>
                    <w:rPr>
                      <w:rFonts w:hint="default" w:ascii="Times New Roman" w:hAnsi="Times New Roman" w:cs="Times New Roman"/>
                      <w:color w:val="auto"/>
                    </w:rPr>
                    <w:t>外购</w:t>
                  </w:r>
                </w:p>
              </w:tc>
            </w:tr>
            <w:tr w14:paraId="04D8056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3" w:hRule="atLeast"/>
                <w:jc w:val="center"/>
              </w:trPr>
              <w:tc>
                <w:tcPr>
                  <w:tcW w:w="737" w:type="pct"/>
                  <w:tcBorders>
                    <w:tl2br w:val="nil"/>
                    <w:tr2bl w:val="nil"/>
                  </w:tcBorders>
                  <w:vAlign w:val="center"/>
                </w:tcPr>
                <w:p w14:paraId="64959361">
                  <w:pPr>
                    <w:pStyle w:val="131"/>
                    <w:numPr>
                      <w:ilvl w:val="0"/>
                      <w:numId w:val="8"/>
                    </w:numPr>
                    <w:jc w:val="center"/>
                    <w:rPr>
                      <w:rFonts w:hint="default" w:ascii="Times New Roman" w:hAnsi="Times New Roman" w:cs="Times New Roman"/>
                      <w:color w:val="auto"/>
                    </w:rPr>
                  </w:pPr>
                </w:p>
              </w:tc>
              <w:tc>
                <w:tcPr>
                  <w:tcW w:w="1432" w:type="pct"/>
                  <w:tcBorders>
                    <w:tl2br w:val="nil"/>
                    <w:tr2bl w:val="nil"/>
                  </w:tcBorders>
                  <w:vAlign w:val="center"/>
                </w:tcPr>
                <w:p w14:paraId="0F4DB0BA">
                  <w:pPr>
                    <w:widowControl/>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石灰</w:t>
                  </w:r>
                </w:p>
              </w:tc>
              <w:tc>
                <w:tcPr>
                  <w:tcW w:w="1532" w:type="pct"/>
                  <w:tcBorders>
                    <w:tl2br w:val="nil"/>
                    <w:tr2bl w:val="nil"/>
                  </w:tcBorders>
                  <w:vAlign w:val="center"/>
                </w:tcPr>
                <w:p w14:paraId="06BF3362">
                  <w:pPr>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90</w:t>
                  </w:r>
                  <w:r>
                    <w:rPr>
                      <w:rFonts w:hint="default" w:ascii="Times New Roman" w:hAnsi="Times New Roman" w:cs="Times New Roman"/>
                      <w:color w:val="auto"/>
                    </w:rPr>
                    <w:t>吨/年</w:t>
                  </w:r>
                </w:p>
              </w:tc>
              <w:tc>
                <w:tcPr>
                  <w:tcW w:w="1297" w:type="pct"/>
                  <w:tcBorders>
                    <w:tl2br w:val="nil"/>
                    <w:tr2bl w:val="nil"/>
                  </w:tcBorders>
                  <w:vAlign w:val="center"/>
                </w:tcPr>
                <w:p w14:paraId="66F829D3">
                  <w:pPr>
                    <w:jc w:val="center"/>
                    <w:rPr>
                      <w:rFonts w:hint="default" w:ascii="Times New Roman" w:hAnsi="Times New Roman" w:cs="Times New Roman"/>
                      <w:color w:val="auto"/>
                    </w:rPr>
                  </w:pPr>
                  <w:r>
                    <w:rPr>
                      <w:rFonts w:hint="default" w:ascii="Times New Roman" w:hAnsi="Times New Roman" w:cs="Times New Roman"/>
                      <w:color w:val="auto"/>
                    </w:rPr>
                    <w:t>外购</w:t>
                  </w:r>
                </w:p>
              </w:tc>
            </w:tr>
            <w:tr w14:paraId="3C495DD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3" w:hRule="atLeast"/>
                <w:jc w:val="center"/>
              </w:trPr>
              <w:tc>
                <w:tcPr>
                  <w:tcW w:w="737" w:type="pct"/>
                  <w:tcBorders>
                    <w:tl2br w:val="nil"/>
                    <w:tr2bl w:val="nil"/>
                  </w:tcBorders>
                  <w:vAlign w:val="center"/>
                </w:tcPr>
                <w:p w14:paraId="371D0A65">
                  <w:pPr>
                    <w:pStyle w:val="131"/>
                    <w:numPr>
                      <w:ilvl w:val="0"/>
                      <w:numId w:val="8"/>
                    </w:numPr>
                    <w:jc w:val="center"/>
                    <w:rPr>
                      <w:rFonts w:hint="default" w:ascii="Times New Roman" w:hAnsi="Times New Roman" w:cs="Times New Roman"/>
                      <w:color w:val="auto"/>
                    </w:rPr>
                  </w:pPr>
                </w:p>
              </w:tc>
              <w:tc>
                <w:tcPr>
                  <w:tcW w:w="1432" w:type="pct"/>
                  <w:tcBorders>
                    <w:tl2br w:val="nil"/>
                    <w:tr2bl w:val="nil"/>
                  </w:tcBorders>
                  <w:vAlign w:val="center"/>
                </w:tcPr>
                <w:p w14:paraId="1F1B7E6E">
                  <w:pPr>
                    <w:widowControl/>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氢氧化钠</w:t>
                  </w:r>
                </w:p>
              </w:tc>
              <w:tc>
                <w:tcPr>
                  <w:tcW w:w="1532" w:type="pct"/>
                  <w:tcBorders>
                    <w:tl2br w:val="nil"/>
                    <w:tr2bl w:val="nil"/>
                  </w:tcBorders>
                  <w:vAlign w:val="center"/>
                </w:tcPr>
                <w:p w14:paraId="25059DCF">
                  <w:pPr>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37.5</w:t>
                  </w:r>
                  <w:r>
                    <w:rPr>
                      <w:rFonts w:hint="default" w:ascii="Times New Roman" w:hAnsi="Times New Roman" w:cs="Times New Roman"/>
                      <w:color w:val="auto"/>
                    </w:rPr>
                    <w:t>吨/年</w:t>
                  </w:r>
                </w:p>
              </w:tc>
              <w:tc>
                <w:tcPr>
                  <w:tcW w:w="1297" w:type="pct"/>
                  <w:tcBorders>
                    <w:tl2br w:val="nil"/>
                    <w:tr2bl w:val="nil"/>
                  </w:tcBorders>
                  <w:vAlign w:val="center"/>
                </w:tcPr>
                <w:p w14:paraId="79D9CF7C">
                  <w:pPr>
                    <w:jc w:val="center"/>
                    <w:rPr>
                      <w:rFonts w:hint="default" w:ascii="Times New Roman" w:hAnsi="Times New Roman" w:cs="Times New Roman"/>
                      <w:color w:val="auto"/>
                    </w:rPr>
                  </w:pPr>
                  <w:r>
                    <w:rPr>
                      <w:rFonts w:hint="default" w:ascii="Times New Roman" w:hAnsi="Times New Roman" w:cs="Times New Roman"/>
                      <w:color w:val="auto"/>
                    </w:rPr>
                    <w:t>外购</w:t>
                  </w:r>
                </w:p>
              </w:tc>
            </w:tr>
            <w:tr w14:paraId="63C24CF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3" w:hRule="atLeast"/>
                <w:jc w:val="center"/>
              </w:trPr>
              <w:tc>
                <w:tcPr>
                  <w:tcW w:w="737" w:type="pct"/>
                  <w:tcBorders>
                    <w:tl2br w:val="nil"/>
                    <w:tr2bl w:val="nil"/>
                  </w:tcBorders>
                  <w:vAlign w:val="center"/>
                </w:tcPr>
                <w:p w14:paraId="429536B1">
                  <w:pPr>
                    <w:pStyle w:val="131"/>
                    <w:numPr>
                      <w:ilvl w:val="0"/>
                      <w:numId w:val="8"/>
                    </w:numPr>
                    <w:jc w:val="center"/>
                    <w:rPr>
                      <w:rFonts w:hint="default" w:ascii="Times New Roman" w:hAnsi="Times New Roman" w:cs="Times New Roman"/>
                      <w:color w:val="auto"/>
                    </w:rPr>
                  </w:pPr>
                </w:p>
              </w:tc>
              <w:tc>
                <w:tcPr>
                  <w:tcW w:w="1432" w:type="pct"/>
                  <w:tcBorders>
                    <w:tl2br w:val="nil"/>
                    <w:tr2bl w:val="nil"/>
                  </w:tcBorders>
                  <w:vAlign w:val="center"/>
                </w:tcPr>
                <w:p w14:paraId="7176EF97">
                  <w:pPr>
                    <w:widowControl/>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w:t>
                  </w:r>
                </w:p>
              </w:tc>
              <w:tc>
                <w:tcPr>
                  <w:tcW w:w="1532" w:type="pct"/>
                  <w:tcBorders>
                    <w:tl2br w:val="nil"/>
                    <w:tr2bl w:val="nil"/>
                  </w:tcBorders>
                  <w:vAlign w:val="center"/>
                </w:tcPr>
                <w:p w14:paraId="01349FE0">
                  <w:pPr>
                    <w:pStyle w:val="131"/>
                    <w:rPr>
                      <w:rFonts w:hint="default" w:ascii="Times New Roman" w:hAnsi="Times New Roman" w:cs="Times New Roman"/>
                      <w:color w:val="auto"/>
                    </w:rPr>
                  </w:pPr>
                  <w:r>
                    <w:rPr>
                      <w:rFonts w:hint="default" w:ascii="Times New Roman" w:hAnsi="Times New Roman" w:cs="Times New Roman"/>
                      <w:color w:val="auto"/>
                      <w:highlight w:val="none"/>
                      <w:lang w:val="en-US" w:eastAsia="zh-CN"/>
                    </w:rPr>
                    <w:t>312723</w:t>
                  </w:r>
                  <w:r>
                    <w:rPr>
                      <w:rFonts w:hint="default" w:ascii="Times New Roman" w:hAnsi="Times New Roman" w:cs="Times New Roman"/>
                      <w:color w:val="auto"/>
                      <w:highlight w:val="none"/>
                    </w:rPr>
                    <w:t>吨/年</w:t>
                  </w:r>
                </w:p>
              </w:tc>
              <w:tc>
                <w:tcPr>
                  <w:tcW w:w="1297" w:type="pct"/>
                  <w:tcBorders>
                    <w:tl2br w:val="nil"/>
                    <w:tr2bl w:val="nil"/>
                  </w:tcBorders>
                  <w:vAlign w:val="center"/>
                </w:tcPr>
                <w:p w14:paraId="03886AAC">
                  <w:pPr>
                    <w:pStyle w:val="131"/>
                    <w:rPr>
                      <w:rFonts w:hint="default" w:ascii="Times New Roman" w:hAnsi="Times New Roman" w:cs="Times New Roman"/>
                      <w:color w:val="auto"/>
                    </w:rPr>
                  </w:pPr>
                </w:p>
              </w:tc>
            </w:tr>
            <w:tr w14:paraId="1DBC1D0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3" w:hRule="atLeast"/>
                <w:jc w:val="center"/>
              </w:trPr>
              <w:tc>
                <w:tcPr>
                  <w:tcW w:w="737" w:type="pct"/>
                  <w:tcBorders>
                    <w:tl2br w:val="nil"/>
                    <w:tr2bl w:val="nil"/>
                  </w:tcBorders>
                  <w:vAlign w:val="center"/>
                </w:tcPr>
                <w:p w14:paraId="467CB631">
                  <w:pPr>
                    <w:pStyle w:val="131"/>
                    <w:numPr>
                      <w:ilvl w:val="0"/>
                      <w:numId w:val="8"/>
                    </w:numPr>
                    <w:jc w:val="center"/>
                    <w:rPr>
                      <w:rFonts w:hint="default" w:ascii="Times New Roman" w:hAnsi="Times New Roman" w:cs="Times New Roman"/>
                      <w:color w:val="auto"/>
                    </w:rPr>
                  </w:pPr>
                </w:p>
              </w:tc>
              <w:tc>
                <w:tcPr>
                  <w:tcW w:w="1432" w:type="pct"/>
                  <w:tcBorders>
                    <w:tl2br w:val="nil"/>
                    <w:tr2bl w:val="nil"/>
                  </w:tcBorders>
                  <w:vAlign w:val="center"/>
                </w:tcPr>
                <w:p w14:paraId="4CB37160">
                  <w:pPr>
                    <w:pStyle w:val="131"/>
                    <w:rPr>
                      <w:rFonts w:hint="default" w:ascii="Times New Roman" w:hAnsi="Times New Roman" w:cs="Times New Roman"/>
                      <w:color w:val="auto"/>
                    </w:rPr>
                  </w:pPr>
                  <w:r>
                    <w:rPr>
                      <w:rFonts w:hint="default" w:ascii="Times New Roman" w:hAnsi="Times New Roman" w:cs="Times New Roman"/>
                      <w:color w:val="auto"/>
                    </w:rPr>
                    <w:t>电</w:t>
                  </w:r>
                </w:p>
              </w:tc>
              <w:tc>
                <w:tcPr>
                  <w:tcW w:w="1532" w:type="pct"/>
                  <w:tcBorders>
                    <w:tl2br w:val="nil"/>
                    <w:tr2bl w:val="nil"/>
                  </w:tcBorders>
                  <w:vAlign w:val="center"/>
                </w:tcPr>
                <w:p w14:paraId="73052F2A">
                  <w:pPr>
                    <w:widowControl/>
                    <w:jc w:val="center"/>
                    <w:rPr>
                      <w:rFonts w:hint="default" w:ascii="Times New Roman" w:hAnsi="Times New Roman" w:cs="Times New Roman"/>
                      <w:color w:val="auto"/>
                    </w:rPr>
                  </w:pPr>
                  <w:r>
                    <w:rPr>
                      <w:rFonts w:hint="default" w:ascii="Times New Roman" w:hAnsi="Times New Roman" w:cs="Times New Roman"/>
                      <w:color w:val="auto"/>
                    </w:rPr>
                    <w:t>19600</w:t>
                  </w:r>
                  <w:r>
                    <w:rPr>
                      <w:rFonts w:hint="default" w:ascii="Times New Roman" w:hAnsi="Times New Roman" w:cs="Times New Roman"/>
                      <w:color w:val="auto"/>
                      <w:kern w:val="0"/>
                      <w:szCs w:val="21"/>
                      <w:lang w:bidi="ar"/>
                    </w:rPr>
                    <w:t>万kW</w:t>
                  </w:r>
                  <w:r>
                    <w:rPr>
                      <w:rFonts w:hint="default" w:ascii="Times New Roman" w:hAnsi="Times New Roman" w:cs="Times New Roman"/>
                      <w:b/>
                      <w:bCs/>
                      <w:color w:val="auto"/>
                      <w:kern w:val="0"/>
                      <w:szCs w:val="21"/>
                      <w:lang w:bidi="ar"/>
                    </w:rPr>
                    <w:t>·</w:t>
                  </w:r>
                  <w:r>
                    <w:rPr>
                      <w:rFonts w:hint="default" w:ascii="Times New Roman" w:hAnsi="Times New Roman" w:cs="Times New Roman"/>
                      <w:color w:val="auto"/>
                      <w:kern w:val="0"/>
                      <w:szCs w:val="21"/>
                      <w:lang w:bidi="ar"/>
                    </w:rPr>
                    <w:t>h/a</w:t>
                  </w:r>
                </w:p>
              </w:tc>
              <w:tc>
                <w:tcPr>
                  <w:tcW w:w="1297" w:type="pct"/>
                  <w:tcBorders>
                    <w:tl2br w:val="nil"/>
                    <w:tr2bl w:val="nil"/>
                  </w:tcBorders>
                  <w:vAlign w:val="center"/>
                </w:tcPr>
                <w:p w14:paraId="1C56DAA7">
                  <w:pPr>
                    <w:widowControl/>
                    <w:jc w:val="center"/>
                    <w:rPr>
                      <w:rFonts w:hint="default" w:ascii="Times New Roman" w:hAnsi="Times New Roman" w:cs="Times New Roman"/>
                      <w:color w:val="auto"/>
                    </w:rPr>
                  </w:pPr>
                </w:p>
              </w:tc>
            </w:tr>
            <w:tr w14:paraId="67CB7BF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3" w:hRule="atLeast"/>
                <w:jc w:val="center"/>
              </w:trPr>
              <w:tc>
                <w:tcPr>
                  <w:tcW w:w="737" w:type="pct"/>
                  <w:tcBorders>
                    <w:tl2br w:val="nil"/>
                    <w:tr2bl w:val="nil"/>
                  </w:tcBorders>
                  <w:vAlign w:val="center"/>
                </w:tcPr>
                <w:p w14:paraId="06C32816">
                  <w:pPr>
                    <w:pStyle w:val="131"/>
                    <w:numPr>
                      <w:ilvl w:val="0"/>
                      <w:numId w:val="8"/>
                    </w:numPr>
                    <w:jc w:val="center"/>
                    <w:rPr>
                      <w:rFonts w:hint="default" w:ascii="Times New Roman" w:hAnsi="Times New Roman" w:cs="Times New Roman"/>
                      <w:color w:val="auto"/>
                    </w:rPr>
                  </w:pPr>
                </w:p>
              </w:tc>
              <w:tc>
                <w:tcPr>
                  <w:tcW w:w="1432" w:type="pct"/>
                  <w:tcBorders>
                    <w:tl2br w:val="nil"/>
                    <w:tr2bl w:val="nil"/>
                  </w:tcBorders>
                  <w:vAlign w:val="center"/>
                </w:tcPr>
                <w:p w14:paraId="2501B1D7">
                  <w:pPr>
                    <w:pStyle w:val="131"/>
                    <w:rPr>
                      <w:rFonts w:hint="default" w:ascii="Times New Roman" w:hAnsi="Times New Roman" w:cs="Times New Roman"/>
                      <w:color w:val="auto"/>
                    </w:rPr>
                  </w:pPr>
                  <w:r>
                    <w:rPr>
                      <w:rFonts w:hint="default" w:ascii="Times New Roman" w:hAnsi="Times New Roman" w:cs="Times New Roman"/>
                      <w:color w:val="auto"/>
                      <w:szCs w:val="21"/>
                    </w:rPr>
                    <w:t>天然气</w:t>
                  </w:r>
                </w:p>
              </w:tc>
              <w:tc>
                <w:tcPr>
                  <w:tcW w:w="1532" w:type="pct"/>
                  <w:tcBorders>
                    <w:tl2br w:val="nil"/>
                    <w:tr2bl w:val="nil"/>
                  </w:tcBorders>
                  <w:vAlign w:val="center"/>
                </w:tcPr>
                <w:p w14:paraId="4105D14D">
                  <w:pPr>
                    <w:widowControl/>
                    <w:jc w:val="center"/>
                    <w:rPr>
                      <w:rFonts w:hint="default" w:ascii="Times New Roman" w:hAnsi="Times New Roman" w:cs="Times New Roman"/>
                      <w:color w:val="auto"/>
                    </w:rPr>
                  </w:pPr>
                  <w:r>
                    <w:rPr>
                      <w:rFonts w:hint="default" w:ascii="Times New Roman" w:hAnsi="Times New Roman" w:cs="Times New Roman"/>
                      <w:color w:val="auto"/>
                    </w:rPr>
                    <w:t>90</w:t>
                  </w:r>
                  <w:r>
                    <w:rPr>
                      <w:rFonts w:hint="default" w:ascii="Times New Roman" w:hAnsi="Times New Roman" w:cs="Times New Roman"/>
                      <w:color w:val="auto"/>
                      <w:kern w:val="0"/>
                      <w:szCs w:val="21"/>
                    </w:rPr>
                    <w:t>万m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kern w:val="0"/>
                      <w:szCs w:val="21"/>
                    </w:rPr>
                    <w:t>/年</w:t>
                  </w:r>
                </w:p>
              </w:tc>
              <w:tc>
                <w:tcPr>
                  <w:tcW w:w="1297" w:type="pct"/>
                  <w:tcBorders>
                    <w:tl2br w:val="nil"/>
                    <w:tr2bl w:val="nil"/>
                  </w:tcBorders>
                  <w:vAlign w:val="center"/>
                </w:tcPr>
                <w:p w14:paraId="6C55387F">
                  <w:pPr>
                    <w:widowControl/>
                    <w:jc w:val="center"/>
                    <w:rPr>
                      <w:rFonts w:hint="default" w:ascii="Times New Roman" w:hAnsi="Times New Roman" w:cs="Times New Roman"/>
                      <w:color w:val="auto"/>
                    </w:rPr>
                  </w:pPr>
                  <w:r>
                    <w:rPr>
                      <w:rFonts w:hint="default" w:ascii="Times New Roman" w:hAnsi="Times New Roman" w:cs="Times New Roman"/>
                      <w:color w:val="auto"/>
                      <w:kern w:val="0"/>
                      <w:szCs w:val="21"/>
                    </w:rPr>
                    <w:t>天然气管道供应</w:t>
                  </w:r>
                </w:p>
              </w:tc>
            </w:tr>
          </w:tbl>
          <w:p w14:paraId="49359B62">
            <w:pPr>
              <w:pStyle w:val="10"/>
              <w:keepNext w:val="0"/>
              <w:keepLines w:val="0"/>
              <w:pageBreakBefore w:val="0"/>
              <w:widowControl w:val="0"/>
              <w:numPr>
                <w:ilvl w:val="0"/>
                <w:numId w:val="9"/>
              </w:numPr>
              <w:kinsoku/>
              <w:wordWrap/>
              <w:overflowPunct/>
              <w:topLinePunct w:val="0"/>
              <w:autoSpaceDE/>
              <w:autoSpaceDN/>
              <w:bidi w:val="0"/>
              <w:adjustRightInd w:val="0"/>
              <w:snapToGrid w:val="0"/>
              <w:spacing w:before="190" w:beforeLines="50" w:line="360" w:lineRule="auto"/>
              <w:ind w:left="147" w:firstLine="482"/>
              <w:textAlignment w:val="auto"/>
              <w:rPr>
                <w:rFonts w:hint="default" w:ascii="Times New Roman" w:hAnsi="Times New Roman" w:cs="Times New Roman"/>
                <w:color w:val="auto"/>
                <w:sz w:val="24"/>
              </w:rPr>
            </w:pPr>
            <w:r>
              <w:rPr>
                <w:rFonts w:hint="default" w:ascii="Times New Roman" w:hAnsi="Times New Roman" w:cs="Times New Roman"/>
                <w:color w:val="auto"/>
                <w:sz w:val="24"/>
              </w:rPr>
              <w:t>主要原辅材料理化性质</w:t>
            </w:r>
          </w:p>
          <w:p w14:paraId="0942C000">
            <w:pPr>
              <w:pStyle w:val="10"/>
              <w:keepNext w:val="0"/>
              <w:keepLines w:val="0"/>
              <w:pageBreakBefore w:val="0"/>
              <w:widowControl w:val="0"/>
              <w:numPr>
                <w:ilvl w:val="255"/>
                <w:numId w:val="0"/>
              </w:numPr>
              <w:kinsoku/>
              <w:wordWrap/>
              <w:overflowPunct/>
              <w:topLinePunct w:val="0"/>
              <w:autoSpaceDE/>
              <w:autoSpaceDN/>
              <w:bidi w:val="0"/>
              <w:adjustRightInd w:val="0"/>
              <w:snapToGrid w:val="0"/>
              <w:spacing w:before="115" w:beforeLines="30" w:after="115" w:afterLines="30" w:line="240" w:lineRule="auto"/>
              <w:jc w:val="center"/>
              <w:textAlignment w:val="auto"/>
              <w:rPr>
                <w:rFonts w:hint="default" w:ascii="Times New Roman" w:hAnsi="Times New Roman" w:eastAsia="黑体" w:cs="Times New Roman"/>
                <w:color w:val="auto"/>
                <w:kern w:val="2"/>
                <w:sz w:val="24"/>
                <w:szCs w:val="24"/>
                <w:lang w:val="en-US" w:eastAsia="zh-CN" w:bidi="ar-SA"/>
              </w:rPr>
            </w:pPr>
            <w:r>
              <w:rPr>
                <w:rFonts w:hint="default" w:ascii="Times New Roman" w:hAnsi="Times New Roman" w:eastAsia="黑体" w:cs="Times New Roman"/>
                <w:color w:val="auto"/>
                <w:kern w:val="2"/>
                <w:sz w:val="24"/>
                <w:szCs w:val="24"/>
                <w:lang w:val="en-US" w:eastAsia="zh-CN" w:bidi="ar-SA"/>
              </w:rPr>
              <w:t>表2.2-8  主要原辅材料理化性质一览表</w:t>
            </w:r>
          </w:p>
          <w:tbl>
            <w:tblPr>
              <w:tblStyle w:val="34"/>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85"/>
              <w:gridCol w:w="1183"/>
              <w:gridCol w:w="6883"/>
            </w:tblGrid>
            <w:tr w14:paraId="567F7B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338" w:type="pct"/>
                  <w:tcBorders>
                    <w:tl2br w:val="nil"/>
                    <w:tr2bl w:val="nil"/>
                  </w:tcBorders>
                  <w:tcMar>
                    <w:top w:w="0" w:type="dxa"/>
                    <w:left w:w="28" w:type="dxa"/>
                    <w:bottom w:w="0" w:type="dxa"/>
                    <w:right w:w="28" w:type="dxa"/>
                  </w:tcMar>
                  <w:vAlign w:val="center"/>
                </w:tcPr>
                <w:p w14:paraId="4FE45411">
                  <w:pPr>
                    <w:keepNext w:val="0"/>
                    <w:keepLines w:val="0"/>
                    <w:pageBreakBefore w:val="0"/>
                    <w:widowControl w:val="0"/>
                    <w:kinsoku/>
                    <w:wordWrap/>
                    <w:overflowPunct/>
                    <w:topLinePunct w:val="0"/>
                    <w:autoSpaceDE/>
                    <w:autoSpaceDN/>
                    <w:bidi w:val="0"/>
                    <w:adjustRightInd w:val="0"/>
                    <w:snapToGrid w:val="0"/>
                    <w:spacing w:before="39" w:beforeLines="10" w:line="264" w:lineRule="auto"/>
                    <w:ind w:left="0" w:firstLine="0"/>
                    <w:jc w:val="center"/>
                    <w:textAlignment w:val="auto"/>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序号</w:t>
                  </w:r>
                </w:p>
              </w:tc>
              <w:tc>
                <w:tcPr>
                  <w:tcW w:w="683" w:type="pct"/>
                  <w:tcBorders>
                    <w:tl2br w:val="nil"/>
                    <w:tr2bl w:val="nil"/>
                  </w:tcBorders>
                  <w:tcMar>
                    <w:top w:w="0" w:type="dxa"/>
                    <w:left w:w="28" w:type="dxa"/>
                    <w:bottom w:w="0" w:type="dxa"/>
                    <w:right w:w="28" w:type="dxa"/>
                  </w:tcMar>
                  <w:vAlign w:val="center"/>
                </w:tcPr>
                <w:p w14:paraId="14FA9231">
                  <w:pPr>
                    <w:keepNext w:val="0"/>
                    <w:keepLines w:val="0"/>
                    <w:pageBreakBefore w:val="0"/>
                    <w:widowControl w:val="0"/>
                    <w:kinsoku/>
                    <w:wordWrap/>
                    <w:overflowPunct/>
                    <w:topLinePunct w:val="0"/>
                    <w:autoSpaceDE/>
                    <w:autoSpaceDN/>
                    <w:bidi w:val="0"/>
                    <w:adjustRightInd w:val="0"/>
                    <w:snapToGrid w:val="0"/>
                    <w:spacing w:before="39" w:beforeLines="10" w:line="264" w:lineRule="auto"/>
                    <w:ind w:left="0" w:firstLine="0"/>
                    <w:jc w:val="center"/>
                    <w:textAlignment w:val="auto"/>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物料名称</w:t>
                  </w:r>
                </w:p>
              </w:tc>
              <w:tc>
                <w:tcPr>
                  <w:tcW w:w="3978" w:type="pct"/>
                  <w:tcBorders>
                    <w:tl2br w:val="nil"/>
                    <w:tr2bl w:val="nil"/>
                  </w:tcBorders>
                  <w:tcMar>
                    <w:top w:w="0" w:type="dxa"/>
                    <w:left w:w="28" w:type="dxa"/>
                    <w:bottom w:w="0" w:type="dxa"/>
                    <w:right w:w="28" w:type="dxa"/>
                  </w:tcMar>
                  <w:vAlign w:val="center"/>
                </w:tcPr>
                <w:p w14:paraId="3F4F07A2">
                  <w:pPr>
                    <w:keepNext w:val="0"/>
                    <w:keepLines w:val="0"/>
                    <w:pageBreakBefore w:val="0"/>
                    <w:widowControl w:val="0"/>
                    <w:kinsoku/>
                    <w:wordWrap/>
                    <w:overflowPunct/>
                    <w:topLinePunct w:val="0"/>
                    <w:autoSpaceDE/>
                    <w:autoSpaceDN/>
                    <w:bidi w:val="0"/>
                    <w:adjustRightInd w:val="0"/>
                    <w:snapToGrid w:val="0"/>
                    <w:spacing w:before="39" w:beforeLines="10" w:line="264" w:lineRule="auto"/>
                    <w:ind w:left="0" w:firstLine="0"/>
                    <w:jc w:val="center"/>
                    <w:textAlignment w:val="auto"/>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主要成分及理化性质</w:t>
                  </w:r>
                </w:p>
              </w:tc>
            </w:tr>
            <w:tr w14:paraId="7980B9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338" w:type="pct"/>
                  <w:tcBorders>
                    <w:tl2br w:val="nil"/>
                    <w:tr2bl w:val="nil"/>
                  </w:tcBorders>
                  <w:tcMar>
                    <w:top w:w="0" w:type="dxa"/>
                    <w:left w:w="28" w:type="dxa"/>
                    <w:bottom w:w="0" w:type="dxa"/>
                    <w:right w:w="28" w:type="dxa"/>
                  </w:tcMar>
                  <w:vAlign w:val="center"/>
                </w:tcPr>
                <w:p w14:paraId="36A5FE42">
                  <w:pPr>
                    <w:keepNext w:val="0"/>
                    <w:keepLines w:val="0"/>
                    <w:pageBreakBefore w:val="0"/>
                    <w:widowControl w:val="0"/>
                    <w:numPr>
                      <w:ilvl w:val="0"/>
                      <w:numId w:val="10"/>
                    </w:numPr>
                    <w:kinsoku/>
                    <w:wordWrap/>
                    <w:overflowPunct/>
                    <w:topLinePunct w:val="0"/>
                    <w:autoSpaceDE/>
                    <w:autoSpaceDN/>
                    <w:bidi w:val="0"/>
                    <w:adjustRightInd w:val="0"/>
                    <w:snapToGrid w:val="0"/>
                    <w:spacing w:before="39" w:beforeLines="10" w:line="264" w:lineRule="auto"/>
                    <w:ind w:left="0" w:firstLine="0"/>
                    <w:jc w:val="center"/>
                    <w:textAlignment w:val="auto"/>
                    <w:rPr>
                      <w:rFonts w:hint="default" w:ascii="Times New Roman" w:hAnsi="Times New Roman" w:cs="Times New Roman" w:eastAsiaTheme="minorEastAsia"/>
                      <w:color w:val="auto"/>
                      <w:sz w:val="21"/>
                      <w:szCs w:val="21"/>
                    </w:rPr>
                  </w:pPr>
                </w:p>
              </w:tc>
              <w:tc>
                <w:tcPr>
                  <w:tcW w:w="683" w:type="pct"/>
                  <w:tcBorders>
                    <w:tl2br w:val="nil"/>
                    <w:tr2bl w:val="nil"/>
                  </w:tcBorders>
                  <w:tcMar>
                    <w:top w:w="0" w:type="dxa"/>
                    <w:left w:w="28" w:type="dxa"/>
                    <w:bottom w:w="0" w:type="dxa"/>
                    <w:right w:w="28" w:type="dxa"/>
                  </w:tcMar>
                  <w:vAlign w:val="center"/>
                </w:tcPr>
                <w:p w14:paraId="1354B31C">
                  <w:pPr>
                    <w:keepNext w:val="0"/>
                    <w:keepLines w:val="0"/>
                    <w:pageBreakBefore w:val="0"/>
                    <w:widowControl w:val="0"/>
                    <w:kinsoku/>
                    <w:wordWrap/>
                    <w:overflowPunct/>
                    <w:topLinePunct w:val="0"/>
                    <w:autoSpaceDE/>
                    <w:autoSpaceDN/>
                    <w:bidi w:val="0"/>
                    <w:adjustRightInd w:val="0"/>
                    <w:snapToGrid w:val="0"/>
                    <w:spacing w:before="39" w:beforeLines="10" w:line="264" w:lineRule="auto"/>
                    <w:ind w:left="0" w:firstLine="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盐酸</w:t>
                  </w:r>
                </w:p>
              </w:tc>
              <w:tc>
                <w:tcPr>
                  <w:tcW w:w="3978" w:type="pct"/>
                  <w:tcBorders>
                    <w:tl2br w:val="nil"/>
                    <w:tr2bl w:val="nil"/>
                  </w:tcBorders>
                  <w:tcMar>
                    <w:top w:w="0" w:type="dxa"/>
                    <w:left w:w="28" w:type="dxa"/>
                    <w:bottom w:w="0" w:type="dxa"/>
                    <w:right w:w="28" w:type="dxa"/>
                  </w:tcMar>
                  <w:vAlign w:val="center"/>
                </w:tcPr>
                <w:p w14:paraId="457B79CC">
                  <w:pPr>
                    <w:keepNext w:val="0"/>
                    <w:keepLines w:val="0"/>
                    <w:pageBreakBefore w:val="0"/>
                    <w:widowControl w:val="0"/>
                    <w:kinsoku/>
                    <w:wordWrap/>
                    <w:overflowPunct/>
                    <w:topLinePunct w:val="0"/>
                    <w:autoSpaceDE/>
                    <w:autoSpaceDN/>
                    <w:bidi w:val="0"/>
                    <w:adjustRightInd w:val="0"/>
                    <w:snapToGrid w:val="0"/>
                    <w:spacing w:before="39" w:beforeLines="10" w:line="264" w:lineRule="auto"/>
                    <w:ind w:left="0" w:firstLine="0"/>
                    <w:jc w:val="both"/>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rPr>
                    <w:t>无色液体（工业用盐酸会因有杂质三价铁盐而略显黄色），有腐蚀性，为氯化氢的水溶液，具有刺激性气味，氯化氢与水混溶，在25℃和1大气压下，1体积水可溶解503体积的氯化氢气体，浓盐酸溶于水有热量放出。溶于碱液并与碱液发生中和反应。由于浓盐酸具有挥发性，挥发出的氯化氢气体与空气中的水蒸气作用形成盐酸小液滴，所以会看到白雾；盐酸与活泼金属单质反应，生成氢气；盐酸和碱性氧化物反应，生成盐和水；具有还原性；可以制取弱酸。接触其蒸气或烟雾，可引起急性中毒，出现眼结膜炎，鼻及口腔粘膜有烧灼感，鼻出血、齿龈出血，气管炎等。本项目所用盐酸质量浓度3</w:t>
                  </w:r>
                  <w:r>
                    <w:rPr>
                      <w:rFonts w:hint="default" w:ascii="Times New Roman" w:hAnsi="Times New Roman" w:cs="Times New Roman" w:eastAsiaTheme="minorEastAsia"/>
                      <w:color w:val="auto"/>
                      <w:sz w:val="21"/>
                      <w:szCs w:val="21"/>
                      <w:lang w:val="en-US" w:eastAsia="zh-CN"/>
                    </w:rPr>
                    <w:t>2</w:t>
                  </w:r>
                  <w:r>
                    <w:rPr>
                      <w:rFonts w:hint="default" w:ascii="Times New Roman" w:hAnsi="Times New Roman" w:cs="Times New Roman" w:eastAsiaTheme="minorEastAsia"/>
                      <w:color w:val="auto"/>
                      <w:sz w:val="21"/>
                      <w:szCs w:val="21"/>
                    </w:rPr>
                    <w:t>%</w:t>
                  </w:r>
                  <w:r>
                    <w:rPr>
                      <w:rFonts w:hint="default" w:ascii="Times New Roman" w:hAnsi="Times New Roman" w:cs="Times New Roman" w:eastAsiaTheme="minorEastAsia"/>
                      <w:color w:val="auto"/>
                      <w:sz w:val="21"/>
                      <w:szCs w:val="21"/>
                      <w:lang w:eastAsia="zh-CN"/>
                    </w:rPr>
                    <w:t>。</w:t>
                  </w:r>
                </w:p>
              </w:tc>
            </w:tr>
            <w:tr w14:paraId="0F5FE2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338" w:type="pct"/>
                  <w:tcBorders>
                    <w:tl2br w:val="nil"/>
                    <w:tr2bl w:val="nil"/>
                  </w:tcBorders>
                  <w:tcMar>
                    <w:top w:w="0" w:type="dxa"/>
                    <w:left w:w="28" w:type="dxa"/>
                    <w:bottom w:w="0" w:type="dxa"/>
                    <w:right w:w="28" w:type="dxa"/>
                  </w:tcMar>
                  <w:vAlign w:val="center"/>
                </w:tcPr>
                <w:p w14:paraId="4FA71FA5">
                  <w:pPr>
                    <w:keepNext w:val="0"/>
                    <w:keepLines w:val="0"/>
                    <w:pageBreakBefore w:val="0"/>
                    <w:widowControl w:val="0"/>
                    <w:numPr>
                      <w:ilvl w:val="0"/>
                      <w:numId w:val="10"/>
                    </w:numPr>
                    <w:kinsoku/>
                    <w:wordWrap/>
                    <w:overflowPunct/>
                    <w:topLinePunct w:val="0"/>
                    <w:autoSpaceDE/>
                    <w:autoSpaceDN/>
                    <w:bidi w:val="0"/>
                    <w:adjustRightInd w:val="0"/>
                    <w:snapToGrid w:val="0"/>
                    <w:spacing w:before="39" w:beforeLines="10" w:line="264" w:lineRule="auto"/>
                    <w:ind w:left="0" w:firstLine="0"/>
                    <w:jc w:val="center"/>
                    <w:textAlignment w:val="auto"/>
                    <w:rPr>
                      <w:rFonts w:hint="default" w:ascii="Times New Roman" w:hAnsi="Times New Roman" w:cs="Times New Roman" w:eastAsiaTheme="minorEastAsia"/>
                      <w:color w:val="auto"/>
                      <w:sz w:val="21"/>
                      <w:szCs w:val="21"/>
                    </w:rPr>
                  </w:pPr>
                </w:p>
              </w:tc>
              <w:tc>
                <w:tcPr>
                  <w:tcW w:w="683" w:type="pct"/>
                  <w:tcBorders>
                    <w:tl2br w:val="nil"/>
                    <w:tr2bl w:val="nil"/>
                  </w:tcBorders>
                  <w:tcMar>
                    <w:top w:w="0" w:type="dxa"/>
                    <w:left w:w="28" w:type="dxa"/>
                    <w:bottom w:w="0" w:type="dxa"/>
                    <w:right w:w="28" w:type="dxa"/>
                  </w:tcMar>
                  <w:vAlign w:val="center"/>
                </w:tcPr>
                <w:p w14:paraId="6F31F303">
                  <w:pPr>
                    <w:keepNext w:val="0"/>
                    <w:keepLines w:val="0"/>
                    <w:pageBreakBefore w:val="0"/>
                    <w:widowControl w:val="0"/>
                    <w:kinsoku/>
                    <w:wordWrap/>
                    <w:overflowPunct/>
                    <w:topLinePunct w:val="0"/>
                    <w:autoSpaceDE/>
                    <w:autoSpaceDN/>
                    <w:bidi w:val="0"/>
                    <w:adjustRightInd w:val="0"/>
                    <w:snapToGrid w:val="0"/>
                    <w:spacing w:before="39" w:beforeLines="10" w:line="264" w:lineRule="auto"/>
                    <w:ind w:left="0" w:firstLine="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草酸</w:t>
                  </w:r>
                </w:p>
              </w:tc>
              <w:tc>
                <w:tcPr>
                  <w:tcW w:w="3978" w:type="pct"/>
                  <w:tcBorders>
                    <w:tl2br w:val="nil"/>
                    <w:tr2bl w:val="nil"/>
                  </w:tcBorders>
                  <w:tcMar>
                    <w:top w:w="0" w:type="dxa"/>
                    <w:left w:w="28" w:type="dxa"/>
                    <w:bottom w:w="0" w:type="dxa"/>
                    <w:right w:w="28" w:type="dxa"/>
                  </w:tcMar>
                  <w:vAlign w:val="center"/>
                </w:tcPr>
                <w:p w14:paraId="18FA55C6">
                  <w:pPr>
                    <w:keepNext w:val="0"/>
                    <w:keepLines w:val="0"/>
                    <w:pageBreakBefore w:val="0"/>
                    <w:widowControl w:val="0"/>
                    <w:kinsoku/>
                    <w:wordWrap/>
                    <w:overflowPunct/>
                    <w:topLinePunct w:val="0"/>
                    <w:autoSpaceDE/>
                    <w:autoSpaceDN/>
                    <w:bidi w:val="0"/>
                    <w:adjustRightInd w:val="0"/>
                    <w:snapToGrid w:val="0"/>
                    <w:spacing w:before="39" w:beforeLines="10" w:line="264" w:lineRule="auto"/>
                    <w:ind w:left="0" w:firstLine="0"/>
                    <w:jc w:val="both"/>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草酸又名乙二酸，无色单斜片状或棱柱体结晶或白色粉末，150～160℃升华。在高热干燥</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"https://baike.baidu.com/item/%E7%A9%BA%E6%B0%94" \t "https://baike.baidu.com/item/%E8%8D%89%E9%85%B8/_blank"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eastAsiaTheme="minorEastAsia"/>
                      <w:color w:val="auto"/>
                      <w:sz w:val="21"/>
                      <w:szCs w:val="21"/>
                    </w:rPr>
                    <w:t>空气</w:t>
                  </w:r>
                  <w:r>
                    <w:rPr>
                      <w:rFonts w:hint="default" w:ascii="Times New Roman" w:hAnsi="Times New Roman" w:cs="Times New Roman" w:eastAsiaTheme="minorEastAsia"/>
                      <w:color w:val="auto"/>
                      <w:sz w:val="21"/>
                      <w:szCs w:val="21"/>
                    </w:rPr>
                    <w:fldChar w:fldCharType="end"/>
                  </w:r>
                  <w:r>
                    <w:rPr>
                      <w:rFonts w:hint="default" w:ascii="Times New Roman" w:hAnsi="Times New Roman" w:cs="Times New Roman" w:eastAsiaTheme="minorEastAsia"/>
                      <w:color w:val="auto"/>
                      <w:sz w:val="21"/>
                      <w:szCs w:val="21"/>
                    </w:rPr>
                    <w:t>中能</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"https://baike.baidu.com/item/%E9%A3%8E%E5%8C%96" \t "https://baike.baidu.com/item/%E8%8D%89%E9%85%B8/_blank"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eastAsiaTheme="minorEastAsia"/>
                      <w:color w:val="auto"/>
                      <w:sz w:val="21"/>
                      <w:szCs w:val="21"/>
                    </w:rPr>
                    <w:t>风化</w:t>
                  </w:r>
                  <w:r>
                    <w:rPr>
                      <w:rFonts w:hint="default" w:ascii="Times New Roman" w:hAnsi="Times New Roman" w:cs="Times New Roman" w:eastAsiaTheme="minorEastAsia"/>
                      <w:color w:val="auto"/>
                      <w:sz w:val="21"/>
                      <w:szCs w:val="21"/>
                    </w:rPr>
                    <w:fldChar w:fldCharType="end"/>
                  </w:r>
                  <w:r>
                    <w:rPr>
                      <w:rFonts w:hint="default" w:ascii="Times New Roman" w:hAnsi="Times New Roman" w:cs="Times New Roman" w:eastAsiaTheme="minorEastAsia"/>
                      <w:color w:val="auto"/>
                      <w:sz w:val="21"/>
                      <w:szCs w:val="21"/>
                    </w:rPr>
                    <w:t>。溶于水、</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"https://baike.baidu.com/item/%E4%B9%99%E9%86%87" \t "https://baike.baidu.com/item/%E8%8D%89%E9%85%B8/_blank"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eastAsiaTheme="minorEastAsia"/>
                      <w:color w:val="auto"/>
                      <w:sz w:val="21"/>
                      <w:szCs w:val="21"/>
                    </w:rPr>
                    <w:t>乙醇</w:t>
                  </w:r>
                  <w:r>
                    <w:rPr>
                      <w:rFonts w:hint="default" w:ascii="Times New Roman" w:hAnsi="Times New Roman" w:cs="Times New Roman" w:eastAsiaTheme="minorEastAsia"/>
                      <w:color w:val="auto"/>
                      <w:sz w:val="21"/>
                      <w:szCs w:val="21"/>
                    </w:rPr>
                    <w:fldChar w:fldCharType="end"/>
                  </w:r>
                  <w:r>
                    <w:rPr>
                      <w:rFonts w:hint="default" w:ascii="Times New Roman" w:hAnsi="Times New Roman" w:cs="Times New Roman" w:eastAsiaTheme="minorEastAsia"/>
                      <w:color w:val="auto"/>
                      <w:sz w:val="21"/>
                      <w:szCs w:val="21"/>
                    </w:rPr>
                    <w:t>、沸</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"https://baike.baidu.com/item/%E4%B9%99%E9%86%87" \t "https://baike.baidu.com/item/%E8%8D%89%E9%85%B8/_blank"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eastAsiaTheme="minorEastAsia"/>
                      <w:color w:val="auto"/>
                      <w:sz w:val="21"/>
                      <w:szCs w:val="21"/>
                    </w:rPr>
                    <w:t>乙醇</w:t>
                  </w:r>
                  <w:r>
                    <w:rPr>
                      <w:rFonts w:hint="default" w:ascii="Times New Roman" w:hAnsi="Times New Roman" w:cs="Times New Roman" w:eastAsiaTheme="minorEastAsia"/>
                      <w:color w:val="auto"/>
                      <w:sz w:val="21"/>
                      <w:szCs w:val="21"/>
                    </w:rPr>
                    <w:fldChar w:fldCharType="end"/>
                  </w:r>
                  <w:r>
                    <w:rPr>
                      <w:rFonts w:hint="default" w:ascii="Times New Roman" w:hAnsi="Times New Roman" w:cs="Times New Roman" w:eastAsiaTheme="minorEastAsia"/>
                      <w:color w:val="auto"/>
                      <w:sz w:val="21"/>
                      <w:szCs w:val="21"/>
                    </w:rPr>
                    <w:t>、</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"https://baike.baidu.com/item/%E4%B9%99%E9%86%9A" \t "https://baike.baidu.com/item/%E8%8D%89%E9%85%B8/_blank"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eastAsiaTheme="minorEastAsia"/>
                      <w:color w:val="auto"/>
                      <w:sz w:val="21"/>
                      <w:szCs w:val="21"/>
                    </w:rPr>
                    <w:t>乙醚</w:t>
                  </w:r>
                  <w:r>
                    <w:rPr>
                      <w:rFonts w:hint="default" w:ascii="Times New Roman" w:hAnsi="Times New Roman" w:cs="Times New Roman" w:eastAsiaTheme="minorEastAsia"/>
                      <w:color w:val="auto"/>
                      <w:sz w:val="21"/>
                      <w:szCs w:val="21"/>
                    </w:rPr>
                    <w:fldChar w:fldCharType="end"/>
                  </w:r>
                  <w:r>
                    <w:rPr>
                      <w:rFonts w:hint="default" w:ascii="Times New Roman" w:hAnsi="Times New Roman" w:cs="Times New Roman" w:eastAsiaTheme="minorEastAsia"/>
                      <w:color w:val="auto"/>
                      <w:sz w:val="21"/>
                      <w:szCs w:val="21"/>
                    </w:rPr>
                    <w:t>、</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"https://baike.baidu.com/item/%E7%94%98%E6%B2%B9" \t "https://baike.baidu.com/item/%E8%8D%89%E9%85%B8/_blank"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eastAsiaTheme="minorEastAsia"/>
                      <w:color w:val="auto"/>
                      <w:sz w:val="21"/>
                      <w:szCs w:val="21"/>
                    </w:rPr>
                    <w:t>甘油</w:t>
                  </w:r>
                  <w:r>
                    <w:rPr>
                      <w:rFonts w:hint="default" w:ascii="Times New Roman" w:hAnsi="Times New Roman" w:cs="Times New Roman" w:eastAsiaTheme="minorEastAsia"/>
                      <w:color w:val="auto"/>
                      <w:sz w:val="21"/>
                      <w:szCs w:val="21"/>
                    </w:rPr>
                    <w:fldChar w:fldCharType="end"/>
                  </w:r>
                  <w:r>
                    <w:rPr>
                      <w:rFonts w:hint="default" w:ascii="Times New Roman" w:hAnsi="Times New Roman" w:cs="Times New Roman" w:eastAsiaTheme="minorEastAsia"/>
                      <w:color w:val="auto"/>
                      <w:sz w:val="21"/>
                      <w:szCs w:val="21"/>
                    </w:rPr>
                    <w:t>，不溶于</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"https://baike.baidu.com/item/%E8%8B%AF" \t "https://baike.baidu.com/item/%E8%8D%89%E9%85%B8/_blank"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eastAsiaTheme="minorEastAsia"/>
                      <w:color w:val="auto"/>
                      <w:sz w:val="21"/>
                      <w:szCs w:val="21"/>
                    </w:rPr>
                    <w:t>苯</w:t>
                  </w:r>
                  <w:r>
                    <w:rPr>
                      <w:rFonts w:hint="default" w:ascii="Times New Roman" w:hAnsi="Times New Roman" w:cs="Times New Roman" w:eastAsiaTheme="minorEastAsia"/>
                      <w:color w:val="auto"/>
                      <w:sz w:val="21"/>
                      <w:szCs w:val="21"/>
                    </w:rPr>
                    <w:fldChar w:fldCharType="end"/>
                  </w:r>
                  <w:r>
                    <w:rPr>
                      <w:rFonts w:hint="default" w:ascii="Times New Roman" w:hAnsi="Times New Roman" w:cs="Times New Roman" w:eastAsiaTheme="minorEastAsia"/>
                      <w:color w:val="auto"/>
                      <w:sz w:val="21"/>
                      <w:szCs w:val="21"/>
                    </w:rPr>
                    <w:t>、</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"https://baike.baidu.com/item/%E6%B0%AF%E4%BB%BF" \t "https://baike.baidu.com/item/%E8%8D%89%E9%85%B8/_blank"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eastAsiaTheme="minorEastAsia"/>
                      <w:color w:val="auto"/>
                      <w:sz w:val="21"/>
                      <w:szCs w:val="21"/>
                    </w:rPr>
                    <w:t>氯仿</w:t>
                  </w:r>
                  <w:r>
                    <w:rPr>
                      <w:rFonts w:hint="default" w:ascii="Times New Roman" w:hAnsi="Times New Roman" w:cs="Times New Roman" w:eastAsiaTheme="minorEastAsia"/>
                      <w:color w:val="auto"/>
                      <w:sz w:val="21"/>
                      <w:szCs w:val="21"/>
                    </w:rPr>
                    <w:fldChar w:fldCharType="end"/>
                  </w:r>
                  <w:r>
                    <w:rPr>
                      <w:rFonts w:hint="default" w:ascii="Times New Roman" w:hAnsi="Times New Roman" w:cs="Times New Roman" w:eastAsiaTheme="minorEastAsia"/>
                      <w:color w:val="auto"/>
                      <w:sz w:val="21"/>
                      <w:szCs w:val="21"/>
                    </w:rPr>
                    <w:t>和</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"https://baike.baidu.com/item/%E7%9F%B3%E6%B2%B9%E9%86%9A" \t "https://baike.baidu.com/item/%E8%8D%89%E9%85%B8/_blank"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eastAsiaTheme="minorEastAsia"/>
                      <w:color w:val="auto"/>
                      <w:sz w:val="21"/>
                      <w:szCs w:val="21"/>
                    </w:rPr>
                    <w:t>石油醚</w:t>
                  </w:r>
                  <w:r>
                    <w:rPr>
                      <w:rFonts w:hint="default" w:ascii="Times New Roman" w:hAnsi="Times New Roman" w:cs="Times New Roman" w:eastAsiaTheme="minorEastAsia"/>
                      <w:color w:val="auto"/>
                      <w:sz w:val="21"/>
                      <w:szCs w:val="21"/>
                    </w:rPr>
                    <w:fldChar w:fldCharType="end"/>
                  </w:r>
                  <w:r>
                    <w:rPr>
                      <w:rFonts w:hint="default" w:ascii="Times New Roman" w:hAnsi="Times New Roman" w:cs="Times New Roman" w:eastAsiaTheme="minorEastAsia"/>
                      <w:color w:val="auto"/>
                      <w:sz w:val="21"/>
                      <w:szCs w:val="21"/>
                    </w:rPr>
                    <w:t>。0.1mol/L溶液的</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"https://baike.baidu.com/item/pH" \t "https://baike.baidu.com/item/%E8%8D%89%E9%85%B8/_blank"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eastAsiaTheme="minorEastAsia"/>
                      <w:color w:val="auto"/>
                      <w:sz w:val="21"/>
                      <w:szCs w:val="21"/>
                    </w:rPr>
                    <w:t>pH</w:t>
                  </w:r>
                  <w:r>
                    <w:rPr>
                      <w:rFonts w:hint="default" w:ascii="Times New Roman" w:hAnsi="Times New Roman" w:cs="Times New Roman" w:eastAsiaTheme="minorEastAsia"/>
                      <w:color w:val="auto"/>
                      <w:sz w:val="21"/>
                      <w:szCs w:val="21"/>
                    </w:rPr>
                    <w:fldChar w:fldCharType="end"/>
                  </w:r>
                  <w:r>
                    <w:rPr>
                      <w:rFonts w:hint="default" w:ascii="Times New Roman" w:hAnsi="Times New Roman" w:cs="Times New Roman" w:eastAsiaTheme="minorEastAsia"/>
                      <w:color w:val="auto"/>
                      <w:sz w:val="21"/>
                      <w:szCs w:val="21"/>
                    </w:rPr>
                    <w:t>值为1.3。</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"https://baike.baidu.com/item/%E7%9B%B8%E5%AF%B9%E5%AF%86%E5%BA%A6" \t "https://baike.baidu.com/item/%E8%8D%89%E9%85%B8/_blank"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eastAsiaTheme="minorEastAsia"/>
                      <w:color w:val="auto"/>
                      <w:sz w:val="21"/>
                      <w:szCs w:val="21"/>
                    </w:rPr>
                    <w:t>相对密度</w:t>
                  </w:r>
                  <w:r>
                    <w:rPr>
                      <w:rFonts w:hint="default" w:ascii="Times New Roman" w:hAnsi="Times New Roman" w:cs="Times New Roman" w:eastAsiaTheme="minorEastAsia"/>
                      <w:color w:val="auto"/>
                      <w:sz w:val="21"/>
                      <w:szCs w:val="21"/>
                    </w:rPr>
                    <w:fldChar w:fldCharType="end"/>
                  </w:r>
                  <w:r>
                    <w:rPr>
                      <w:rFonts w:hint="default" w:ascii="Times New Roman" w:hAnsi="Times New Roman" w:cs="Times New Roman" w:eastAsiaTheme="minorEastAsia"/>
                      <w:color w:val="auto"/>
                      <w:sz w:val="21"/>
                      <w:szCs w:val="21"/>
                    </w:rPr>
                    <w:t>（d18.54）1.653。熔点101～102℃（187℃，无水）。低毒，半数致死量（兔，经皮）2000mg/kg。草酸在100℃开始升华，125℃时迅速</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"https://baike.baidu.com/item/%E5%8D%87%E5%8D%8E/13026118" \t "https://baike.baidu.com/item/%E8%8D%89%E9%85%B8/_blank"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eastAsiaTheme="minorEastAsia"/>
                      <w:color w:val="auto"/>
                      <w:sz w:val="21"/>
                      <w:szCs w:val="21"/>
                    </w:rPr>
                    <w:t>升华</w:t>
                  </w:r>
                  <w:r>
                    <w:rPr>
                      <w:rFonts w:hint="default" w:ascii="Times New Roman" w:hAnsi="Times New Roman" w:cs="Times New Roman" w:eastAsiaTheme="minorEastAsia"/>
                      <w:color w:val="auto"/>
                      <w:sz w:val="21"/>
                      <w:szCs w:val="21"/>
                    </w:rPr>
                    <w:fldChar w:fldCharType="end"/>
                  </w:r>
                  <w:r>
                    <w:rPr>
                      <w:rFonts w:hint="default" w:ascii="Times New Roman" w:hAnsi="Times New Roman" w:cs="Times New Roman" w:eastAsiaTheme="minorEastAsia"/>
                      <w:color w:val="auto"/>
                      <w:sz w:val="21"/>
                      <w:szCs w:val="21"/>
                    </w:rPr>
                    <w:t>，157℃时大量升华，并开始分解。可与碱反应，可以发生</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"https://baike.baidu.com/item/%E9%85%AF%E5%8C%96" \t "https://baike.baidu.com/item/%E8%8D%89%E9%85%B8/_blank"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eastAsiaTheme="minorEastAsia"/>
                      <w:color w:val="auto"/>
                      <w:sz w:val="21"/>
                      <w:szCs w:val="21"/>
                    </w:rPr>
                    <w:t>酯化</w:t>
                  </w:r>
                  <w:r>
                    <w:rPr>
                      <w:rFonts w:hint="default" w:ascii="Times New Roman" w:hAnsi="Times New Roman" w:cs="Times New Roman" w:eastAsiaTheme="minorEastAsia"/>
                      <w:color w:val="auto"/>
                      <w:sz w:val="21"/>
                      <w:szCs w:val="21"/>
                    </w:rPr>
                    <w:fldChar w:fldCharType="end"/>
                  </w:r>
                  <w:r>
                    <w:rPr>
                      <w:rFonts w:hint="default" w:ascii="Times New Roman" w:hAnsi="Times New Roman" w:cs="Times New Roman" w:eastAsiaTheme="minorEastAsia"/>
                      <w:color w:val="auto"/>
                      <w:sz w:val="21"/>
                      <w:szCs w:val="21"/>
                    </w:rPr>
                    <w:t>、酰卤化、酰胺化反应。也可以发生还原反应，受热发生</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"https://baike.baidu.com/item/%E8%84%B1%E7%BE%A7%E5%8F%8D%E5%BA%94" \t "https://baike.baidu.com/item/%E8%8D%89%E9%85%B8/_blank"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eastAsiaTheme="minorEastAsia"/>
                      <w:color w:val="auto"/>
                      <w:sz w:val="21"/>
                      <w:szCs w:val="21"/>
                    </w:rPr>
                    <w:t>脱羧反应</w:t>
                  </w:r>
                  <w:r>
                    <w:rPr>
                      <w:rFonts w:hint="default" w:ascii="Times New Roman" w:hAnsi="Times New Roman" w:cs="Times New Roman" w:eastAsiaTheme="minorEastAsia"/>
                      <w:color w:val="auto"/>
                      <w:sz w:val="21"/>
                      <w:szCs w:val="21"/>
                    </w:rPr>
                    <w:fldChar w:fldCharType="end"/>
                  </w:r>
                  <w:r>
                    <w:rPr>
                      <w:rFonts w:hint="default" w:ascii="Times New Roman" w:hAnsi="Times New Roman" w:cs="Times New Roman" w:eastAsiaTheme="minorEastAsia"/>
                      <w:color w:val="auto"/>
                      <w:sz w:val="21"/>
                      <w:szCs w:val="21"/>
                    </w:rPr>
                    <w:t>。无水草酸有吸湿性。草酸能与许多金属形成溶于水的</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"https://baike.baidu.com/item/%E7%BB%9C%E5%90%88%E7%89%A9" \t "https://baike.baidu.com/item/%E8%8D%89%E9%85%B8/_blank"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eastAsiaTheme="minorEastAsia"/>
                      <w:color w:val="auto"/>
                      <w:sz w:val="21"/>
                      <w:szCs w:val="21"/>
                    </w:rPr>
                    <w:t>络合物</w:t>
                  </w:r>
                  <w:r>
                    <w:rPr>
                      <w:rFonts w:hint="default" w:ascii="Times New Roman" w:hAnsi="Times New Roman" w:cs="Times New Roman" w:eastAsiaTheme="minorEastAsia"/>
                      <w:color w:val="auto"/>
                      <w:sz w:val="21"/>
                      <w:szCs w:val="21"/>
                    </w:rPr>
                    <w:fldChar w:fldCharType="end"/>
                  </w:r>
                  <w:r>
                    <w:rPr>
                      <w:rFonts w:hint="default" w:ascii="Times New Roman" w:hAnsi="Times New Roman" w:cs="Times New Roman" w:eastAsiaTheme="minorEastAsia"/>
                      <w:color w:val="auto"/>
                      <w:sz w:val="21"/>
                      <w:szCs w:val="21"/>
                    </w:rPr>
                    <w:t>。对皮肤、</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"https://baike.baidu.com/item/%E7%B2%98%E8%86%9C" \t "https://baike.baidu.com/item/%E8%8D%89%E9%85%B8/_blank"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eastAsiaTheme="minorEastAsia"/>
                      <w:color w:val="auto"/>
                      <w:sz w:val="21"/>
                      <w:szCs w:val="21"/>
                    </w:rPr>
                    <w:t>粘膜</w:t>
                  </w:r>
                  <w:r>
                    <w:rPr>
                      <w:rFonts w:hint="default" w:ascii="Times New Roman" w:hAnsi="Times New Roman" w:cs="Times New Roman" w:eastAsiaTheme="minorEastAsia"/>
                      <w:color w:val="auto"/>
                      <w:sz w:val="21"/>
                      <w:szCs w:val="21"/>
                    </w:rPr>
                    <w:fldChar w:fldCharType="end"/>
                  </w:r>
                  <w:r>
                    <w:rPr>
                      <w:rFonts w:hint="default" w:ascii="Times New Roman" w:hAnsi="Times New Roman" w:cs="Times New Roman" w:eastAsiaTheme="minorEastAsia"/>
                      <w:color w:val="auto"/>
                      <w:sz w:val="21"/>
                      <w:szCs w:val="21"/>
                    </w:rPr>
                    <w:t>有刺激及</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"https://baike.baidu.com/item/%E8%85%90%E8%9A%80%E4%BD%9C%E7%94%A8" \t "https://baike.baidu.com/item/%E8%8D%89%E9%85%B8/_blank"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eastAsiaTheme="minorEastAsia"/>
                      <w:color w:val="auto"/>
                      <w:sz w:val="21"/>
                      <w:szCs w:val="21"/>
                    </w:rPr>
                    <w:t>腐蚀作用</w:t>
                  </w:r>
                  <w:r>
                    <w:rPr>
                      <w:rFonts w:hint="default" w:ascii="Times New Roman" w:hAnsi="Times New Roman" w:cs="Times New Roman" w:eastAsiaTheme="minorEastAsia"/>
                      <w:color w:val="auto"/>
                      <w:sz w:val="21"/>
                      <w:szCs w:val="21"/>
                    </w:rPr>
                    <w:fldChar w:fldCharType="end"/>
                  </w:r>
                  <w:r>
                    <w:rPr>
                      <w:rFonts w:hint="default" w:ascii="Times New Roman" w:hAnsi="Times New Roman" w:cs="Times New Roman" w:eastAsiaTheme="minorEastAsia"/>
                      <w:color w:val="auto"/>
                      <w:sz w:val="21"/>
                      <w:szCs w:val="21"/>
                    </w:rPr>
                    <w:t>，极易经表皮、粘膜吸收引起中毒。本项目所用草酸含量为99%。</w:t>
                  </w:r>
                </w:p>
              </w:tc>
            </w:tr>
            <w:tr w14:paraId="0CC39A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34" w:hRule="atLeast"/>
                <w:jc w:val="center"/>
              </w:trPr>
              <w:tc>
                <w:tcPr>
                  <w:tcW w:w="338" w:type="pct"/>
                  <w:tcBorders>
                    <w:tl2br w:val="nil"/>
                    <w:tr2bl w:val="nil"/>
                  </w:tcBorders>
                  <w:tcMar>
                    <w:top w:w="0" w:type="dxa"/>
                    <w:left w:w="28" w:type="dxa"/>
                    <w:bottom w:w="0" w:type="dxa"/>
                    <w:right w:w="28" w:type="dxa"/>
                  </w:tcMar>
                  <w:vAlign w:val="center"/>
                </w:tcPr>
                <w:p w14:paraId="274AD911">
                  <w:pPr>
                    <w:keepNext w:val="0"/>
                    <w:keepLines w:val="0"/>
                    <w:pageBreakBefore w:val="0"/>
                    <w:widowControl w:val="0"/>
                    <w:numPr>
                      <w:ilvl w:val="0"/>
                      <w:numId w:val="10"/>
                    </w:numPr>
                    <w:kinsoku/>
                    <w:wordWrap/>
                    <w:overflowPunct/>
                    <w:topLinePunct w:val="0"/>
                    <w:autoSpaceDE/>
                    <w:autoSpaceDN/>
                    <w:bidi w:val="0"/>
                    <w:adjustRightInd w:val="0"/>
                    <w:snapToGrid w:val="0"/>
                    <w:spacing w:before="39" w:beforeLines="10" w:line="264" w:lineRule="auto"/>
                    <w:ind w:left="0" w:firstLine="0"/>
                    <w:jc w:val="center"/>
                    <w:textAlignment w:val="auto"/>
                    <w:rPr>
                      <w:rFonts w:hint="default" w:ascii="Times New Roman" w:hAnsi="Times New Roman" w:cs="Times New Roman" w:eastAsiaTheme="minorEastAsia"/>
                      <w:color w:val="auto"/>
                      <w:sz w:val="21"/>
                      <w:szCs w:val="21"/>
                    </w:rPr>
                  </w:pPr>
                </w:p>
              </w:tc>
              <w:tc>
                <w:tcPr>
                  <w:tcW w:w="683" w:type="pct"/>
                  <w:tcBorders>
                    <w:tl2br w:val="nil"/>
                    <w:tr2bl w:val="nil"/>
                  </w:tcBorders>
                  <w:tcMar>
                    <w:top w:w="0" w:type="dxa"/>
                    <w:left w:w="28" w:type="dxa"/>
                    <w:bottom w:w="0" w:type="dxa"/>
                    <w:right w:w="28" w:type="dxa"/>
                  </w:tcMar>
                  <w:vAlign w:val="center"/>
                </w:tcPr>
                <w:p w14:paraId="5F2B18A3">
                  <w:pPr>
                    <w:keepNext w:val="0"/>
                    <w:keepLines w:val="0"/>
                    <w:pageBreakBefore w:val="0"/>
                    <w:widowControl w:val="0"/>
                    <w:kinsoku/>
                    <w:wordWrap/>
                    <w:overflowPunct/>
                    <w:topLinePunct w:val="0"/>
                    <w:autoSpaceDE/>
                    <w:autoSpaceDN/>
                    <w:bidi w:val="0"/>
                    <w:adjustRightInd w:val="0"/>
                    <w:snapToGrid w:val="0"/>
                    <w:spacing w:before="39" w:beforeLines="10" w:line="264" w:lineRule="auto"/>
                    <w:ind w:left="0" w:firstLine="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磷化液</w:t>
                  </w:r>
                </w:p>
              </w:tc>
              <w:tc>
                <w:tcPr>
                  <w:tcW w:w="3978" w:type="pct"/>
                  <w:tcBorders>
                    <w:tl2br w:val="nil"/>
                    <w:tr2bl w:val="nil"/>
                  </w:tcBorders>
                  <w:tcMar>
                    <w:top w:w="0" w:type="dxa"/>
                    <w:left w:w="28" w:type="dxa"/>
                    <w:bottom w:w="0" w:type="dxa"/>
                    <w:right w:w="28" w:type="dxa"/>
                  </w:tcMar>
                  <w:vAlign w:val="center"/>
                </w:tcPr>
                <w:p w14:paraId="548489E7">
                  <w:pPr>
                    <w:keepNext w:val="0"/>
                    <w:keepLines w:val="0"/>
                    <w:pageBreakBefore w:val="0"/>
                    <w:widowControl w:val="0"/>
                    <w:kinsoku/>
                    <w:wordWrap/>
                    <w:overflowPunct/>
                    <w:topLinePunct w:val="0"/>
                    <w:autoSpaceDE/>
                    <w:autoSpaceDN/>
                    <w:bidi w:val="0"/>
                    <w:adjustRightInd w:val="0"/>
                    <w:snapToGrid w:val="0"/>
                    <w:spacing w:before="39" w:beforeLines="10" w:line="264" w:lineRule="auto"/>
                    <w:ind w:left="0" w:firstLine="0"/>
                    <w:jc w:val="both"/>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磷化是金属与磷酸或酸性磷酸盐反应形成磷酸盐保护膜的化学反应过程。磷化液的主要成分是磷酸二氢盐，如Zn</w:t>
                  </w:r>
                  <w:r>
                    <w:rPr>
                      <w:rFonts w:hint="default" w:ascii="Times New Roman" w:hAnsi="Times New Roman" w:cs="Times New Roman" w:eastAsiaTheme="minorEastAsia"/>
                      <w:color w:val="auto"/>
                      <w:sz w:val="21"/>
                      <w:szCs w:val="21"/>
                      <w:lang w:eastAsia="zh-CN"/>
                    </w:rPr>
                    <w:t>（</w:t>
                  </w:r>
                  <w:r>
                    <w:rPr>
                      <w:rFonts w:hint="default" w:ascii="Times New Roman" w:hAnsi="Times New Roman" w:cs="Times New Roman" w:eastAsiaTheme="minorEastAsia"/>
                      <w:color w:val="auto"/>
                      <w:sz w:val="21"/>
                      <w:szCs w:val="21"/>
                    </w:rPr>
                    <w:t>H</w:t>
                  </w:r>
                  <w:r>
                    <w:rPr>
                      <w:rFonts w:hint="default" w:ascii="Times New Roman" w:hAnsi="Times New Roman" w:cs="Times New Roman" w:eastAsiaTheme="minorEastAsia"/>
                      <w:color w:val="auto"/>
                      <w:sz w:val="21"/>
                      <w:szCs w:val="21"/>
                      <w:vertAlign w:val="subscript"/>
                    </w:rPr>
                    <w:t>2</w:t>
                  </w:r>
                  <w:r>
                    <w:rPr>
                      <w:rFonts w:hint="default" w:ascii="Times New Roman" w:hAnsi="Times New Roman" w:cs="Times New Roman" w:eastAsiaTheme="minorEastAsia"/>
                      <w:color w:val="auto"/>
                      <w:sz w:val="21"/>
                      <w:szCs w:val="21"/>
                    </w:rPr>
                    <w:t>PO</w:t>
                  </w:r>
                  <w:r>
                    <w:rPr>
                      <w:rFonts w:hint="default" w:ascii="Times New Roman" w:hAnsi="Times New Roman" w:cs="Times New Roman" w:eastAsiaTheme="minorEastAsia"/>
                      <w:color w:val="auto"/>
                      <w:sz w:val="21"/>
                      <w:szCs w:val="21"/>
                      <w:vertAlign w:val="subscript"/>
                    </w:rPr>
                    <w:t>4</w:t>
                  </w:r>
                  <w:r>
                    <w:rPr>
                      <w:rFonts w:hint="default" w:ascii="Times New Roman" w:hAnsi="Times New Roman" w:cs="Times New Roman" w:eastAsiaTheme="minorEastAsia"/>
                      <w:color w:val="auto"/>
                      <w:sz w:val="21"/>
                      <w:szCs w:val="21"/>
                      <w:lang w:eastAsia="zh-CN"/>
                    </w:rPr>
                    <w:t>）</w:t>
                  </w:r>
                  <w:r>
                    <w:rPr>
                      <w:rFonts w:hint="default" w:ascii="Times New Roman" w:hAnsi="Times New Roman" w:cs="Times New Roman" w:eastAsiaTheme="minorEastAsia"/>
                      <w:color w:val="auto"/>
                      <w:sz w:val="21"/>
                      <w:szCs w:val="21"/>
                      <w:vertAlign w:val="subscript"/>
                    </w:rPr>
                    <w:t>2</w:t>
                  </w:r>
                  <w:r>
                    <w:rPr>
                      <w:rFonts w:hint="default" w:ascii="Times New Roman" w:hAnsi="Times New Roman" w:cs="Times New Roman" w:eastAsiaTheme="minorEastAsia"/>
                      <w:color w:val="auto"/>
                      <w:sz w:val="21"/>
                      <w:szCs w:val="21"/>
                    </w:rPr>
                    <w:t>以及适量的游离磷酸和加速剂等。本项目使用锌系磷化液，锌系磷化液主体成分是：30%~40%磷酸、18%~23%硝酸、13%~17%氧化锌。</w:t>
                  </w:r>
                </w:p>
              </w:tc>
            </w:tr>
            <w:tr w14:paraId="0D197B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33" w:hRule="atLeast"/>
                <w:jc w:val="center"/>
              </w:trPr>
              <w:tc>
                <w:tcPr>
                  <w:tcW w:w="338" w:type="pct"/>
                  <w:tcBorders>
                    <w:tl2br w:val="nil"/>
                    <w:tr2bl w:val="nil"/>
                  </w:tcBorders>
                  <w:tcMar>
                    <w:top w:w="0" w:type="dxa"/>
                    <w:left w:w="28" w:type="dxa"/>
                    <w:bottom w:w="0" w:type="dxa"/>
                    <w:right w:w="28" w:type="dxa"/>
                  </w:tcMar>
                  <w:vAlign w:val="center"/>
                </w:tcPr>
                <w:p w14:paraId="6FD14BBC">
                  <w:pPr>
                    <w:keepNext w:val="0"/>
                    <w:keepLines w:val="0"/>
                    <w:pageBreakBefore w:val="0"/>
                    <w:widowControl w:val="0"/>
                    <w:numPr>
                      <w:ilvl w:val="0"/>
                      <w:numId w:val="10"/>
                    </w:numPr>
                    <w:kinsoku/>
                    <w:wordWrap/>
                    <w:overflowPunct/>
                    <w:topLinePunct w:val="0"/>
                    <w:autoSpaceDE/>
                    <w:autoSpaceDN/>
                    <w:bidi w:val="0"/>
                    <w:adjustRightInd w:val="0"/>
                    <w:snapToGrid w:val="0"/>
                    <w:spacing w:before="39" w:beforeLines="10" w:line="264" w:lineRule="auto"/>
                    <w:ind w:left="0" w:firstLine="0"/>
                    <w:jc w:val="center"/>
                    <w:textAlignment w:val="auto"/>
                    <w:rPr>
                      <w:rFonts w:hint="default" w:ascii="Times New Roman" w:hAnsi="Times New Roman" w:cs="Times New Roman" w:eastAsiaTheme="minorEastAsia"/>
                      <w:color w:val="auto"/>
                      <w:sz w:val="21"/>
                      <w:szCs w:val="21"/>
                    </w:rPr>
                  </w:pPr>
                </w:p>
              </w:tc>
              <w:tc>
                <w:tcPr>
                  <w:tcW w:w="683" w:type="pct"/>
                  <w:tcBorders>
                    <w:tl2br w:val="nil"/>
                    <w:tr2bl w:val="nil"/>
                  </w:tcBorders>
                  <w:tcMar>
                    <w:top w:w="0" w:type="dxa"/>
                    <w:left w:w="28" w:type="dxa"/>
                    <w:bottom w:w="0" w:type="dxa"/>
                    <w:right w:w="28" w:type="dxa"/>
                  </w:tcMar>
                  <w:vAlign w:val="center"/>
                </w:tcPr>
                <w:p w14:paraId="7AD5C772">
                  <w:pPr>
                    <w:keepNext w:val="0"/>
                    <w:keepLines w:val="0"/>
                    <w:pageBreakBefore w:val="0"/>
                    <w:widowControl w:val="0"/>
                    <w:kinsoku/>
                    <w:wordWrap/>
                    <w:overflowPunct/>
                    <w:topLinePunct w:val="0"/>
                    <w:autoSpaceDE/>
                    <w:autoSpaceDN/>
                    <w:bidi w:val="0"/>
                    <w:adjustRightInd w:val="0"/>
                    <w:snapToGrid w:val="0"/>
                    <w:spacing w:before="39" w:beforeLines="10" w:line="264" w:lineRule="auto"/>
                    <w:ind w:left="0" w:firstLine="0"/>
                    <w:jc w:val="center"/>
                    <w:textAlignment w:val="auto"/>
                    <w:rPr>
                      <w:rFonts w:hint="default" w:ascii="Times New Roman" w:hAnsi="Times New Roman" w:cs="Times New Roman" w:eastAsiaTheme="minorEastAsia"/>
                      <w:color w:val="auto"/>
                      <w:sz w:val="21"/>
                      <w:szCs w:val="21"/>
                    </w:rPr>
                  </w:pPr>
                  <w:bookmarkStart w:id="97" w:name="OLE_LINK8"/>
                  <w:r>
                    <w:rPr>
                      <w:rFonts w:hint="default" w:ascii="Times New Roman" w:hAnsi="Times New Roman" w:cs="Times New Roman" w:eastAsiaTheme="minorEastAsia"/>
                      <w:color w:val="auto"/>
                      <w:sz w:val="21"/>
                      <w:szCs w:val="21"/>
                    </w:rPr>
                    <w:t>皂片</w:t>
                  </w:r>
                  <w:bookmarkEnd w:id="97"/>
                </w:p>
              </w:tc>
              <w:tc>
                <w:tcPr>
                  <w:tcW w:w="3978" w:type="pct"/>
                  <w:tcBorders>
                    <w:tl2br w:val="nil"/>
                    <w:tr2bl w:val="nil"/>
                  </w:tcBorders>
                  <w:tcMar>
                    <w:top w:w="0" w:type="dxa"/>
                    <w:left w:w="28" w:type="dxa"/>
                    <w:bottom w:w="0" w:type="dxa"/>
                    <w:right w:w="28" w:type="dxa"/>
                  </w:tcMar>
                  <w:vAlign w:val="center"/>
                </w:tcPr>
                <w:p w14:paraId="32084E42">
                  <w:pPr>
                    <w:keepNext w:val="0"/>
                    <w:keepLines w:val="0"/>
                    <w:pageBreakBefore w:val="0"/>
                    <w:widowControl w:val="0"/>
                    <w:kinsoku/>
                    <w:wordWrap/>
                    <w:overflowPunct/>
                    <w:topLinePunct w:val="0"/>
                    <w:autoSpaceDE/>
                    <w:autoSpaceDN/>
                    <w:bidi w:val="0"/>
                    <w:adjustRightInd w:val="0"/>
                    <w:snapToGrid w:val="0"/>
                    <w:spacing w:before="39" w:beforeLines="10" w:line="264" w:lineRule="auto"/>
                    <w:ind w:left="0" w:firstLine="0"/>
                    <w:jc w:val="both"/>
                    <w:textAlignment w:val="auto"/>
                    <w:rPr>
                      <w:rFonts w:hint="default" w:ascii="Times New Roman" w:hAnsi="Times New Roman" w:cs="Times New Roman"/>
                      <w:color w:val="auto"/>
                      <w:sz w:val="21"/>
                      <w:szCs w:val="21"/>
                    </w:rPr>
                  </w:pPr>
                  <w:r>
                    <w:rPr>
                      <w:rFonts w:hint="default" w:ascii="Times New Roman" w:hAnsi="Times New Roman" w:cs="Times New Roman" w:eastAsiaTheme="minorEastAsia"/>
                      <w:color w:val="auto"/>
                      <w:sz w:val="21"/>
                      <w:szCs w:val="21"/>
                    </w:rPr>
                    <w:t>是一种</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"https://baike.baidu.com/item/%E8%A1%A8%E9%9D%A2%E6%B4%BB%E6%80%A7%E5%89%82" \t "https://baike.baidu.com/item/%E7%9A%82%E8%A7%92/_blank"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eastAsiaTheme="minorEastAsia"/>
                      <w:color w:val="auto"/>
                      <w:sz w:val="21"/>
                      <w:szCs w:val="21"/>
                    </w:rPr>
                    <w:t>表面活性剂</w:t>
                  </w:r>
                  <w:r>
                    <w:rPr>
                      <w:rFonts w:hint="default" w:ascii="Times New Roman" w:hAnsi="Times New Roman" w:cs="Times New Roman" w:eastAsiaTheme="minorEastAsia"/>
                      <w:color w:val="auto"/>
                      <w:sz w:val="21"/>
                      <w:szCs w:val="21"/>
                    </w:rPr>
                    <w:fldChar w:fldCharType="end"/>
                  </w:r>
                  <w:r>
                    <w:rPr>
                      <w:rFonts w:hint="default" w:ascii="Times New Roman" w:hAnsi="Times New Roman" w:cs="Times New Roman" w:eastAsiaTheme="minorEastAsia"/>
                      <w:color w:val="auto"/>
                      <w:sz w:val="21"/>
                      <w:szCs w:val="21"/>
                    </w:rPr>
                    <w:t>，广泛用于五金</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"https://baike.baidu.com/item/%E7%94%B5%E9%95%80%E8%A1%8C%E4%B8%9A" \t "https://baike.baidu.com/item/%E7%9A%82%E8%A7%92/_blank"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eastAsiaTheme="minorEastAsia"/>
                      <w:color w:val="auto"/>
                      <w:sz w:val="21"/>
                      <w:szCs w:val="21"/>
                    </w:rPr>
                    <w:t>电镀行业</w:t>
                  </w:r>
                  <w:r>
                    <w:rPr>
                      <w:rFonts w:hint="default" w:ascii="Times New Roman" w:hAnsi="Times New Roman" w:cs="Times New Roman" w:eastAsiaTheme="minorEastAsia"/>
                      <w:color w:val="auto"/>
                      <w:sz w:val="21"/>
                      <w:szCs w:val="21"/>
                    </w:rPr>
                    <w:fldChar w:fldCharType="end"/>
                  </w:r>
                  <w:r>
                    <w:rPr>
                      <w:rFonts w:hint="default" w:ascii="Times New Roman" w:hAnsi="Times New Roman" w:cs="Times New Roman" w:eastAsiaTheme="minorEastAsia"/>
                      <w:color w:val="auto"/>
                      <w:sz w:val="21"/>
                      <w:szCs w:val="21"/>
                    </w:rPr>
                    <w:t>，具有除油去污，使用工业皂角对清洗物表面无任何腐蚀，它优于其他任何一种化学清洗剂，是最理想的天然高效表面活性清洗剂。主要成分为氢氧化钠(NaOH)或氢氧化钾</w:t>
                  </w:r>
                  <w:r>
                    <w:rPr>
                      <w:rFonts w:hint="default" w:ascii="Times New Roman" w:hAnsi="Times New Roman" w:cs="Times New Roman" w:eastAsiaTheme="minorEastAsia"/>
                      <w:color w:val="auto"/>
                      <w:sz w:val="21"/>
                      <w:szCs w:val="21"/>
                      <w:lang w:eastAsia="zh-CN"/>
                    </w:rPr>
                    <w:t>（</w:t>
                  </w:r>
                  <w:r>
                    <w:rPr>
                      <w:rFonts w:hint="default" w:ascii="Times New Roman" w:hAnsi="Times New Roman" w:cs="Times New Roman" w:eastAsiaTheme="minorEastAsia"/>
                      <w:color w:val="auto"/>
                      <w:sz w:val="21"/>
                      <w:szCs w:val="21"/>
                    </w:rPr>
                    <w:t>KOH</w:t>
                  </w:r>
                  <w:r>
                    <w:rPr>
                      <w:rFonts w:hint="default" w:ascii="Times New Roman" w:hAnsi="Times New Roman" w:cs="Times New Roman" w:eastAsiaTheme="minorEastAsia"/>
                      <w:color w:val="auto"/>
                      <w:sz w:val="21"/>
                      <w:szCs w:val="21"/>
                      <w:lang w:eastAsia="zh-CN"/>
                    </w:rPr>
                    <w:t>）</w:t>
                  </w:r>
                  <w:r>
                    <w:rPr>
                      <w:rFonts w:hint="default" w:ascii="Times New Roman" w:hAnsi="Times New Roman" w:cs="Times New Roman" w:eastAsiaTheme="minorEastAsia"/>
                      <w:color w:val="auto"/>
                      <w:sz w:val="21"/>
                      <w:szCs w:val="21"/>
                    </w:rPr>
                    <w:t>、</w:t>
                  </w:r>
                  <w:r>
                    <w:rPr>
                      <w:rFonts w:hint="default" w:ascii="Times New Roman" w:hAnsi="Times New Roman" w:eastAsia="Segoe UI" w:cs="Times New Roman"/>
                      <w:color w:val="auto"/>
                      <w:sz w:val="21"/>
                      <w:szCs w:val="21"/>
                      <w:shd w:val="clear" w:color="auto" w:fill="FFFFFF"/>
                    </w:rPr>
                    <w:t xml:space="preserve">碳酸钠 </w:t>
                  </w:r>
                  <w:r>
                    <w:rPr>
                      <w:rFonts w:hint="default" w:ascii="Times New Roman" w:hAnsi="Times New Roman" w:eastAsia="宋体" w:cs="Times New Roman"/>
                      <w:color w:val="auto"/>
                      <w:sz w:val="21"/>
                      <w:szCs w:val="21"/>
                      <w:shd w:val="clear" w:color="auto" w:fill="FFFFFF"/>
                      <w:lang w:eastAsia="zh-CN"/>
                    </w:rPr>
                    <w:t>（</w:t>
                  </w:r>
                  <w:r>
                    <w:rPr>
                      <w:rFonts w:hint="default" w:ascii="Times New Roman" w:hAnsi="Times New Roman" w:eastAsia="Segoe UI" w:cs="Times New Roman"/>
                      <w:color w:val="auto"/>
                      <w:sz w:val="21"/>
                      <w:szCs w:val="21"/>
                      <w:shd w:val="clear" w:color="auto" w:fill="FFFFFF"/>
                    </w:rPr>
                    <w:t>Na₂CO₃</w:t>
                  </w:r>
                  <w:r>
                    <w:rPr>
                      <w:rFonts w:hint="default" w:ascii="Times New Roman" w:hAnsi="Times New Roman" w:eastAsia="宋体" w:cs="Times New Roman"/>
                      <w:color w:val="auto"/>
                      <w:sz w:val="21"/>
                      <w:szCs w:val="21"/>
                      <w:shd w:val="clear" w:color="auto" w:fill="FFFFFF"/>
                      <w:lang w:eastAsia="zh-CN"/>
                    </w:rPr>
                    <w:t>）</w:t>
                  </w:r>
                  <w:r>
                    <w:rPr>
                      <w:rFonts w:hint="default" w:ascii="Times New Roman" w:hAnsi="Times New Roman" w:eastAsia="Segoe UI" w:cs="Times New Roman"/>
                      <w:color w:val="auto"/>
                      <w:sz w:val="21"/>
                      <w:szCs w:val="21"/>
                      <w:shd w:val="clear" w:color="auto" w:fill="FFFFFF"/>
                    </w:rPr>
                    <w:t>/硅酸钠</w:t>
                  </w:r>
                  <w:r>
                    <w:rPr>
                      <w:rFonts w:hint="default" w:ascii="Times New Roman" w:hAnsi="Times New Roman" w:eastAsia="宋体" w:cs="Times New Roman"/>
                      <w:color w:val="auto"/>
                      <w:sz w:val="21"/>
                      <w:szCs w:val="21"/>
                      <w:shd w:val="clear" w:color="auto" w:fill="FFFFFF"/>
                      <w:lang w:eastAsia="zh-CN"/>
                    </w:rPr>
                    <w:t>（</w:t>
                  </w:r>
                  <w:r>
                    <w:rPr>
                      <w:rFonts w:hint="default" w:ascii="Times New Roman" w:hAnsi="Times New Roman" w:eastAsia="Segoe UI" w:cs="Times New Roman"/>
                      <w:color w:val="auto"/>
                      <w:sz w:val="21"/>
                      <w:szCs w:val="21"/>
                      <w:shd w:val="clear" w:color="auto" w:fill="FFFFFF"/>
                    </w:rPr>
                    <w:t>Na</w:t>
                  </w:r>
                  <w:r>
                    <w:rPr>
                      <w:rFonts w:hint="default" w:ascii="Times New Roman" w:hAnsi="Times New Roman" w:cs="Times New Roman"/>
                      <w:color w:val="auto"/>
                      <w:sz w:val="21"/>
                      <w:szCs w:val="21"/>
                      <w:shd w:val="clear" w:color="auto" w:fill="FFFFFF"/>
                      <w:vertAlign w:val="subscript"/>
                    </w:rPr>
                    <w:t>2</w:t>
                  </w:r>
                  <w:r>
                    <w:rPr>
                      <w:rFonts w:hint="default" w:ascii="Times New Roman" w:hAnsi="Times New Roman" w:eastAsia="Segoe UI" w:cs="Times New Roman"/>
                      <w:color w:val="auto"/>
                      <w:sz w:val="21"/>
                      <w:szCs w:val="21"/>
                      <w:shd w:val="clear" w:color="auto" w:fill="FFFFFF"/>
                    </w:rPr>
                    <w:t>SiO</w:t>
                  </w:r>
                  <w:r>
                    <w:rPr>
                      <w:rFonts w:hint="default" w:ascii="Times New Roman" w:hAnsi="Times New Roman" w:eastAsia="Segoe UI" w:cs="Times New Roman"/>
                      <w:color w:val="auto"/>
                      <w:sz w:val="21"/>
                      <w:szCs w:val="21"/>
                      <w:shd w:val="clear" w:color="auto" w:fill="FFFFFF"/>
                      <w:vertAlign w:val="subscript"/>
                    </w:rPr>
                    <w:t>3</w:t>
                  </w:r>
                  <w:r>
                    <w:rPr>
                      <w:rFonts w:hint="default" w:ascii="Times New Roman" w:hAnsi="Times New Roman" w:eastAsia="宋体" w:cs="Times New Roman"/>
                      <w:color w:val="auto"/>
                      <w:sz w:val="21"/>
                      <w:szCs w:val="21"/>
                      <w:shd w:val="clear" w:color="auto" w:fill="FFFFFF"/>
                      <w:lang w:eastAsia="zh-CN"/>
                    </w:rPr>
                    <w:t>）</w:t>
                  </w:r>
                  <w:r>
                    <w:rPr>
                      <w:rFonts w:hint="default" w:ascii="Times New Roman" w:hAnsi="Times New Roman" w:cs="Times New Roman"/>
                      <w:color w:val="auto"/>
                      <w:sz w:val="21"/>
                      <w:szCs w:val="21"/>
                      <w:shd w:val="clear" w:color="auto" w:fill="FFFFFF"/>
                    </w:rPr>
                    <w:t>、表面活性剂</w:t>
                  </w:r>
                  <w:r>
                    <w:rPr>
                      <w:rFonts w:hint="default" w:ascii="Times New Roman" w:hAnsi="Times New Roman" w:cs="Times New Roman"/>
                      <w:color w:val="auto"/>
                      <w:sz w:val="21"/>
                      <w:szCs w:val="21"/>
                      <w:shd w:val="clear" w:color="auto" w:fill="FFFFFF"/>
                      <w:lang w:eastAsia="zh-CN"/>
                    </w:rPr>
                    <w:t>（</w:t>
                  </w:r>
                  <w:r>
                    <w:rPr>
                      <w:rFonts w:hint="default" w:ascii="Times New Roman" w:hAnsi="Times New Roman" w:cs="Times New Roman"/>
                      <w:color w:val="auto"/>
                      <w:sz w:val="21"/>
                      <w:szCs w:val="21"/>
                      <w:shd w:val="clear" w:color="auto" w:fill="FFFFFF"/>
                    </w:rPr>
                    <w:t>非离子/阴离子</w:t>
                  </w:r>
                  <w:r>
                    <w:rPr>
                      <w:rFonts w:hint="default" w:ascii="Times New Roman" w:hAnsi="Times New Roman" w:cs="Times New Roman"/>
                      <w:color w:val="auto"/>
                      <w:sz w:val="21"/>
                      <w:szCs w:val="21"/>
                      <w:shd w:val="clear" w:color="auto" w:fill="FFFFFF"/>
                      <w:lang w:eastAsia="zh-CN"/>
                    </w:rPr>
                    <w:t>）</w:t>
                  </w:r>
                  <w:r>
                    <w:rPr>
                      <w:rFonts w:hint="default" w:ascii="Times New Roman" w:hAnsi="Times New Roman" w:cs="Times New Roman"/>
                      <w:color w:val="auto"/>
                      <w:sz w:val="21"/>
                      <w:szCs w:val="21"/>
                      <w:shd w:val="clear" w:color="auto" w:fill="FFFFFF"/>
                    </w:rPr>
                    <w:t>、软水剂</w:t>
                  </w:r>
                </w:p>
              </w:tc>
            </w:tr>
            <w:tr w14:paraId="529F09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338" w:type="pct"/>
                  <w:tcBorders>
                    <w:tl2br w:val="nil"/>
                    <w:tr2bl w:val="nil"/>
                  </w:tcBorders>
                  <w:tcMar>
                    <w:top w:w="0" w:type="dxa"/>
                    <w:left w:w="28" w:type="dxa"/>
                    <w:bottom w:w="0" w:type="dxa"/>
                    <w:right w:w="28" w:type="dxa"/>
                  </w:tcMar>
                  <w:vAlign w:val="center"/>
                </w:tcPr>
                <w:p w14:paraId="7A5AA651">
                  <w:pPr>
                    <w:keepNext w:val="0"/>
                    <w:keepLines w:val="0"/>
                    <w:pageBreakBefore w:val="0"/>
                    <w:widowControl w:val="0"/>
                    <w:numPr>
                      <w:ilvl w:val="0"/>
                      <w:numId w:val="10"/>
                    </w:numPr>
                    <w:kinsoku/>
                    <w:wordWrap/>
                    <w:overflowPunct/>
                    <w:topLinePunct w:val="0"/>
                    <w:autoSpaceDE/>
                    <w:autoSpaceDN/>
                    <w:bidi w:val="0"/>
                    <w:adjustRightInd w:val="0"/>
                    <w:snapToGrid w:val="0"/>
                    <w:spacing w:before="39" w:beforeLines="10" w:line="264" w:lineRule="auto"/>
                    <w:ind w:left="0" w:firstLine="0"/>
                    <w:jc w:val="center"/>
                    <w:textAlignment w:val="auto"/>
                    <w:rPr>
                      <w:rFonts w:hint="default" w:ascii="Times New Roman" w:hAnsi="Times New Roman" w:cs="Times New Roman" w:eastAsiaTheme="minorEastAsia"/>
                      <w:color w:val="auto"/>
                      <w:sz w:val="21"/>
                      <w:szCs w:val="21"/>
                    </w:rPr>
                  </w:pPr>
                </w:p>
              </w:tc>
              <w:tc>
                <w:tcPr>
                  <w:tcW w:w="683" w:type="pct"/>
                  <w:tcBorders>
                    <w:tl2br w:val="nil"/>
                    <w:tr2bl w:val="nil"/>
                  </w:tcBorders>
                  <w:tcMar>
                    <w:top w:w="0" w:type="dxa"/>
                    <w:left w:w="28" w:type="dxa"/>
                    <w:bottom w:w="0" w:type="dxa"/>
                    <w:right w:w="28" w:type="dxa"/>
                  </w:tcMar>
                  <w:vAlign w:val="center"/>
                </w:tcPr>
                <w:p w14:paraId="55508397">
                  <w:pPr>
                    <w:keepNext w:val="0"/>
                    <w:keepLines w:val="0"/>
                    <w:pageBreakBefore w:val="0"/>
                    <w:widowControl w:val="0"/>
                    <w:kinsoku/>
                    <w:wordWrap/>
                    <w:overflowPunct/>
                    <w:topLinePunct w:val="0"/>
                    <w:autoSpaceDE/>
                    <w:autoSpaceDN/>
                    <w:bidi w:val="0"/>
                    <w:adjustRightInd w:val="0"/>
                    <w:snapToGrid w:val="0"/>
                    <w:spacing w:before="39" w:beforeLines="10" w:line="264" w:lineRule="auto"/>
                    <w:ind w:left="0" w:firstLine="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color w:val="auto"/>
                      <w:kern w:val="0"/>
                      <w:sz w:val="21"/>
                      <w:szCs w:val="21"/>
                    </w:rPr>
                    <w:t>碱片（</w:t>
                  </w:r>
                  <w:r>
                    <w:rPr>
                      <w:rFonts w:hint="default" w:ascii="Times New Roman" w:hAnsi="Times New Roman" w:cs="Times New Roman" w:eastAsiaTheme="minorEastAsia"/>
                      <w:color w:val="auto"/>
                      <w:sz w:val="21"/>
                      <w:szCs w:val="21"/>
                    </w:rPr>
                    <w:t>氢氧化钠）</w:t>
                  </w:r>
                </w:p>
              </w:tc>
              <w:tc>
                <w:tcPr>
                  <w:tcW w:w="3978" w:type="pct"/>
                  <w:tcBorders>
                    <w:tl2br w:val="nil"/>
                    <w:tr2bl w:val="nil"/>
                  </w:tcBorders>
                  <w:tcMar>
                    <w:top w:w="0" w:type="dxa"/>
                    <w:left w:w="28" w:type="dxa"/>
                    <w:bottom w:w="0" w:type="dxa"/>
                    <w:right w:w="28" w:type="dxa"/>
                  </w:tcMar>
                  <w:vAlign w:val="center"/>
                </w:tcPr>
                <w:p w14:paraId="1CA3CA5C">
                  <w:pPr>
                    <w:keepNext w:val="0"/>
                    <w:keepLines w:val="0"/>
                    <w:pageBreakBefore w:val="0"/>
                    <w:widowControl w:val="0"/>
                    <w:kinsoku/>
                    <w:wordWrap/>
                    <w:overflowPunct/>
                    <w:topLinePunct w:val="0"/>
                    <w:autoSpaceDE/>
                    <w:autoSpaceDN/>
                    <w:bidi w:val="0"/>
                    <w:adjustRightInd w:val="0"/>
                    <w:snapToGrid w:val="0"/>
                    <w:spacing w:before="39" w:beforeLines="10" w:line="264" w:lineRule="auto"/>
                    <w:ind w:left="0" w:firstLine="0"/>
                    <w:jc w:val="both"/>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分子式：NaOH，分子量：40。白色不透明固体，易潮解。易溶于水、乙醇、甘油，不溶于丙酮。不燃，具强腐蚀性、强刺激性，可使人体灼伤。熔点：318.4℃，沸点：1390℃。粉尘刺激眼和呼吸道，腐蚀鼻中隔；皮肤和眼直接接触可引起灼伤；误服可造成消化道灼伤，粘膜糜烂、出血和休克。与酸发生中和反应并放热。遇潮时对铝、锌和锡有腐蚀性，并放出易燃易爆的氢气。遇水和水蒸气大量放热，形成腐蚀性溶液。本项目采用30%氢氧化钠溶液。</w:t>
                  </w:r>
                </w:p>
              </w:tc>
            </w:tr>
          </w:tbl>
          <w:p w14:paraId="6FFE527D">
            <w:pPr>
              <w:pStyle w:val="5"/>
              <w:keepNext w:val="0"/>
              <w:keepLines w:val="0"/>
              <w:pageBreakBefore w:val="0"/>
              <w:widowControl w:val="0"/>
              <w:kinsoku/>
              <w:wordWrap/>
              <w:overflowPunct/>
              <w:topLinePunct w:val="0"/>
              <w:autoSpaceDE/>
              <w:autoSpaceDN/>
              <w:bidi w:val="0"/>
              <w:adjustRightInd w:val="0"/>
              <w:snapToGrid w:val="0"/>
              <w:spacing w:before="85" w:beforeLines="22" w:after="190" w:afterLines="50" w:afterAutospacing="0" w:line="240" w:lineRule="auto"/>
              <w:textAlignment w:val="auto"/>
              <w:rPr>
                <w:rFonts w:hint="default" w:ascii="Times New Roman" w:hAnsi="Times New Roman" w:cs="Times New Roman"/>
                <w:color w:val="auto"/>
              </w:rPr>
            </w:pPr>
            <w:r>
              <w:rPr>
                <w:rFonts w:hint="default" w:ascii="Times New Roman" w:hAnsi="Times New Roman" w:cs="Times New Roman"/>
                <w:color w:val="auto"/>
              </w:rPr>
              <w:t>2.2.6主要设备</w:t>
            </w:r>
          </w:p>
          <w:p w14:paraId="159A5D49">
            <w:pPr>
              <w:pStyle w:val="2"/>
              <w:keepNext w:val="0"/>
              <w:keepLines w:val="0"/>
              <w:pageBreakBefore w:val="0"/>
              <w:widowControl w:val="0"/>
              <w:kinsoku/>
              <w:wordWrap/>
              <w:overflowPunct/>
              <w:topLinePunct w:val="0"/>
              <w:autoSpaceDE/>
              <w:autoSpaceDN/>
              <w:bidi w:val="0"/>
              <w:adjustRightInd w:val="0"/>
              <w:snapToGrid w:val="0"/>
              <w:ind w:firstLine="42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本项目新增主要设备详见表2.2-9和表2.2-10。</w:t>
            </w:r>
          </w:p>
          <w:p w14:paraId="237F0FAD">
            <w:pPr>
              <w:pStyle w:val="7"/>
              <w:spacing w:before="75" w:beforeLines="20" w:after="75" w:afterLines="2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表2.2-9  本项目新增主要设备</w:t>
            </w:r>
          </w:p>
          <w:tbl>
            <w:tblPr>
              <w:tblStyle w:val="34"/>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34"/>
              <w:gridCol w:w="3008"/>
              <w:gridCol w:w="2891"/>
              <w:gridCol w:w="1116"/>
              <w:gridCol w:w="699"/>
            </w:tblGrid>
            <w:tr w14:paraId="19D832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649F897E">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序号</w:t>
                  </w:r>
                </w:p>
              </w:tc>
              <w:tc>
                <w:tcPr>
                  <w:tcW w:w="1739" w:type="pct"/>
                  <w:tcBorders>
                    <w:tl2br w:val="nil"/>
                    <w:tr2bl w:val="nil"/>
                  </w:tcBorders>
                  <w:vAlign w:val="center"/>
                </w:tcPr>
                <w:p w14:paraId="3E6839A7">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名称</w:t>
                  </w:r>
                </w:p>
              </w:tc>
              <w:tc>
                <w:tcPr>
                  <w:tcW w:w="1671" w:type="pct"/>
                  <w:tcBorders>
                    <w:tl2br w:val="nil"/>
                    <w:tr2bl w:val="nil"/>
                  </w:tcBorders>
                  <w:vAlign w:val="center"/>
                </w:tcPr>
                <w:p w14:paraId="54DBDB13">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规格型号</w:t>
                  </w:r>
                </w:p>
              </w:tc>
              <w:tc>
                <w:tcPr>
                  <w:tcW w:w="645" w:type="pct"/>
                  <w:tcBorders>
                    <w:tl2br w:val="nil"/>
                    <w:tr2bl w:val="nil"/>
                  </w:tcBorders>
                  <w:vAlign w:val="center"/>
                </w:tcPr>
                <w:p w14:paraId="68723119">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数量</w:t>
                  </w:r>
                </w:p>
                <w:p w14:paraId="18866D48">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（台/套）</w:t>
                  </w:r>
                </w:p>
              </w:tc>
              <w:tc>
                <w:tcPr>
                  <w:tcW w:w="404" w:type="pct"/>
                  <w:tcBorders>
                    <w:tl2br w:val="nil"/>
                    <w:tr2bl w:val="nil"/>
                  </w:tcBorders>
                  <w:vAlign w:val="center"/>
                </w:tcPr>
                <w:p w14:paraId="07BA5BDF">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备注</w:t>
                  </w:r>
                </w:p>
              </w:tc>
            </w:tr>
            <w:tr w14:paraId="4560E5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5E0B5A17">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一</w:t>
                  </w:r>
                </w:p>
              </w:tc>
              <w:tc>
                <w:tcPr>
                  <w:tcW w:w="1739" w:type="pct"/>
                  <w:tcBorders>
                    <w:tl2br w:val="nil"/>
                    <w:tr2bl w:val="nil"/>
                  </w:tcBorders>
                  <w:vAlign w:val="center"/>
                </w:tcPr>
                <w:p w14:paraId="008B1384">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沙发/床垫弹簧钢丝</w:t>
                  </w:r>
                </w:p>
              </w:tc>
              <w:tc>
                <w:tcPr>
                  <w:tcW w:w="1671" w:type="pct"/>
                  <w:tcBorders>
                    <w:tl2br w:val="nil"/>
                    <w:tr2bl w:val="nil"/>
                  </w:tcBorders>
                  <w:vAlign w:val="center"/>
                </w:tcPr>
                <w:p w14:paraId="5E28CF88">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645" w:type="pct"/>
                  <w:tcBorders>
                    <w:tl2br w:val="nil"/>
                    <w:tr2bl w:val="nil"/>
                  </w:tcBorders>
                  <w:vAlign w:val="center"/>
                </w:tcPr>
                <w:p w14:paraId="787A76A7">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404" w:type="pct"/>
                  <w:tcBorders>
                    <w:tl2br w:val="nil"/>
                    <w:tr2bl w:val="nil"/>
                  </w:tcBorders>
                  <w:vAlign w:val="center"/>
                </w:tcPr>
                <w:p w14:paraId="0FC5E8DE">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47803C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01815218">
                  <w:pPr>
                    <w:keepNext w:val="0"/>
                    <w:keepLines w:val="0"/>
                    <w:pageBreakBefore w:val="0"/>
                    <w:widowControl/>
                    <w:numPr>
                      <w:ilvl w:val="0"/>
                      <w:numId w:val="11"/>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2F4C88D3">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盘条放线架</w:t>
                  </w:r>
                </w:p>
              </w:tc>
              <w:tc>
                <w:tcPr>
                  <w:tcW w:w="1671" w:type="pct"/>
                  <w:tcBorders>
                    <w:tl2br w:val="nil"/>
                    <w:tr2bl w:val="nil"/>
                  </w:tcBorders>
                  <w:vAlign w:val="center"/>
                </w:tcPr>
                <w:p w14:paraId="5F20BD08">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Φ5.5-14mm，承重2t</w:t>
                  </w:r>
                </w:p>
              </w:tc>
              <w:tc>
                <w:tcPr>
                  <w:tcW w:w="645" w:type="pct"/>
                  <w:tcBorders>
                    <w:tl2br w:val="nil"/>
                    <w:tr2bl w:val="nil"/>
                  </w:tcBorders>
                  <w:vAlign w:val="center"/>
                </w:tcPr>
                <w:p w14:paraId="1484D7B7">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12</w:t>
                  </w:r>
                </w:p>
              </w:tc>
              <w:tc>
                <w:tcPr>
                  <w:tcW w:w="404" w:type="pct"/>
                  <w:tcBorders>
                    <w:tl2br w:val="nil"/>
                    <w:tr2bl w:val="nil"/>
                  </w:tcBorders>
                  <w:vAlign w:val="center"/>
                </w:tcPr>
                <w:p w14:paraId="440BED16">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7B8387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2909D286">
                  <w:pPr>
                    <w:keepNext w:val="0"/>
                    <w:keepLines w:val="0"/>
                    <w:pageBreakBefore w:val="0"/>
                    <w:widowControl/>
                    <w:numPr>
                      <w:ilvl w:val="0"/>
                      <w:numId w:val="11"/>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41C82BD6">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理线架</w:t>
                  </w:r>
                </w:p>
              </w:tc>
              <w:tc>
                <w:tcPr>
                  <w:tcW w:w="1671" w:type="pct"/>
                  <w:tcBorders>
                    <w:tl2br w:val="nil"/>
                    <w:tr2bl w:val="nil"/>
                  </w:tcBorders>
                  <w:vAlign w:val="center"/>
                </w:tcPr>
                <w:p w14:paraId="37C6B608">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导向式，适配Φ5.5-14mm线材</w:t>
                  </w:r>
                </w:p>
              </w:tc>
              <w:tc>
                <w:tcPr>
                  <w:tcW w:w="645" w:type="pct"/>
                  <w:tcBorders>
                    <w:tl2br w:val="nil"/>
                    <w:tr2bl w:val="nil"/>
                  </w:tcBorders>
                  <w:vAlign w:val="center"/>
                </w:tcPr>
                <w:p w14:paraId="0E2A996E">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12</w:t>
                  </w:r>
                </w:p>
              </w:tc>
              <w:tc>
                <w:tcPr>
                  <w:tcW w:w="404" w:type="pct"/>
                  <w:tcBorders>
                    <w:tl2br w:val="nil"/>
                    <w:tr2bl w:val="nil"/>
                  </w:tcBorders>
                  <w:vAlign w:val="center"/>
                </w:tcPr>
                <w:p w14:paraId="2999EB8A">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6CFEF8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72C793ED">
                  <w:pPr>
                    <w:keepNext w:val="0"/>
                    <w:keepLines w:val="0"/>
                    <w:pageBreakBefore w:val="0"/>
                    <w:widowControl/>
                    <w:numPr>
                      <w:ilvl w:val="0"/>
                      <w:numId w:val="11"/>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57E40853">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8轮机械剥壳环保型双头砂带除锈机</w:t>
                  </w:r>
                </w:p>
              </w:tc>
              <w:tc>
                <w:tcPr>
                  <w:tcW w:w="1671" w:type="pct"/>
                  <w:tcBorders>
                    <w:tl2br w:val="nil"/>
                    <w:tr2bl w:val="nil"/>
                  </w:tcBorders>
                  <w:vAlign w:val="center"/>
                </w:tcPr>
                <w:p w14:paraId="4DAFF9EC">
                  <w:pPr>
                    <w:keepNext w:val="0"/>
                    <w:keepLines w:val="0"/>
                    <w:pageBreakBefore w:val="0"/>
                    <w:kinsoku/>
                    <w:wordWrap/>
                    <w:overflowPunct/>
                    <w:topLinePunct w:val="0"/>
                    <w:autoSpaceDE/>
                    <w:autoSpaceDN/>
                    <w:bidi w:val="0"/>
                    <w:snapToGrid w:val="0"/>
                    <w:spacing w:line="240" w:lineRule="auto"/>
                    <w:jc w:val="center"/>
                    <w:rPr>
                      <w:rFonts w:hint="default" w:ascii="Times New Roman" w:hAnsi="Times New Roman" w:cs="Times New Roman"/>
                      <w:color w:val="auto"/>
                      <w:kern w:val="0"/>
                      <w:szCs w:val="21"/>
                      <w:lang w:bidi="ar"/>
                    </w:rPr>
                  </w:pPr>
                </w:p>
              </w:tc>
              <w:tc>
                <w:tcPr>
                  <w:tcW w:w="645" w:type="pct"/>
                  <w:tcBorders>
                    <w:tl2br w:val="nil"/>
                    <w:tr2bl w:val="nil"/>
                  </w:tcBorders>
                  <w:vAlign w:val="center"/>
                </w:tcPr>
                <w:p w14:paraId="15080238">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3</w:t>
                  </w:r>
                </w:p>
              </w:tc>
              <w:tc>
                <w:tcPr>
                  <w:tcW w:w="404" w:type="pct"/>
                  <w:tcBorders>
                    <w:tl2br w:val="nil"/>
                    <w:tr2bl w:val="nil"/>
                  </w:tcBorders>
                  <w:vAlign w:val="center"/>
                </w:tcPr>
                <w:p w14:paraId="33020F1D">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61A186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7BBF1BF6">
                  <w:pPr>
                    <w:keepNext w:val="0"/>
                    <w:keepLines w:val="0"/>
                    <w:pageBreakBefore w:val="0"/>
                    <w:widowControl/>
                    <w:numPr>
                      <w:ilvl w:val="0"/>
                      <w:numId w:val="11"/>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237E770E">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环保型双头砂带除锈机</w:t>
                  </w:r>
                </w:p>
              </w:tc>
              <w:tc>
                <w:tcPr>
                  <w:tcW w:w="1671" w:type="pct"/>
                  <w:tcBorders>
                    <w:tl2br w:val="nil"/>
                    <w:tr2bl w:val="nil"/>
                  </w:tcBorders>
                  <w:vAlign w:val="center"/>
                </w:tcPr>
                <w:p w14:paraId="0DA970F1">
                  <w:pPr>
                    <w:keepNext w:val="0"/>
                    <w:keepLines w:val="0"/>
                    <w:pageBreakBefore w:val="0"/>
                    <w:kinsoku/>
                    <w:wordWrap/>
                    <w:overflowPunct/>
                    <w:topLinePunct w:val="0"/>
                    <w:autoSpaceDE/>
                    <w:autoSpaceDN/>
                    <w:bidi w:val="0"/>
                    <w:snapToGrid w:val="0"/>
                    <w:spacing w:line="240" w:lineRule="auto"/>
                    <w:jc w:val="center"/>
                    <w:rPr>
                      <w:rFonts w:hint="default" w:ascii="Times New Roman" w:hAnsi="Times New Roman" w:cs="Times New Roman"/>
                      <w:color w:val="auto"/>
                      <w:kern w:val="0"/>
                      <w:szCs w:val="21"/>
                      <w:lang w:bidi="ar"/>
                    </w:rPr>
                  </w:pPr>
                </w:p>
              </w:tc>
              <w:tc>
                <w:tcPr>
                  <w:tcW w:w="645" w:type="pct"/>
                  <w:tcBorders>
                    <w:tl2br w:val="nil"/>
                    <w:tr2bl w:val="nil"/>
                  </w:tcBorders>
                  <w:vAlign w:val="center"/>
                </w:tcPr>
                <w:p w14:paraId="441B3695">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3</w:t>
                  </w:r>
                </w:p>
              </w:tc>
              <w:tc>
                <w:tcPr>
                  <w:tcW w:w="404" w:type="pct"/>
                  <w:tcBorders>
                    <w:tl2br w:val="nil"/>
                    <w:tr2bl w:val="nil"/>
                  </w:tcBorders>
                  <w:vAlign w:val="center"/>
                </w:tcPr>
                <w:p w14:paraId="040666C6">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4AEFF4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43A23808">
                  <w:pPr>
                    <w:keepNext w:val="0"/>
                    <w:keepLines w:val="0"/>
                    <w:pageBreakBefore w:val="0"/>
                    <w:widowControl/>
                    <w:numPr>
                      <w:ilvl w:val="0"/>
                      <w:numId w:val="11"/>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7C0CF72F">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直线式拉丝机</w:t>
                  </w:r>
                </w:p>
              </w:tc>
              <w:tc>
                <w:tcPr>
                  <w:tcW w:w="1671" w:type="pct"/>
                  <w:tcBorders>
                    <w:tl2br w:val="nil"/>
                    <w:tr2bl w:val="nil"/>
                  </w:tcBorders>
                  <w:vAlign w:val="center"/>
                </w:tcPr>
                <w:p w14:paraId="01639112">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8道次，最大进线Φ14mm</w:t>
                  </w:r>
                </w:p>
              </w:tc>
              <w:tc>
                <w:tcPr>
                  <w:tcW w:w="645" w:type="pct"/>
                  <w:tcBorders>
                    <w:tl2br w:val="nil"/>
                    <w:tr2bl w:val="nil"/>
                  </w:tcBorders>
                  <w:vAlign w:val="center"/>
                </w:tcPr>
                <w:p w14:paraId="33285C16">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12</w:t>
                  </w:r>
                </w:p>
              </w:tc>
              <w:tc>
                <w:tcPr>
                  <w:tcW w:w="404" w:type="pct"/>
                  <w:tcBorders>
                    <w:tl2br w:val="nil"/>
                    <w:tr2bl w:val="nil"/>
                  </w:tcBorders>
                  <w:vAlign w:val="center"/>
                </w:tcPr>
                <w:p w14:paraId="7C34C96B">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27C8D5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21F22E9B">
                  <w:pPr>
                    <w:keepNext w:val="0"/>
                    <w:keepLines w:val="0"/>
                    <w:pageBreakBefore w:val="0"/>
                    <w:widowControl/>
                    <w:numPr>
                      <w:ilvl w:val="0"/>
                      <w:numId w:val="11"/>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318C2496">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多辊式矫直机</w:t>
                  </w:r>
                </w:p>
              </w:tc>
              <w:tc>
                <w:tcPr>
                  <w:tcW w:w="1671" w:type="pct"/>
                  <w:tcBorders>
                    <w:tl2br w:val="nil"/>
                    <w:tr2bl w:val="nil"/>
                  </w:tcBorders>
                  <w:vAlign w:val="center"/>
                </w:tcPr>
                <w:p w14:paraId="6CBE23DE">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矫直精度≤0.5mmn/m</w:t>
                  </w:r>
                </w:p>
              </w:tc>
              <w:tc>
                <w:tcPr>
                  <w:tcW w:w="645" w:type="pct"/>
                  <w:tcBorders>
                    <w:tl2br w:val="nil"/>
                    <w:tr2bl w:val="nil"/>
                  </w:tcBorders>
                  <w:vAlign w:val="center"/>
                </w:tcPr>
                <w:p w14:paraId="2F66F68A">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12</w:t>
                  </w:r>
                </w:p>
              </w:tc>
              <w:tc>
                <w:tcPr>
                  <w:tcW w:w="404" w:type="pct"/>
                  <w:tcBorders>
                    <w:tl2br w:val="nil"/>
                    <w:tr2bl w:val="nil"/>
                  </w:tcBorders>
                  <w:vAlign w:val="center"/>
                </w:tcPr>
                <w:p w14:paraId="4956C1C5">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2D8014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541D8356">
                  <w:pPr>
                    <w:keepNext w:val="0"/>
                    <w:keepLines w:val="0"/>
                    <w:pageBreakBefore w:val="0"/>
                    <w:widowControl/>
                    <w:numPr>
                      <w:ilvl w:val="0"/>
                      <w:numId w:val="11"/>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215AD58B">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牵引机</w:t>
                  </w:r>
                </w:p>
              </w:tc>
              <w:tc>
                <w:tcPr>
                  <w:tcW w:w="1671" w:type="pct"/>
                  <w:tcBorders>
                    <w:tl2br w:val="nil"/>
                    <w:tr2bl w:val="nil"/>
                  </w:tcBorders>
                  <w:vAlign w:val="center"/>
                </w:tcPr>
                <w:p w14:paraId="6A04B876">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双主动轮式，速度0-150m/min可调</w:t>
                  </w:r>
                </w:p>
              </w:tc>
              <w:tc>
                <w:tcPr>
                  <w:tcW w:w="645" w:type="pct"/>
                  <w:tcBorders>
                    <w:tl2br w:val="nil"/>
                    <w:tr2bl w:val="nil"/>
                  </w:tcBorders>
                  <w:vAlign w:val="center"/>
                </w:tcPr>
                <w:p w14:paraId="19701485">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24</w:t>
                  </w:r>
                </w:p>
              </w:tc>
              <w:tc>
                <w:tcPr>
                  <w:tcW w:w="404" w:type="pct"/>
                  <w:tcBorders>
                    <w:tl2br w:val="nil"/>
                    <w:tr2bl w:val="nil"/>
                  </w:tcBorders>
                  <w:vAlign w:val="center"/>
                </w:tcPr>
                <w:p w14:paraId="4D96BEB2">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5701DF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2260DD45">
                  <w:pPr>
                    <w:keepNext w:val="0"/>
                    <w:keepLines w:val="0"/>
                    <w:pageBreakBefore w:val="0"/>
                    <w:widowControl/>
                    <w:numPr>
                      <w:ilvl w:val="0"/>
                      <w:numId w:val="11"/>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48D2E499">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单工位收线机</w:t>
                  </w:r>
                </w:p>
              </w:tc>
              <w:tc>
                <w:tcPr>
                  <w:tcW w:w="1671" w:type="pct"/>
                  <w:tcBorders>
                    <w:tl2br w:val="nil"/>
                    <w:tr2bl w:val="nil"/>
                  </w:tcBorders>
                  <w:vAlign w:val="center"/>
                </w:tcPr>
                <w:p w14:paraId="55E78D4C">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承重1t，适配1.0-8.0mm线材</w:t>
                  </w:r>
                </w:p>
              </w:tc>
              <w:tc>
                <w:tcPr>
                  <w:tcW w:w="645" w:type="pct"/>
                  <w:tcBorders>
                    <w:tl2br w:val="nil"/>
                    <w:tr2bl w:val="nil"/>
                  </w:tcBorders>
                  <w:vAlign w:val="center"/>
                </w:tcPr>
                <w:p w14:paraId="29ACADFD">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12</w:t>
                  </w:r>
                </w:p>
              </w:tc>
              <w:tc>
                <w:tcPr>
                  <w:tcW w:w="404" w:type="pct"/>
                  <w:tcBorders>
                    <w:tl2br w:val="nil"/>
                    <w:tr2bl w:val="nil"/>
                  </w:tcBorders>
                  <w:vAlign w:val="center"/>
                </w:tcPr>
                <w:p w14:paraId="41C4FBBF">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7CA0D4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6A8965BC">
                  <w:pPr>
                    <w:keepNext w:val="0"/>
                    <w:keepLines w:val="0"/>
                    <w:pageBreakBefore w:val="0"/>
                    <w:widowControl/>
                    <w:numPr>
                      <w:ilvl w:val="0"/>
                      <w:numId w:val="11"/>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084AD935">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拉丝机</w:t>
                  </w:r>
                </w:p>
              </w:tc>
              <w:tc>
                <w:tcPr>
                  <w:tcW w:w="1671" w:type="pct"/>
                  <w:tcBorders>
                    <w:tl2br w:val="nil"/>
                    <w:tr2bl w:val="nil"/>
                  </w:tcBorders>
                  <w:vAlign w:val="center"/>
                </w:tcPr>
                <w:p w14:paraId="5C51A5A7">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主驱动，75kW</w:t>
                  </w:r>
                </w:p>
              </w:tc>
              <w:tc>
                <w:tcPr>
                  <w:tcW w:w="645" w:type="pct"/>
                  <w:tcBorders>
                    <w:tl2br w:val="nil"/>
                    <w:tr2bl w:val="nil"/>
                  </w:tcBorders>
                  <w:vAlign w:val="center"/>
                </w:tcPr>
                <w:p w14:paraId="090C804C">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12</w:t>
                  </w:r>
                </w:p>
              </w:tc>
              <w:tc>
                <w:tcPr>
                  <w:tcW w:w="404" w:type="pct"/>
                  <w:tcBorders>
                    <w:tl2br w:val="nil"/>
                    <w:tr2bl w:val="nil"/>
                  </w:tcBorders>
                  <w:vAlign w:val="center"/>
                </w:tcPr>
                <w:p w14:paraId="38739FA2">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4482F3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6C874DF1">
                  <w:pPr>
                    <w:keepNext w:val="0"/>
                    <w:keepLines w:val="0"/>
                    <w:pageBreakBefore w:val="0"/>
                    <w:widowControl/>
                    <w:numPr>
                      <w:ilvl w:val="0"/>
                      <w:numId w:val="11"/>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7E43ECAB">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牵引机驱动</w:t>
                  </w:r>
                </w:p>
              </w:tc>
              <w:tc>
                <w:tcPr>
                  <w:tcW w:w="1671" w:type="pct"/>
                  <w:tcBorders>
                    <w:tl2br w:val="nil"/>
                    <w:tr2bl w:val="nil"/>
                  </w:tcBorders>
                  <w:vAlign w:val="center"/>
                </w:tcPr>
                <w:p w14:paraId="498DA014">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11kW</w:t>
                  </w:r>
                </w:p>
              </w:tc>
              <w:tc>
                <w:tcPr>
                  <w:tcW w:w="645" w:type="pct"/>
                  <w:tcBorders>
                    <w:tl2br w:val="nil"/>
                    <w:tr2bl w:val="nil"/>
                  </w:tcBorders>
                  <w:vAlign w:val="center"/>
                </w:tcPr>
                <w:p w14:paraId="036E078D">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24</w:t>
                  </w:r>
                </w:p>
              </w:tc>
              <w:tc>
                <w:tcPr>
                  <w:tcW w:w="404" w:type="pct"/>
                  <w:tcBorders>
                    <w:tl2br w:val="nil"/>
                    <w:tr2bl w:val="nil"/>
                  </w:tcBorders>
                  <w:vAlign w:val="center"/>
                </w:tcPr>
                <w:p w14:paraId="643621C4">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6C4B31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0B33EE06">
                  <w:pPr>
                    <w:keepNext w:val="0"/>
                    <w:keepLines w:val="0"/>
                    <w:pageBreakBefore w:val="0"/>
                    <w:widowControl/>
                    <w:numPr>
                      <w:ilvl w:val="0"/>
                      <w:numId w:val="11"/>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207629E7">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收线机驱动</w:t>
                  </w:r>
                </w:p>
              </w:tc>
              <w:tc>
                <w:tcPr>
                  <w:tcW w:w="1671" w:type="pct"/>
                  <w:tcBorders>
                    <w:tl2br w:val="nil"/>
                    <w:tr2bl w:val="nil"/>
                  </w:tcBorders>
                  <w:vAlign w:val="center"/>
                </w:tcPr>
                <w:p w14:paraId="29A72546">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4kW</w:t>
                  </w:r>
                </w:p>
              </w:tc>
              <w:tc>
                <w:tcPr>
                  <w:tcW w:w="645" w:type="pct"/>
                  <w:tcBorders>
                    <w:tl2br w:val="nil"/>
                    <w:tr2bl w:val="nil"/>
                  </w:tcBorders>
                  <w:vAlign w:val="center"/>
                </w:tcPr>
                <w:p w14:paraId="6098B5D4">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12</w:t>
                  </w:r>
                </w:p>
              </w:tc>
              <w:tc>
                <w:tcPr>
                  <w:tcW w:w="404" w:type="pct"/>
                  <w:tcBorders>
                    <w:tl2br w:val="nil"/>
                    <w:tr2bl w:val="nil"/>
                  </w:tcBorders>
                  <w:vAlign w:val="center"/>
                </w:tcPr>
                <w:p w14:paraId="5120B940">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3D0A56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28D48EB9">
                  <w:pPr>
                    <w:keepNext w:val="0"/>
                    <w:keepLines w:val="0"/>
                    <w:pageBreakBefore w:val="0"/>
                    <w:widowControl/>
                    <w:numPr>
                      <w:ilvl w:val="0"/>
                      <w:numId w:val="11"/>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50603100">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循环冷却水系统</w:t>
                  </w:r>
                </w:p>
              </w:tc>
              <w:tc>
                <w:tcPr>
                  <w:tcW w:w="1671" w:type="pct"/>
                  <w:tcBorders>
                    <w:tl2br w:val="nil"/>
                    <w:tr2bl w:val="nil"/>
                  </w:tcBorders>
                  <w:vAlign w:val="center"/>
                </w:tcPr>
                <w:p w14:paraId="228DA740">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闭式冷却塔+管路系统</w:t>
                  </w:r>
                </w:p>
              </w:tc>
              <w:tc>
                <w:tcPr>
                  <w:tcW w:w="645" w:type="pct"/>
                  <w:tcBorders>
                    <w:tl2br w:val="nil"/>
                    <w:tr2bl w:val="nil"/>
                  </w:tcBorders>
                  <w:vAlign w:val="center"/>
                </w:tcPr>
                <w:p w14:paraId="7CF75338">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2</w:t>
                  </w:r>
                </w:p>
              </w:tc>
              <w:tc>
                <w:tcPr>
                  <w:tcW w:w="404" w:type="pct"/>
                  <w:tcBorders>
                    <w:tl2br w:val="nil"/>
                    <w:tr2bl w:val="nil"/>
                  </w:tcBorders>
                  <w:vAlign w:val="center"/>
                </w:tcPr>
                <w:p w14:paraId="6153B39E">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54FEC5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6BB14477">
                  <w:pPr>
                    <w:keepNext w:val="0"/>
                    <w:keepLines w:val="0"/>
                    <w:pageBreakBefore w:val="0"/>
                    <w:widowControl/>
                    <w:numPr>
                      <w:ilvl w:val="0"/>
                      <w:numId w:val="11"/>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643B31EB">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压缩空气系统</w:t>
                  </w:r>
                </w:p>
              </w:tc>
              <w:tc>
                <w:tcPr>
                  <w:tcW w:w="1671" w:type="pct"/>
                  <w:tcBorders>
                    <w:tl2br w:val="nil"/>
                    <w:tr2bl w:val="nil"/>
                  </w:tcBorders>
                  <w:vAlign w:val="center"/>
                </w:tcPr>
                <w:p w14:paraId="2E724AAA">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螺杆式空压机+储气罐</w:t>
                  </w:r>
                </w:p>
              </w:tc>
              <w:tc>
                <w:tcPr>
                  <w:tcW w:w="645" w:type="pct"/>
                  <w:tcBorders>
                    <w:tl2br w:val="nil"/>
                    <w:tr2bl w:val="nil"/>
                  </w:tcBorders>
                  <w:vAlign w:val="center"/>
                </w:tcPr>
                <w:p w14:paraId="294FD452">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2</w:t>
                  </w:r>
                </w:p>
              </w:tc>
              <w:tc>
                <w:tcPr>
                  <w:tcW w:w="404" w:type="pct"/>
                  <w:tcBorders>
                    <w:tl2br w:val="nil"/>
                    <w:tr2bl w:val="nil"/>
                  </w:tcBorders>
                  <w:vAlign w:val="center"/>
                </w:tcPr>
                <w:p w14:paraId="0CC00DD7">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5FF54D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3C118454">
                  <w:pPr>
                    <w:keepNext w:val="0"/>
                    <w:keepLines w:val="0"/>
                    <w:pageBreakBefore w:val="0"/>
                    <w:widowControl/>
                    <w:numPr>
                      <w:ilvl w:val="0"/>
                      <w:numId w:val="11"/>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6366F33C">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液压系统</w:t>
                  </w:r>
                </w:p>
              </w:tc>
              <w:tc>
                <w:tcPr>
                  <w:tcW w:w="1671" w:type="pct"/>
                  <w:tcBorders>
                    <w:tl2br w:val="nil"/>
                    <w:tr2bl w:val="nil"/>
                  </w:tcBorders>
                  <w:vAlign w:val="center"/>
                </w:tcPr>
                <w:p w14:paraId="10CEA355">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液压站+控制阀组</w:t>
                  </w:r>
                </w:p>
              </w:tc>
              <w:tc>
                <w:tcPr>
                  <w:tcW w:w="645" w:type="pct"/>
                  <w:tcBorders>
                    <w:tl2br w:val="nil"/>
                    <w:tr2bl w:val="nil"/>
                  </w:tcBorders>
                  <w:vAlign w:val="center"/>
                </w:tcPr>
                <w:p w14:paraId="25F8B96C">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12</w:t>
                  </w:r>
                </w:p>
              </w:tc>
              <w:tc>
                <w:tcPr>
                  <w:tcW w:w="404" w:type="pct"/>
                  <w:tcBorders>
                    <w:tl2br w:val="nil"/>
                    <w:tr2bl w:val="nil"/>
                  </w:tcBorders>
                  <w:vAlign w:val="center"/>
                </w:tcPr>
                <w:p w14:paraId="36B1134E">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0FDE27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4E143BF2">
                  <w:pPr>
                    <w:keepNext w:val="0"/>
                    <w:keepLines w:val="0"/>
                    <w:pageBreakBefore w:val="0"/>
                    <w:widowControl/>
                    <w:numPr>
                      <w:ilvl w:val="0"/>
                      <w:numId w:val="11"/>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00BF53CC">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PLC自动化控制系统</w:t>
                  </w:r>
                </w:p>
              </w:tc>
              <w:tc>
                <w:tcPr>
                  <w:tcW w:w="1671" w:type="pct"/>
                  <w:tcBorders>
                    <w:tl2br w:val="nil"/>
                    <w:tr2bl w:val="nil"/>
                  </w:tcBorders>
                  <w:vAlign w:val="center"/>
                </w:tcPr>
                <w:p w14:paraId="5DC5CAB9">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全线集中控制</w:t>
                  </w:r>
                </w:p>
              </w:tc>
              <w:tc>
                <w:tcPr>
                  <w:tcW w:w="645" w:type="pct"/>
                  <w:tcBorders>
                    <w:tl2br w:val="nil"/>
                    <w:tr2bl w:val="nil"/>
                  </w:tcBorders>
                  <w:vAlign w:val="center"/>
                </w:tcPr>
                <w:p w14:paraId="3463DE16">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w:t>
                  </w:r>
                </w:p>
              </w:tc>
              <w:tc>
                <w:tcPr>
                  <w:tcW w:w="404" w:type="pct"/>
                  <w:tcBorders>
                    <w:tl2br w:val="nil"/>
                    <w:tr2bl w:val="nil"/>
                  </w:tcBorders>
                  <w:vAlign w:val="center"/>
                </w:tcPr>
                <w:p w14:paraId="66200B19">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11DA7B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27A1977A">
                  <w:pPr>
                    <w:keepNext w:val="0"/>
                    <w:keepLines w:val="0"/>
                    <w:pageBreakBefore w:val="0"/>
                    <w:widowControl/>
                    <w:numPr>
                      <w:ilvl w:val="0"/>
                      <w:numId w:val="11"/>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0FDE20E6">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行车</w:t>
                  </w:r>
                </w:p>
              </w:tc>
              <w:tc>
                <w:tcPr>
                  <w:tcW w:w="1671" w:type="pct"/>
                  <w:tcBorders>
                    <w:tl2br w:val="nil"/>
                    <w:tr2bl w:val="nil"/>
                  </w:tcBorders>
                  <w:vAlign w:val="center"/>
                </w:tcPr>
                <w:p w14:paraId="1F15BE66">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10t桥式起重机</w:t>
                  </w:r>
                </w:p>
              </w:tc>
              <w:tc>
                <w:tcPr>
                  <w:tcW w:w="645" w:type="pct"/>
                  <w:tcBorders>
                    <w:tl2br w:val="nil"/>
                    <w:tr2bl w:val="nil"/>
                  </w:tcBorders>
                  <w:vAlign w:val="center"/>
                </w:tcPr>
                <w:p w14:paraId="066C9B82">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2</w:t>
                  </w:r>
                </w:p>
              </w:tc>
              <w:tc>
                <w:tcPr>
                  <w:tcW w:w="404" w:type="pct"/>
                  <w:tcBorders>
                    <w:tl2br w:val="nil"/>
                    <w:tr2bl w:val="nil"/>
                  </w:tcBorders>
                  <w:vAlign w:val="center"/>
                </w:tcPr>
                <w:p w14:paraId="161669E5">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259F77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122B7604">
                  <w:pPr>
                    <w:keepNext w:val="0"/>
                    <w:keepLines w:val="0"/>
                    <w:pageBreakBefore w:val="0"/>
                    <w:widowControl/>
                    <w:numPr>
                      <w:ilvl w:val="255"/>
                      <w:numId w:val="0"/>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二</w:t>
                  </w:r>
                </w:p>
              </w:tc>
              <w:tc>
                <w:tcPr>
                  <w:tcW w:w="1739" w:type="pct"/>
                  <w:tcBorders>
                    <w:tl2br w:val="nil"/>
                    <w:tr2bl w:val="nil"/>
                  </w:tcBorders>
                  <w:vAlign w:val="center"/>
                </w:tcPr>
                <w:p w14:paraId="16729091">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全密闭表面处理生产线</w:t>
                  </w:r>
                </w:p>
              </w:tc>
              <w:tc>
                <w:tcPr>
                  <w:tcW w:w="1671" w:type="pct"/>
                  <w:tcBorders>
                    <w:tl2br w:val="nil"/>
                    <w:tr2bl w:val="nil"/>
                  </w:tcBorders>
                  <w:vAlign w:val="center"/>
                </w:tcPr>
                <w:p w14:paraId="3055FC0B">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highlight w:val="yellow"/>
                      <w:lang w:bidi="ar"/>
                    </w:rPr>
                  </w:pPr>
                </w:p>
              </w:tc>
              <w:tc>
                <w:tcPr>
                  <w:tcW w:w="645" w:type="pct"/>
                  <w:tcBorders>
                    <w:tl2br w:val="nil"/>
                    <w:tr2bl w:val="nil"/>
                  </w:tcBorders>
                  <w:vAlign w:val="center"/>
                </w:tcPr>
                <w:p w14:paraId="4A470B06">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404" w:type="pct"/>
                  <w:tcBorders>
                    <w:tl2br w:val="nil"/>
                    <w:tr2bl w:val="nil"/>
                  </w:tcBorders>
                  <w:vAlign w:val="center"/>
                </w:tcPr>
                <w:p w14:paraId="3B590B04">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233159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22C94D58">
                  <w:pPr>
                    <w:keepNext w:val="0"/>
                    <w:keepLines w:val="0"/>
                    <w:pageBreakBefore w:val="0"/>
                    <w:widowControl/>
                    <w:numPr>
                      <w:ilvl w:val="0"/>
                      <w:numId w:val="12"/>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szCs w:val="21"/>
                    </w:rPr>
                  </w:pPr>
                </w:p>
              </w:tc>
              <w:tc>
                <w:tcPr>
                  <w:tcW w:w="1739" w:type="pct"/>
                  <w:tcBorders>
                    <w:tl2br w:val="nil"/>
                    <w:tr2bl w:val="nil"/>
                  </w:tcBorders>
                  <w:vAlign w:val="center"/>
                </w:tcPr>
                <w:p w14:paraId="1A72FC7C">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各工艺槽</w:t>
                  </w:r>
                </w:p>
              </w:tc>
              <w:tc>
                <w:tcPr>
                  <w:tcW w:w="1671" w:type="pct"/>
                  <w:tcBorders>
                    <w:tl2br w:val="nil"/>
                    <w:tr2bl w:val="nil"/>
                  </w:tcBorders>
                  <w:vAlign w:val="center"/>
                </w:tcPr>
                <w:p w14:paraId="7EFEFF8C">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highlight w:val="yellow"/>
                      <w:lang w:bidi="ar"/>
                    </w:rPr>
                  </w:pPr>
                  <w:r>
                    <w:rPr>
                      <w:rFonts w:hint="default" w:ascii="Times New Roman" w:hAnsi="Times New Roman" w:cs="Times New Roman"/>
                      <w:color w:val="auto"/>
                      <w:kern w:val="0"/>
                      <w:szCs w:val="21"/>
                      <w:lang w:bidi="ar"/>
                    </w:rPr>
                    <w:t>见表2.2-10</w:t>
                  </w:r>
                </w:p>
              </w:tc>
              <w:tc>
                <w:tcPr>
                  <w:tcW w:w="645" w:type="pct"/>
                  <w:tcBorders>
                    <w:tl2br w:val="nil"/>
                    <w:tr2bl w:val="nil"/>
                  </w:tcBorders>
                  <w:vAlign w:val="center"/>
                </w:tcPr>
                <w:p w14:paraId="31D6B061">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w:t>
                  </w:r>
                </w:p>
              </w:tc>
              <w:tc>
                <w:tcPr>
                  <w:tcW w:w="404" w:type="pct"/>
                  <w:tcBorders>
                    <w:tl2br w:val="nil"/>
                    <w:tr2bl w:val="nil"/>
                  </w:tcBorders>
                  <w:vAlign w:val="center"/>
                </w:tcPr>
                <w:p w14:paraId="03B77E1F">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15269D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05CD56A9">
                  <w:pPr>
                    <w:keepNext w:val="0"/>
                    <w:keepLines w:val="0"/>
                    <w:pageBreakBefore w:val="0"/>
                    <w:widowControl/>
                    <w:numPr>
                      <w:ilvl w:val="0"/>
                      <w:numId w:val="12"/>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szCs w:val="21"/>
                    </w:rPr>
                  </w:pPr>
                </w:p>
              </w:tc>
              <w:tc>
                <w:tcPr>
                  <w:tcW w:w="1739" w:type="pct"/>
                  <w:tcBorders>
                    <w:tl2br w:val="nil"/>
                    <w:tr2bl w:val="nil"/>
                  </w:tcBorders>
                  <w:vAlign w:val="center"/>
                </w:tcPr>
                <w:p w14:paraId="29661F4F">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酸雾净化系统</w:t>
                  </w:r>
                </w:p>
              </w:tc>
              <w:tc>
                <w:tcPr>
                  <w:tcW w:w="1671" w:type="pct"/>
                  <w:tcBorders>
                    <w:tl2br w:val="nil"/>
                    <w:tr2bl w:val="nil"/>
                  </w:tcBorders>
                  <w:vAlign w:val="center"/>
                </w:tcPr>
                <w:p w14:paraId="0E9714D9">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DGS-25</w:t>
                  </w:r>
                </w:p>
              </w:tc>
              <w:tc>
                <w:tcPr>
                  <w:tcW w:w="645" w:type="pct"/>
                  <w:tcBorders>
                    <w:tl2br w:val="nil"/>
                    <w:tr2bl w:val="nil"/>
                  </w:tcBorders>
                  <w:vAlign w:val="center"/>
                </w:tcPr>
                <w:p w14:paraId="77801495">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w:t>
                  </w:r>
                </w:p>
              </w:tc>
              <w:tc>
                <w:tcPr>
                  <w:tcW w:w="404" w:type="pct"/>
                  <w:tcBorders>
                    <w:tl2br w:val="nil"/>
                    <w:tr2bl w:val="nil"/>
                  </w:tcBorders>
                  <w:vAlign w:val="center"/>
                </w:tcPr>
                <w:p w14:paraId="7E294770">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0633B5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5B16C8DE">
                  <w:pPr>
                    <w:keepNext w:val="0"/>
                    <w:keepLines w:val="0"/>
                    <w:pageBreakBefore w:val="0"/>
                    <w:widowControl/>
                    <w:numPr>
                      <w:ilvl w:val="0"/>
                      <w:numId w:val="12"/>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szCs w:val="21"/>
                    </w:rPr>
                  </w:pPr>
                </w:p>
              </w:tc>
              <w:tc>
                <w:tcPr>
                  <w:tcW w:w="1739" w:type="pct"/>
                  <w:tcBorders>
                    <w:tl2br w:val="nil"/>
                    <w:tr2bl w:val="nil"/>
                  </w:tcBorders>
                  <w:vAlign w:val="center"/>
                </w:tcPr>
                <w:p w14:paraId="09F2C085">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机械手</w:t>
                  </w:r>
                </w:p>
              </w:tc>
              <w:tc>
                <w:tcPr>
                  <w:tcW w:w="1671" w:type="pct"/>
                  <w:tcBorders>
                    <w:tl2br w:val="nil"/>
                    <w:tr2bl w:val="nil"/>
                  </w:tcBorders>
                  <w:vAlign w:val="center"/>
                </w:tcPr>
                <w:p w14:paraId="65D2EDCF">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w:t>
                  </w:r>
                </w:p>
              </w:tc>
              <w:tc>
                <w:tcPr>
                  <w:tcW w:w="645" w:type="pct"/>
                  <w:tcBorders>
                    <w:tl2br w:val="nil"/>
                    <w:tr2bl w:val="nil"/>
                  </w:tcBorders>
                  <w:vAlign w:val="center"/>
                </w:tcPr>
                <w:p w14:paraId="59D4A606">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2</w:t>
                  </w:r>
                </w:p>
              </w:tc>
              <w:tc>
                <w:tcPr>
                  <w:tcW w:w="404" w:type="pct"/>
                  <w:tcBorders>
                    <w:tl2br w:val="nil"/>
                    <w:tr2bl w:val="nil"/>
                  </w:tcBorders>
                  <w:vAlign w:val="center"/>
                </w:tcPr>
                <w:p w14:paraId="76777F5D">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4D6A3C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435E63EF">
                  <w:pPr>
                    <w:keepNext w:val="0"/>
                    <w:keepLines w:val="0"/>
                    <w:pageBreakBefore w:val="0"/>
                    <w:widowControl/>
                    <w:numPr>
                      <w:ilvl w:val="0"/>
                      <w:numId w:val="12"/>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szCs w:val="21"/>
                    </w:rPr>
                  </w:pPr>
                </w:p>
              </w:tc>
              <w:tc>
                <w:tcPr>
                  <w:tcW w:w="1739" w:type="pct"/>
                  <w:tcBorders>
                    <w:tl2br w:val="nil"/>
                    <w:tr2bl w:val="nil"/>
                  </w:tcBorders>
                  <w:vAlign w:val="center"/>
                </w:tcPr>
                <w:p w14:paraId="3F2B6EDA">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吊钩</w:t>
                  </w:r>
                </w:p>
              </w:tc>
              <w:tc>
                <w:tcPr>
                  <w:tcW w:w="1671" w:type="pct"/>
                  <w:tcBorders>
                    <w:tl2br w:val="nil"/>
                    <w:tr2bl w:val="nil"/>
                  </w:tcBorders>
                  <w:vAlign w:val="center"/>
                </w:tcPr>
                <w:p w14:paraId="2F6DC650">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吊钩有效长度 3000mm</w:t>
                  </w:r>
                </w:p>
              </w:tc>
              <w:tc>
                <w:tcPr>
                  <w:tcW w:w="645" w:type="pct"/>
                  <w:tcBorders>
                    <w:tl2br w:val="nil"/>
                    <w:tr2bl w:val="nil"/>
                  </w:tcBorders>
                  <w:vAlign w:val="center"/>
                </w:tcPr>
                <w:p w14:paraId="0607EB92">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9</w:t>
                  </w:r>
                </w:p>
              </w:tc>
              <w:tc>
                <w:tcPr>
                  <w:tcW w:w="404" w:type="pct"/>
                  <w:tcBorders>
                    <w:tl2br w:val="nil"/>
                    <w:tr2bl w:val="nil"/>
                  </w:tcBorders>
                  <w:vAlign w:val="center"/>
                </w:tcPr>
                <w:p w14:paraId="7F1AA6B7">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03DA6D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04BD85D1">
                  <w:pPr>
                    <w:keepNext w:val="0"/>
                    <w:keepLines w:val="0"/>
                    <w:pageBreakBefore w:val="0"/>
                    <w:widowControl/>
                    <w:numPr>
                      <w:ilvl w:val="0"/>
                      <w:numId w:val="12"/>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szCs w:val="21"/>
                    </w:rPr>
                  </w:pPr>
                </w:p>
              </w:tc>
              <w:tc>
                <w:tcPr>
                  <w:tcW w:w="1739" w:type="pct"/>
                  <w:tcBorders>
                    <w:tl2br w:val="nil"/>
                    <w:tr2bl w:val="nil"/>
                  </w:tcBorders>
                  <w:vAlign w:val="center"/>
                </w:tcPr>
                <w:p w14:paraId="25614CCF">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上下料车</w:t>
                  </w:r>
                </w:p>
              </w:tc>
              <w:tc>
                <w:tcPr>
                  <w:tcW w:w="1671" w:type="pct"/>
                  <w:tcBorders>
                    <w:tl2br w:val="nil"/>
                    <w:tr2bl w:val="nil"/>
                  </w:tcBorders>
                  <w:vAlign w:val="center"/>
                </w:tcPr>
                <w:p w14:paraId="4C2004E1">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w:t>
                  </w:r>
                </w:p>
              </w:tc>
              <w:tc>
                <w:tcPr>
                  <w:tcW w:w="645" w:type="pct"/>
                  <w:tcBorders>
                    <w:tl2br w:val="nil"/>
                    <w:tr2bl w:val="nil"/>
                  </w:tcBorders>
                  <w:vAlign w:val="center"/>
                </w:tcPr>
                <w:p w14:paraId="2A2DFFDE">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3</w:t>
                  </w:r>
                </w:p>
              </w:tc>
              <w:tc>
                <w:tcPr>
                  <w:tcW w:w="404" w:type="pct"/>
                  <w:tcBorders>
                    <w:tl2br w:val="nil"/>
                    <w:tr2bl w:val="nil"/>
                  </w:tcBorders>
                  <w:vAlign w:val="center"/>
                </w:tcPr>
                <w:p w14:paraId="585AB12B">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76AF54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510B9B06">
                  <w:pPr>
                    <w:keepNext w:val="0"/>
                    <w:keepLines w:val="0"/>
                    <w:pageBreakBefore w:val="0"/>
                    <w:widowControl/>
                    <w:numPr>
                      <w:ilvl w:val="0"/>
                      <w:numId w:val="12"/>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szCs w:val="21"/>
                    </w:rPr>
                  </w:pPr>
                </w:p>
              </w:tc>
              <w:tc>
                <w:tcPr>
                  <w:tcW w:w="1739" w:type="pct"/>
                  <w:tcBorders>
                    <w:tl2br w:val="nil"/>
                    <w:tr2bl w:val="nil"/>
                  </w:tcBorders>
                  <w:vAlign w:val="center"/>
                </w:tcPr>
                <w:p w14:paraId="4E13B1E8">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电气及自动化控制系统</w:t>
                  </w:r>
                </w:p>
              </w:tc>
              <w:tc>
                <w:tcPr>
                  <w:tcW w:w="1671" w:type="pct"/>
                  <w:tcBorders>
                    <w:tl2br w:val="nil"/>
                    <w:tr2bl w:val="nil"/>
                  </w:tcBorders>
                  <w:vAlign w:val="center"/>
                </w:tcPr>
                <w:p w14:paraId="2CA4A6AA">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w:t>
                  </w:r>
                </w:p>
              </w:tc>
              <w:tc>
                <w:tcPr>
                  <w:tcW w:w="645" w:type="pct"/>
                  <w:tcBorders>
                    <w:tl2br w:val="nil"/>
                    <w:tr2bl w:val="nil"/>
                  </w:tcBorders>
                  <w:vAlign w:val="center"/>
                </w:tcPr>
                <w:p w14:paraId="48706A7D">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w:t>
                  </w:r>
                </w:p>
              </w:tc>
              <w:tc>
                <w:tcPr>
                  <w:tcW w:w="404" w:type="pct"/>
                  <w:tcBorders>
                    <w:tl2br w:val="nil"/>
                    <w:tr2bl w:val="nil"/>
                  </w:tcBorders>
                  <w:vAlign w:val="center"/>
                </w:tcPr>
                <w:p w14:paraId="71F98789">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41AAAE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6BC67B7C">
                  <w:pPr>
                    <w:keepNext w:val="0"/>
                    <w:keepLines w:val="0"/>
                    <w:pageBreakBefore w:val="0"/>
                    <w:widowControl/>
                    <w:numPr>
                      <w:ilvl w:val="0"/>
                      <w:numId w:val="12"/>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szCs w:val="21"/>
                    </w:rPr>
                  </w:pPr>
                </w:p>
              </w:tc>
              <w:tc>
                <w:tcPr>
                  <w:tcW w:w="1739" w:type="pct"/>
                  <w:tcBorders>
                    <w:tl2br w:val="nil"/>
                    <w:tr2bl w:val="nil"/>
                  </w:tcBorders>
                  <w:vAlign w:val="center"/>
                </w:tcPr>
                <w:p w14:paraId="75DFC7AF">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叉车</w:t>
                  </w:r>
                </w:p>
              </w:tc>
              <w:tc>
                <w:tcPr>
                  <w:tcW w:w="1671" w:type="pct"/>
                  <w:tcBorders>
                    <w:tl2br w:val="nil"/>
                    <w:tr2bl w:val="nil"/>
                  </w:tcBorders>
                  <w:vAlign w:val="center"/>
                </w:tcPr>
                <w:p w14:paraId="3397C34A">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5T</w:t>
                  </w:r>
                </w:p>
              </w:tc>
              <w:tc>
                <w:tcPr>
                  <w:tcW w:w="645" w:type="pct"/>
                  <w:tcBorders>
                    <w:tl2br w:val="nil"/>
                    <w:tr2bl w:val="nil"/>
                  </w:tcBorders>
                  <w:vAlign w:val="center"/>
                </w:tcPr>
                <w:p w14:paraId="180B11A2">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2</w:t>
                  </w:r>
                </w:p>
              </w:tc>
              <w:tc>
                <w:tcPr>
                  <w:tcW w:w="404" w:type="pct"/>
                  <w:tcBorders>
                    <w:tl2br w:val="nil"/>
                    <w:tr2bl w:val="nil"/>
                  </w:tcBorders>
                  <w:vAlign w:val="center"/>
                </w:tcPr>
                <w:p w14:paraId="620457BC">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柴油</w:t>
                  </w:r>
                </w:p>
              </w:tc>
            </w:tr>
            <w:tr w14:paraId="23BC79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2A8D0249">
                  <w:pPr>
                    <w:keepNext w:val="0"/>
                    <w:keepLines w:val="0"/>
                    <w:pageBreakBefore w:val="0"/>
                    <w:widowControl/>
                    <w:numPr>
                      <w:ilvl w:val="0"/>
                      <w:numId w:val="12"/>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6300BC71">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双梁桥式起重机</w:t>
                  </w:r>
                </w:p>
              </w:tc>
              <w:tc>
                <w:tcPr>
                  <w:tcW w:w="1671" w:type="pct"/>
                  <w:tcBorders>
                    <w:tl2br w:val="nil"/>
                    <w:tr2bl w:val="nil"/>
                  </w:tcBorders>
                  <w:vAlign w:val="center"/>
                </w:tcPr>
                <w:p w14:paraId="7925B701">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10T</w:t>
                  </w:r>
                </w:p>
              </w:tc>
              <w:tc>
                <w:tcPr>
                  <w:tcW w:w="645" w:type="pct"/>
                  <w:tcBorders>
                    <w:tl2br w:val="nil"/>
                    <w:tr2bl w:val="nil"/>
                  </w:tcBorders>
                  <w:vAlign w:val="center"/>
                </w:tcPr>
                <w:p w14:paraId="633DE199">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w:t>
                  </w:r>
                </w:p>
              </w:tc>
              <w:tc>
                <w:tcPr>
                  <w:tcW w:w="404" w:type="pct"/>
                  <w:tcBorders>
                    <w:tl2br w:val="nil"/>
                    <w:tr2bl w:val="nil"/>
                  </w:tcBorders>
                  <w:vAlign w:val="center"/>
                </w:tcPr>
                <w:p w14:paraId="12C76112">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53F539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001477E6">
                  <w:pPr>
                    <w:keepNext w:val="0"/>
                    <w:keepLines w:val="0"/>
                    <w:pageBreakBefore w:val="0"/>
                    <w:widowControl/>
                    <w:numPr>
                      <w:ilvl w:val="0"/>
                      <w:numId w:val="12"/>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416925CD">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单梁起重机</w:t>
                  </w:r>
                </w:p>
              </w:tc>
              <w:tc>
                <w:tcPr>
                  <w:tcW w:w="1671" w:type="pct"/>
                  <w:tcBorders>
                    <w:tl2br w:val="nil"/>
                    <w:tr2bl w:val="nil"/>
                  </w:tcBorders>
                  <w:vAlign w:val="center"/>
                </w:tcPr>
                <w:p w14:paraId="52B7786E">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5T</w:t>
                  </w:r>
                </w:p>
              </w:tc>
              <w:tc>
                <w:tcPr>
                  <w:tcW w:w="645" w:type="pct"/>
                  <w:tcBorders>
                    <w:tl2br w:val="nil"/>
                    <w:tr2bl w:val="nil"/>
                  </w:tcBorders>
                  <w:vAlign w:val="center"/>
                </w:tcPr>
                <w:p w14:paraId="5AEF49A2">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w:t>
                  </w:r>
                </w:p>
              </w:tc>
              <w:tc>
                <w:tcPr>
                  <w:tcW w:w="404" w:type="pct"/>
                  <w:tcBorders>
                    <w:tl2br w:val="nil"/>
                    <w:tr2bl w:val="nil"/>
                  </w:tcBorders>
                  <w:vAlign w:val="center"/>
                </w:tcPr>
                <w:p w14:paraId="457BF32B">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7B1F55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3F5A1F9C">
                  <w:pPr>
                    <w:keepNext w:val="0"/>
                    <w:keepLines w:val="0"/>
                    <w:pageBreakBefore w:val="0"/>
                    <w:widowControl/>
                    <w:numPr>
                      <w:ilvl w:val="0"/>
                      <w:numId w:val="12"/>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64DDBCB2">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螺杆式空压机</w:t>
                  </w:r>
                </w:p>
              </w:tc>
              <w:tc>
                <w:tcPr>
                  <w:tcW w:w="1671" w:type="pct"/>
                  <w:tcBorders>
                    <w:tl2br w:val="nil"/>
                    <w:tr2bl w:val="nil"/>
                  </w:tcBorders>
                  <w:vAlign w:val="center"/>
                </w:tcPr>
                <w:p w14:paraId="788DE742">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HD-PM22L</w:t>
                  </w:r>
                </w:p>
              </w:tc>
              <w:tc>
                <w:tcPr>
                  <w:tcW w:w="645" w:type="pct"/>
                  <w:tcBorders>
                    <w:tl2br w:val="nil"/>
                    <w:tr2bl w:val="nil"/>
                  </w:tcBorders>
                  <w:vAlign w:val="center"/>
                </w:tcPr>
                <w:p w14:paraId="73554BC4">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w:t>
                  </w:r>
                </w:p>
              </w:tc>
              <w:tc>
                <w:tcPr>
                  <w:tcW w:w="404" w:type="pct"/>
                  <w:tcBorders>
                    <w:tl2br w:val="nil"/>
                    <w:tr2bl w:val="nil"/>
                  </w:tcBorders>
                  <w:vAlign w:val="center"/>
                </w:tcPr>
                <w:p w14:paraId="7EF8C5F6">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563CAF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046DC198">
                  <w:pPr>
                    <w:keepNext w:val="0"/>
                    <w:keepLines w:val="0"/>
                    <w:pageBreakBefore w:val="0"/>
                    <w:widowControl/>
                    <w:numPr>
                      <w:ilvl w:val="0"/>
                      <w:numId w:val="12"/>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349A8C7F">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蒸汽发生器</w:t>
                  </w:r>
                </w:p>
              </w:tc>
              <w:tc>
                <w:tcPr>
                  <w:tcW w:w="1671" w:type="pct"/>
                  <w:tcBorders>
                    <w:tl2br w:val="nil"/>
                    <w:tr2bl w:val="nil"/>
                  </w:tcBorders>
                  <w:vAlign w:val="center"/>
                </w:tcPr>
                <w:p w14:paraId="7527ACA2">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燃料为天然气、1.0t/h</w:t>
                  </w:r>
                </w:p>
              </w:tc>
              <w:tc>
                <w:tcPr>
                  <w:tcW w:w="645" w:type="pct"/>
                  <w:tcBorders>
                    <w:tl2br w:val="nil"/>
                    <w:tr2bl w:val="nil"/>
                  </w:tcBorders>
                  <w:vAlign w:val="center"/>
                </w:tcPr>
                <w:p w14:paraId="67901AFC">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2</w:t>
                  </w:r>
                </w:p>
              </w:tc>
              <w:tc>
                <w:tcPr>
                  <w:tcW w:w="404" w:type="pct"/>
                  <w:tcBorders>
                    <w:tl2br w:val="nil"/>
                    <w:tr2bl w:val="nil"/>
                  </w:tcBorders>
                  <w:vAlign w:val="center"/>
                </w:tcPr>
                <w:p w14:paraId="3A9F1CFA">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32B389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7F0EB358">
                  <w:pPr>
                    <w:keepNext w:val="0"/>
                    <w:keepLines w:val="0"/>
                    <w:pageBreakBefore w:val="0"/>
                    <w:widowControl/>
                    <w:numPr>
                      <w:ilvl w:val="0"/>
                      <w:numId w:val="12"/>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3D95F7F6">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盐酸罐</w:t>
                  </w:r>
                </w:p>
              </w:tc>
              <w:tc>
                <w:tcPr>
                  <w:tcW w:w="1671" w:type="pct"/>
                  <w:tcBorders>
                    <w:tl2br w:val="nil"/>
                    <w:tr2bl w:val="nil"/>
                  </w:tcBorders>
                  <w:vAlign w:val="center"/>
                </w:tcPr>
                <w:p w14:paraId="3CAA3146">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50m</w:t>
                  </w:r>
                  <w:r>
                    <w:rPr>
                      <w:rFonts w:hint="default" w:ascii="Times New Roman" w:hAnsi="Times New Roman" w:cs="Times New Roman"/>
                      <w:color w:val="auto"/>
                      <w:kern w:val="0"/>
                      <w:szCs w:val="21"/>
                      <w:vertAlign w:val="superscript"/>
                      <w:lang w:bidi="ar"/>
                    </w:rPr>
                    <w:t>3</w:t>
                  </w:r>
                </w:p>
              </w:tc>
              <w:tc>
                <w:tcPr>
                  <w:tcW w:w="645" w:type="pct"/>
                  <w:tcBorders>
                    <w:tl2br w:val="nil"/>
                    <w:tr2bl w:val="nil"/>
                  </w:tcBorders>
                  <w:vAlign w:val="center"/>
                </w:tcPr>
                <w:p w14:paraId="46F5654A">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w:t>
                  </w:r>
                </w:p>
              </w:tc>
              <w:tc>
                <w:tcPr>
                  <w:tcW w:w="404" w:type="pct"/>
                  <w:tcBorders>
                    <w:tl2br w:val="nil"/>
                    <w:tr2bl w:val="nil"/>
                  </w:tcBorders>
                  <w:vAlign w:val="center"/>
                </w:tcPr>
                <w:p w14:paraId="0E48611E">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0E516D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7EAE29BA">
                  <w:pPr>
                    <w:keepNext w:val="0"/>
                    <w:keepLines w:val="0"/>
                    <w:pageBreakBefore w:val="0"/>
                    <w:widowControl/>
                    <w:numPr>
                      <w:ilvl w:val="0"/>
                      <w:numId w:val="12"/>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2D90FB49">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废酸罐</w:t>
                  </w:r>
                </w:p>
              </w:tc>
              <w:tc>
                <w:tcPr>
                  <w:tcW w:w="1671" w:type="pct"/>
                  <w:tcBorders>
                    <w:tl2br w:val="nil"/>
                    <w:tr2bl w:val="nil"/>
                  </w:tcBorders>
                  <w:vAlign w:val="center"/>
                </w:tcPr>
                <w:p w14:paraId="1A281E46">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单个50m</w:t>
                  </w:r>
                  <w:r>
                    <w:rPr>
                      <w:rFonts w:hint="default" w:ascii="Times New Roman" w:hAnsi="Times New Roman" w:cs="Times New Roman"/>
                      <w:color w:val="auto"/>
                      <w:kern w:val="0"/>
                      <w:szCs w:val="21"/>
                      <w:vertAlign w:val="superscript"/>
                      <w:lang w:bidi="ar"/>
                    </w:rPr>
                    <w:t>3</w:t>
                  </w:r>
                </w:p>
              </w:tc>
              <w:tc>
                <w:tcPr>
                  <w:tcW w:w="645" w:type="pct"/>
                  <w:tcBorders>
                    <w:tl2br w:val="nil"/>
                    <w:tr2bl w:val="nil"/>
                  </w:tcBorders>
                  <w:vAlign w:val="center"/>
                </w:tcPr>
                <w:p w14:paraId="346757D4">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2</w:t>
                  </w:r>
                </w:p>
              </w:tc>
              <w:tc>
                <w:tcPr>
                  <w:tcW w:w="404" w:type="pct"/>
                  <w:tcBorders>
                    <w:tl2br w:val="nil"/>
                    <w:tr2bl w:val="nil"/>
                  </w:tcBorders>
                  <w:vAlign w:val="center"/>
                </w:tcPr>
                <w:p w14:paraId="4C6C7A41">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4E5121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7A7E4E60">
                  <w:pPr>
                    <w:keepNext w:val="0"/>
                    <w:keepLines w:val="0"/>
                    <w:pageBreakBefore w:val="0"/>
                    <w:widowControl/>
                    <w:numPr>
                      <w:ilvl w:val="0"/>
                      <w:numId w:val="12"/>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5C578EEB">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低位废液罐（池）</w:t>
                  </w:r>
                </w:p>
              </w:tc>
              <w:tc>
                <w:tcPr>
                  <w:tcW w:w="1671" w:type="pct"/>
                  <w:tcBorders>
                    <w:tl2br w:val="nil"/>
                    <w:tr2bl w:val="nil"/>
                  </w:tcBorders>
                  <w:vAlign w:val="center"/>
                </w:tcPr>
                <w:p w14:paraId="3006ABEF">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50m</w:t>
                  </w:r>
                  <w:r>
                    <w:rPr>
                      <w:rFonts w:hint="default" w:ascii="Times New Roman" w:hAnsi="Times New Roman" w:cs="Times New Roman"/>
                      <w:color w:val="auto"/>
                      <w:kern w:val="0"/>
                      <w:szCs w:val="21"/>
                      <w:vertAlign w:val="superscript"/>
                      <w:lang w:bidi="ar"/>
                    </w:rPr>
                    <w:t>3</w:t>
                  </w:r>
                </w:p>
              </w:tc>
              <w:tc>
                <w:tcPr>
                  <w:tcW w:w="645" w:type="pct"/>
                  <w:tcBorders>
                    <w:tl2br w:val="nil"/>
                    <w:tr2bl w:val="nil"/>
                  </w:tcBorders>
                  <w:vAlign w:val="center"/>
                </w:tcPr>
                <w:p w14:paraId="78EDDD14">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w:t>
                  </w:r>
                </w:p>
              </w:tc>
              <w:tc>
                <w:tcPr>
                  <w:tcW w:w="404" w:type="pct"/>
                  <w:tcBorders>
                    <w:tl2br w:val="nil"/>
                    <w:tr2bl w:val="nil"/>
                  </w:tcBorders>
                  <w:vAlign w:val="center"/>
                </w:tcPr>
                <w:p w14:paraId="5C554C52">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327FD5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3DF39D7A">
                  <w:pPr>
                    <w:keepNext w:val="0"/>
                    <w:keepLines w:val="0"/>
                    <w:pageBreakBefore w:val="0"/>
                    <w:widowControl/>
                    <w:numPr>
                      <w:ilvl w:val="0"/>
                      <w:numId w:val="12"/>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65EAC91B">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低位回用罐（池）</w:t>
                  </w:r>
                </w:p>
              </w:tc>
              <w:tc>
                <w:tcPr>
                  <w:tcW w:w="1671" w:type="pct"/>
                  <w:tcBorders>
                    <w:tl2br w:val="nil"/>
                    <w:tr2bl w:val="nil"/>
                  </w:tcBorders>
                  <w:vAlign w:val="center"/>
                </w:tcPr>
                <w:p w14:paraId="27B43775">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50m</w:t>
                  </w:r>
                  <w:r>
                    <w:rPr>
                      <w:rFonts w:hint="default" w:ascii="Times New Roman" w:hAnsi="Times New Roman" w:cs="Times New Roman"/>
                      <w:color w:val="auto"/>
                      <w:kern w:val="0"/>
                      <w:szCs w:val="21"/>
                      <w:vertAlign w:val="superscript"/>
                      <w:lang w:bidi="ar"/>
                    </w:rPr>
                    <w:t>3</w:t>
                  </w:r>
                </w:p>
              </w:tc>
              <w:tc>
                <w:tcPr>
                  <w:tcW w:w="645" w:type="pct"/>
                  <w:tcBorders>
                    <w:tl2br w:val="nil"/>
                    <w:tr2bl w:val="nil"/>
                  </w:tcBorders>
                  <w:vAlign w:val="center"/>
                </w:tcPr>
                <w:p w14:paraId="65D68257">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w:t>
                  </w:r>
                </w:p>
              </w:tc>
              <w:tc>
                <w:tcPr>
                  <w:tcW w:w="404" w:type="pct"/>
                  <w:tcBorders>
                    <w:tl2br w:val="nil"/>
                    <w:tr2bl w:val="nil"/>
                  </w:tcBorders>
                  <w:vAlign w:val="center"/>
                </w:tcPr>
                <w:p w14:paraId="117773CB">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11992E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12BD366E">
                  <w:pPr>
                    <w:keepNext w:val="0"/>
                    <w:keepLines w:val="0"/>
                    <w:pageBreakBefore w:val="0"/>
                    <w:widowControl/>
                    <w:numPr>
                      <w:ilvl w:val="0"/>
                      <w:numId w:val="12"/>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5C0E7485">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低位废水池</w:t>
                  </w:r>
                </w:p>
              </w:tc>
              <w:tc>
                <w:tcPr>
                  <w:tcW w:w="1671" w:type="pct"/>
                  <w:tcBorders>
                    <w:tl2br w:val="nil"/>
                    <w:tr2bl w:val="nil"/>
                  </w:tcBorders>
                  <w:vAlign w:val="center"/>
                </w:tcPr>
                <w:p w14:paraId="76404A84">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60m</w:t>
                  </w:r>
                  <w:r>
                    <w:rPr>
                      <w:rFonts w:hint="default" w:ascii="Times New Roman" w:hAnsi="Times New Roman" w:cs="Times New Roman"/>
                      <w:color w:val="auto"/>
                      <w:kern w:val="0"/>
                      <w:szCs w:val="21"/>
                      <w:vertAlign w:val="superscript"/>
                      <w:lang w:bidi="ar"/>
                    </w:rPr>
                    <w:t>3</w:t>
                  </w:r>
                </w:p>
              </w:tc>
              <w:tc>
                <w:tcPr>
                  <w:tcW w:w="645" w:type="pct"/>
                  <w:tcBorders>
                    <w:tl2br w:val="nil"/>
                    <w:tr2bl w:val="nil"/>
                  </w:tcBorders>
                  <w:vAlign w:val="center"/>
                </w:tcPr>
                <w:p w14:paraId="634D4667">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w:t>
                  </w:r>
                </w:p>
              </w:tc>
              <w:tc>
                <w:tcPr>
                  <w:tcW w:w="404" w:type="pct"/>
                  <w:tcBorders>
                    <w:tl2br w:val="nil"/>
                    <w:tr2bl w:val="nil"/>
                  </w:tcBorders>
                  <w:vAlign w:val="center"/>
                </w:tcPr>
                <w:p w14:paraId="6AE1F317">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1DAA62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3199F6C6">
                  <w:pPr>
                    <w:keepNext w:val="0"/>
                    <w:keepLines w:val="0"/>
                    <w:pageBreakBefore w:val="0"/>
                    <w:widowControl/>
                    <w:numPr>
                      <w:ilvl w:val="0"/>
                      <w:numId w:val="12"/>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0E8715E0">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低位清水池</w:t>
                  </w:r>
                </w:p>
              </w:tc>
              <w:tc>
                <w:tcPr>
                  <w:tcW w:w="1671" w:type="pct"/>
                  <w:tcBorders>
                    <w:tl2br w:val="nil"/>
                    <w:tr2bl w:val="nil"/>
                  </w:tcBorders>
                  <w:vAlign w:val="center"/>
                </w:tcPr>
                <w:p w14:paraId="255717BB">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60m</w:t>
                  </w:r>
                  <w:r>
                    <w:rPr>
                      <w:rFonts w:hint="default" w:ascii="Times New Roman" w:hAnsi="Times New Roman" w:cs="Times New Roman"/>
                      <w:color w:val="auto"/>
                      <w:kern w:val="0"/>
                      <w:szCs w:val="21"/>
                      <w:vertAlign w:val="superscript"/>
                      <w:lang w:bidi="ar"/>
                    </w:rPr>
                    <w:t>3</w:t>
                  </w:r>
                </w:p>
              </w:tc>
              <w:tc>
                <w:tcPr>
                  <w:tcW w:w="645" w:type="pct"/>
                  <w:tcBorders>
                    <w:tl2br w:val="nil"/>
                    <w:tr2bl w:val="nil"/>
                  </w:tcBorders>
                  <w:vAlign w:val="center"/>
                </w:tcPr>
                <w:p w14:paraId="74091736">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w:t>
                  </w:r>
                </w:p>
              </w:tc>
              <w:tc>
                <w:tcPr>
                  <w:tcW w:w="404" w:type="pct"/>
                  <w:tcBorders>
                    <w:tl2br w:val="nil"/>
                    <w:tr2bl w:val="nil"/>
                  </w:tcBorders>
                  <w:vAlign w:val="center"/>
                </w:tcPr>
                <w:p w14:paraId="03766845">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1A581A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667ACAC2">
                  <w:pPr>
                    <w:keepNext w:val="0"/>
                    <w:keepLines w:val="0"/>
                    <w:pageBreakBefore w:val="0"/>
                    <w:widowControl/>
                    <w:numPr>
                      <w:ilvl w:val="0"/>
                      <w:numId w:val="12"/>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5D321744">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皂化液池</w:t>
                  </w:r>
                </w:p>
              </w:tc>
              <w:tc>
                <w:tcPr>
                  <w:tcW w:w="1671" w:type="pct"/>
                  <w:tcBorders>
                    <w:tl2br w:val="nil"/>
                    <w:tr2bl w:val="nil"/>
                  </w:tcBorders>
                  <w:vAlign w:val="center"/>
                </w:tcPr>
                <w:p w14:paraId="1AC9347F">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30m</w:t>
                  </w:r>
                  <w:r>
                    <w:rPr>
                      <w:rFonts w:hint="default" w:ascii="Times New Roman" w:hAnsi="Times New Roman" w:cs="Times New Roman"/>
                      <w:color w:val="auto"/>
                      <w:kern w:val="0"/>
                      <w:szCs w:val="21"/>
                      <w:vertAlign w:val="superscript"/>
                      <w:lang w:bidi="ar"/>
                    </w:rPr>
                    <w:t>3</w:t>
                  </w:r>
                </w:p>
              </w:tc>
              <w:tc>
                <w:tcPr>
                  <w:tcW w:w="645" w:type="pct"/>
                  <w:tcBorders>
                    <w:tl2br w:val="nil"/>
                    <w:tr2bl w:val="nil"/>
                  </w:tcBorders>
                  <w:vAlign w:val="center"/>
                </w:tcPr>
                <w:p w14:paraId="356289C9">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w:t>
                  </w:r>
                </w:p>
              </w:tc>
              <w:tc>
                <w:tcPr>
                  <w:tcW w:w="404" w:type="pct"/>
                  <w:tcBorders>
                    <w:tl2br w:val="nil"/>
                    <w:tr2bl w:val="nil"/>
                  </w:tcBorders>
                  <w:vAlign w:val="center"/>
                </w:tcPr>
                <w:p w14:paraId="3EB808BF">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055F54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1779953B">
                  <w:pPr>
                    <w:keepNext w:val="0"/>
                    <w:keepLines w:val="0"/>
                    <w:pageBreakBefore w:val="0"/>
                    <w:widowControl/>
                    <w:numPr>
                      <w:ilvl w:val="0"/>
                      <w:numId w:val="12"/>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254D3EE7">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石灰池</w:t>
                  </w:r>
                </w:p>
              </w:tc>
              <w:tc>
                <w:tcPr>
                  <w:tcW w:w="1671" w:type="pct"/>
                  <w:tcBorders>
                    <w:tl2br w:val="nil"/>
                    <w:tr2bl w:val="nil"/>
                  </w:tcBorders>
                  <w:vAlign w:val="center"/>
                </w:tcPr>
                <w:p w14:paraId="66805E8C">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30m</w:t>
                  </w:r>
                  <w:r>
                    <w:rPr>
                      <w:rFonts w:hint="default" w:ascii="Times New Roman" w:hAnsi="Times New Roman" w:cs="Times New Roman"/>
                      <w:color w:val="auto"/>
                      <w:kern w:val="0"/>
                      <w:szCs w:val="21"/>
                      <w:vertAlign w:val="superscript"/>
                      <w:lang w:bidi="ar"/>
                    </w:rPr>
                    <w:t>3</w:t>
                  </w:r>
                </w:p>
              </w:tc>
              <w:tc>
                <w:tcPr>
                  <w:tcW w:w="645" w:type="pct"/>
                  <w:tcBorders>
                    <w:tl2br w:val="nil"/>
                    <w:tr2bl w:val="nil"/>
                  </w:tcBorders>
                  <w:vAlign w:val="center"/>
                </w:tcPr>
                <w:p w14:paraId="28315298">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w:t>
                  </w:r>
                </w:p>
              </w:tc>
              <w:tc>
                <w:tcPr>
                  <w:tcW w:w="404" w:type="pct"/>
                  <w:tcBorders>
                    <w:tl2br w:val="nil"/>
                    <w:tr2bl w:val="nil"/>
                  </w:tcBorders>
                  <w:vAlign w:val="center"/>
                </w:tcPr>
                <w:p w14:paraId="2F519CE0">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7B70D4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20CE3AAC">
                  <w:pPr>
                    <w:keepNext w:val="0"/>
                    <w:keepLines w:val="0"/>
                    <w:pageBreakBefore w:val="0"/>
                    <w:widowControl/>
                    <w:numPr>
                      <w:ilvl w:val="0"/>
                      <w:numId w:val="12"/>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3DB26304">
                  <w:pPr>
                    <w:keepNext w:val="0"/>
                    <w:keepLines w:val="0"/>
                    <w:pageBreakBefore w:val="0"/>
                    <w:kinsoku/>
                    <w:wordWrap/>
                    <w:overflowPunct/>
                    <w:topLinePunct w:val="0"/>
                    <w:autoSpaceDE/>
                    <w:autoSpaceDN/>
                    <w:bidi w:val="0"/>
                    <w:snapToGrid w:val="0"/>
                    <w:spacing w:line="240" w:lineRule="auto"/>
                    <w:jc w:val="center"/>
                    <w:rPr>
                      <w:rFonts w:hint="default" w:ascii="Times New Roman" w:hAnsi="Times New Roman" w:cs="Times New Roman"/>
                      <w:color w:val="auto"/>
                      <w:kern w:val="0"/>
                      <w:szCs w:val="21"/>
                      <w:lang w:bidi="ar"/>
                    </w:rPr>
                  </w:pPr>
                  <w:r>
                    <w:rPr>
                      <w:rFonts w:hint="default" w:ascii="Times New Roman" w:hAnsi="Times New Roman" w:cs="Times New Roman"/>
                      <w:bCs/>
                      <w:color w:val="auto"/>
                      <w:spacing w:val="-20"/>
                      <w:szCs w:val="21"/>
                    </w:rPr>
                    <w:t>磷化清液池</w:t>
                  </w:r>
                </w:p>
              </w:tc>
              <w:tc>
                <w:tcPr>
                  <w:tcW w:w="1671" w:type="pct"/>
                  <w:tcBorders>
                    <w:tl2br w:val="nil"/>
                    <w:tr2bl w:val="nil"/>
                  </w:tcBorders>
                  <w:vAlign w:val="center"/>
                </w:tcPr>
                <w:p w14:paraId="44E53C27">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30m</w:t>
                  </w:r>
                  <w:r>
                    <w:rPr>
                      <w:rFonts w:hint="default" w:ascii="Times New Roman" w:hAnsi="Times New Roman" w:cs="Times New Roman"/>
                      <w:color w:val="auto"/>
                      <w:kern w:val="0"/>
                      <w:szCs w:val="21"/>
                      <w:vertAlign w:val="superscript"/>
                      <w:lang w:bidi="ar"/>
                    </w:rPr>
                    <w:t>3</w:t>
                  </w:r>
                </w:p>
              </w:tc>
              <w:tc>
                <w:tcPr>
                  <w:tcW w:w="645" w:type="pct"/>
                  <w:tcBorders>
                    <w:tl2br w:val="nil"/>
                    <w:tr2bl w:val="nil"/>
                  </w:tcBorders>
                  <w:vAlign w:val="center"/>
                </w:tcPr>
                <w:p w14:paraId="29CE5582">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w:t>
                  </w:r>
                </w:p>
              </w:tc>
              <w:tc>
                <w:tcPr>
                  <w:tcW w:w="404" w:type="pct"/>
                  <w:tcBorders>
                    <w:tl2br w:val="nil"/>
                    <w:tr2bl w:val="nil"/>
                  </w:tcBorders>
                  <w:vAlign w:val="center"/>
                </w:tcPr>
                <w:p w14:paraId="39F9483D">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r w14:paraId="0B0147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40" w:type="pct"/>
                  <w:tcBorders>
                    <w:tl2br w:val="nil"/>
                    <w:tr2bl w:val="nil"/>
                  </w:tcBorders>
                  <w:vAlign w:val="center"/>
                </w:tcPr>
                <w:p w14:paraId="0BC25B5B">
                  <w:pPr>
                    <w:keepNext w:val="0"/>
                    <w:keepLines w:val="0"/>
                    <w:pageBreakBefore w:val="0"/>
                    <w:widowControl/>
                    <w:numPr>
                      <w:ilvl w:val="0"/>
                      <w:numId w:val="12"/>
                    </w:numPr>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c>
                <w:tcPr>
                  <w:tcW w:w="1739" w:type="pct"/>
                  <w:tcBorders>
                    <w:tl2br w:val="nil"/>
                    <w:tr2bl w:val="nil"/>
                  </w:tcBorders>
                  <w:vAlign w:val="center"/>
                </w:tcPr>
                <w:p w14:paraId="02EA2120">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过跨电动平板车</w:t>
                  </w:r>
                </w:p>
              </w:tc>
              <w:tc>
                <w:tcPr>
                  <w:tcW w:w="1671" w:type="pct"/>
                  <w:tcBorders>
                    <w:tl2br w:val="nil"/>
                    <w:tr2bl w:val="nil"/>
                  </w:tcBorders>
                  <w:vAlign w:val="center"/>
                </w:tcPr>
                <w:p w14:paraId="170C6E8E">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w:t>
                  </w:r>
                </w:p>
              </w:tc>
              <w:tc>
                <w:tcPr>
                  <w:tcW w:w="645" w:type="pct"/>
                  <w:tcBorders>
                    <w:tl2br w:val="nil"/>
                    <w:tr2bl w:val="nil"/>
                  </w:tcBorders>
                  <w:vAlign w:val="center"/>
                </w:tcPr>
                <w:p w14:paraId="79020107">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2</w:t>
                  </w:r>
                </w:p>
              </w:tc>
              <w:tc>
                <w:tcPr>
                  <w:tcW w:w="404" w:type="pct"/>
                  <w:tcBorders>
                    <w:tl2br w:val="nil"/>
                    <w:tr2bl w:val="nil"/>
                  </w:tcBorders>
                  <w:vAlign w:val="center"/>
                </w:tcPr>
                <w:p w14:paraId="1EF074A7">
                  <w:pPr>
                    <w:keepNext w:val="0"/>
                    <w:keepLines w:val="0"/>
                    <w:pageBreakBefore w:val="0"/>
                    <w:widowControl/>
                    <w:kinsoku/>
                    <w:wordWrap/>
                    <w:overflowPunct/>
                    <w:topLinePunct w:val="0"/>
                    <w:autoSpaceDE/>
                    <w:autoSpaceDN/>
                    <w:bidi w:val="0"/>
                    <w:snapToGrid w:val="0"/>
                    <w:spacing w:line="240" w:lineRule="auto"/>
                    <w:jc w:val="center"/>
                    <w:textAlignment w:val="center"/>
                    <w:rPr>
                      <w:rFonts w:hint="default" w:ascii="Times New Roman" w:hAnsi="Times New Roman" w:cs="Times New Roman"/>
                      <w:color w:val="auto"/>
                      <w:kern w:val="0"/>
                      <w:szCs w:val="21"/>
                      <w:lang w:bidi="ar"/>
                    </w:rPr>
                  </w:pPr>
                </w:p>
              </w:tc>
            </w:tr>
          </w:tbl>
          <w:p w14:paraId="51A4F9F2">
            <w:pPr>
              <w:pStyle w:val="5"/>
              <w:keepNext w:val="0"/>
              <w:keepLines w:val="0"/>
              <w:pageBreakBefore w:val="0"/>
              <w:widowControl w:val="0"/>
              <w:kinsoku/>
              <w:wordWrap/>
              <w:overflowPunct/>
              <w:topLinePunct w:val="0"/>
              <w:autoSpaceDE/>
              <w:autoSpaceDN/>
              <w:bidi w:val="0"/>
              <w:adjustRightInd w:val="0"/>
              <w:snapToGrid w:val="0"/>
              <w:spacing w:before="115" w:beforeLines="30" w:after="115" w:afterLines="30" w:afterAutospacing="0" w:line="240" w:lineRule="auto"/>
              <w:jc w:val="center"/>
              <w:textAlignment w:val="auto"/>
              <w:rPr>
                <w:rFonts w:hint="default" w:ascii="Times New Roman" w:hAnsi="Times New Roman" w:cs="Times New Roman"/>
                <w:snapToGrid/>
                <w:color w:val="auto"/>
                <w:sz w:val="24"/>
                <w:szCs w:val="24"/>
              </w:rPr>
            </w:pPr>
            <w:r>
              <w:rPr>
                <w:rFonts w:hint="default" w:ascii="Times New Roman" w:hAnsi="Times New Roman" w:cs="Times New Roman"/>
                <w:snapToGrid/>
                <w:color w:val="auto"/>
                <w:sz w:val="24"/>
                <w:szCs w:val="24"/>
              </w:rPr>
              <w:t xml:space="preserve">表2.2-10 </w:t>
            </w:r>
            <w:r>
              <w:rPr>
                <w:rFonts w:hint="eastAsia" w:ascii="Times New Roman" w:hAnsi="Times New Roman" w:cs="Times New Roman"/>
                <w:snapToGrid/>
                <w:color w:val="auto"/>
                <w:sz w:val="24"/>
                <w:szCs w:val="24"/>
                <w:lang w:val="en-US" w:eastAsia="zh-CN"/>
              </w:rPr>
              <w:t xml:space="preserve"> </w:t>
            </w:r>
            <w:r>
              <w:rPr>
                <w:rFonts w:hint="default" w:ascii="Times New Roman" w:hAnsi="Times New Roman" w:cs="Times New Roman"/>
                <w:snapToGrid/>
                <w:color w:val="auto"/>
                <w:sz w:val="24"/>
                <w:szCs w:val="24"/>
              </w:rPr>
              <w:t>全密闭表面处理生产线设备</w:t>
            </w:r>
          </w:p>
          <w:tbl>
            <w:tblPr>
              <w:tblStyle w:val="34"/>
              <w:tblW w:w="865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58"/>
              <w:gridCol w:w="1776"/>
              <w:gridCol w:w="1198"/>
              <w:gridCol w:w="825"/>
              <w:gridCol w:w="994"/>
              <w:gridCol w:w="2799"/>
            </w:tblGrid>
            <w:tr w14:paraId="085828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11" w:type="pct"/>
                  <w:tcBorders>
                    <w:tl2br w:val="nil"/>
                    <w:tr2bl w:val="nil"/>
                  </w:tcBorders>
                  <w:shd w:val="clear" w:color="auto" w:fill="auto"/>
                  <w:vAlign w:val="center"/>
                </w:tcPr>
                <w:p w14:paraId="0A11AA8D">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工艺名称</w:t>
                  </w:r>
                </w:p>
              </w:tc>
              <w:tc>
                <w:tcPr>
                  <w:tcW w:w="1026" w:type="pct"/>
                  <w:tcBorders>
                    <w:tl2br w:val="nil"/>
                    <w:tr2bl w:val="nil"/>
                  </w:tcBorders>
                  <w:shd w:val="clear" w:color="auto" w:fill="auto"/>
                  <w:vAlign w:val="center"/>
                </w:tcPr>
                <w:p w14:paraId="7902933F">
                  <w:pPr>
                    <w:widowControl/>
                    <w:spacing w:line="300" w:lineRule="exact"/>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槽体尺寸</w:t>
                  </w:r>
                </w:p>
                <w:p w14:paraId="5CBE3767">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（长×宽×高）</w:t>
                  </w:r>
                </w:p>
              </w:tc>
              <w:tc>
                <w:tcPr>
                  <w:tcW w:w="692" w:type="pct"/>
                  <w:tcBorders>
                    <w:tl2br w:val="nil"/>
                    <w:tr2bl w:val="nil"/>
                  </w:tcBorders>
                  <w:shd w:val="clear" w:color="auto" w:fill="auto"/>
                  <w:vAlign w:val="center"/>
                </w:tcPr>
                <w:p w14:paraId="00CD6479">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药剂名称</w:t>
                  </w:r>
                </w:p>
              </w:tc>
              <w:tc>
                <w:tcPr>
                  <w:tcW w:w="476" w:type="pct"/>
                  <w:tcBorders>
                    <w:tl2br w:val="nil"/>
                    <w:tr2bl w:val="nil"/>
                  </w:tcBorders>
                  <w:shd w:val="clear" w:color="auto" w:fill="auto"/>
                  <w:vAlign w:val="center"/>
                </w:tcPr>
                <w:p w14:paraId="6699D50A">
                  <w:pPr>
                    <w:widowControl/>
                    <w:spacing w:line="300" w:lineRule="exact"/>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工艺</w:t>
                  </w:r>
                </w:p>
                <w:p w14:paraId="702D07C1">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时间</w:t>
                  </w:r>
                </w:p>
              </w:tc>
              <w:tc>
                <w:tcPr>
                  <w:tcW w:w="574" w:type="pct"/>
                  <w:tcBorders>
                    <w:tl2br w:val="nil"/>
                    <w:tr2bl w:val="nil"/>
                  </w:tcBorders>
                  <w:shd w:val="clear" w:color="auto" w:fill="auto"/>
                  <w:vAlign w:val="center"/>
                </w:tcPr>
                <w:p w14:paraId="7F2EC4BD">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温度℃</w:t>
                  </w:r>
                </w:p>
              </w:tc>
              <w:tc>
                <w:tcPr>
                  <w:tcW w:w="1617" w:type="pct"/>
                  <w:tcBorders>
                    <w:tl2br w:val="nil"/>
                    <w:tr2bl w:val="nil"/>
                  </w:tcBorders>
                  <w:shd w:val="clear" w:color="auto" w:fill="auto"/>
                  <w:vAlign w:val="center"/>
                </w:tcPr>
                <w:p w14:paraId="7A1E9302">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槽液更换周期</w:t>
                  </w:r>
                </w:p>
              </w:tc>
            </w:tr>
            <w:tr w14:paraId="1E305A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11" w:type="pct"/>
                  <w:tcBorders>
                    <w:tl2br w:val="nil"/>
                    <w:tr2bl w:val="nil"/>
                  </w:tcBorders>
                  <w:shd w:val="clear" w:color="auto" w:fill="auto"/>
                  <w:vAlign w:val="center"/>
                </w:tcPr>
                <w:p w14:paraId="7E124ADF">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水密封槽</w:t>
                  </w:r>
                </w:p>
              </w:tc>
              <w:tc>
                <w:tcPr>
                  <w:tcW w:w="1026" w:type="pct"/>
                  <w:tcBorders>
                    <w:tl2br w:val="nil"/>
                    <w:tr2bl w:val="nil"/>
                  </w:tcBorders>
                  <w:shd w:val="clear" w:color="auto" w:fill="auto"/>
                  <w:vAlign w:val="center"/>
                </w:tcPr>
                <w:p w14:paraId="37B4C7C4">
                  <w:pPr>
                    <w:widowControl/>
                    <w:spacing w:line="300" w:lineRule="exact"/>
                    <w:jc w:val="center"/>
                    <w:textAlignment w:val="center"/>
                    <w:rPr>
                      <w:rFonts w:hint="default" w:ascii="Times New Roman" w:hAnsi="Times New Roman" w:cs="Times New Roman"/>
                      <w:color w:val="auto"/>
                      <w:sz w:val="21"/>
                      <w:szCs w:val="21"/>
                    </w:rPr>
                  </w:pPr>
                </w:p>
              </w:tc>
              <w:tc>
                <w:tcPr>
                  <w:tcW w:w="692" w:type="pct"/>
                  <w:tcBorders>
                    <w:tl2br w:val="nil"/>
                    <w:tr2bl w:val="nil"/>
                  </w:tcBorders>
                  <w:shd w:val="clear" w:color="auto" w:fill="auto"/>
                  <w:vAlign w:val="center"/>
                </w:tcPr>
                <w:p w14:paraId="7144D7B7">
                  <w:pPr>
                    <w:widowControl/>
                    <w:spacing w:line="300" w:lineRule="exact"/>
                    <w:jc w:val="center"/>
                    <w:rPr>
                      <w:rFonts w:hint="default" w:ascii="Times New Roman" w:hAnsi="Times New Roman" w:cs="Times New Roman"/>
                      <w:color w:val="auto"/>
                      <w:sz w:val="21"/>
                      <w:szCs w:val="21"/>
                    </w:rPr>
                  </w:pPr>
                </w:p>
              </w:tc>
              <w:tc>
                <w:tcPr>
                  <w:tcW w:w="476" w:type="pct"/>
                  <w:tcBorders>
                    <w:tl2br w:val="nil"/>
                    <w:tr2bl w:val="nil"/>
                  </w:tcBorders>
                  <w:shd w:val="clear" w:color="auto" w:fill="auto"/>
                  <w:vAlign w:val="center"/>
                </w:tcPr>
                <w:p w14:paraId="2823FBFE">
                  <w:pPr>
                    <w:widowControl/>
                    <w:spacing w:line="300" w:lineRule="exact"/>
                    <w:jc w:val="center"/>
                    <w:textAlignment w:val="center"/>
                    <w:rPr>
                      <w:rFonts w:hint="default" w:ascii="Times New Roman" w:hAnsi="Times New Roman" w:cs="Times New Roman"/>
                      <w:color w:val="auto"/>
                      <w:sz w:val="21"/>
                      <w:szCs w:val="21"/>
                    </w:rPr>
                  </w:pPr>
                </w:p>
              </w:tc>
              <w:tc>
                <w:tcPr>
                  <w:tcW w:w="574" w:type="pct"/>
                  <w:tcBorders>
                    <w:tl2br w:val="nil"/>
                    <w:tr2bl w:val="nil"/>
                  </w:tcBorders>
                  <w:shd w:val="clear" w:color="auto" w:fill="auto"/>
                  <w:vAlign w:val="center"/>
                </w:tcPr>
                <w:p w14:paraId="03B38185">
                  <w:pPr>
                    <w:widowControl/>
                    <w:spacing w:line="300" w:lineRule="exact"/>
                    <w:jc w:val="center"/>
                    <w:textAlignment w:val="center"/>
                    <w:rPr>
                      <w:rFonts w:hint="default" w:ascii="Times New Roman" w:hAnsi="Times New Roman" w:cs="Times New Roman"/>
                      <w:color w:val="auto"/>
                      <w:sz w:val="21"/>
                      <w:szCs w:val="21"/>
                    </w:rPr>
                  </w:pPr>
                </w:p>
              </w:tc>
              <w:tc>
                <w:tcPr>
                  <w:tcW w:w="1617" w:type="pct"/>
                  <w:tcBorders>
                    <w:tl2br w:val="nil"/>
                    <w:tr2bl w:val="nil"/>
                  </w:tcBorders>
                  <w:shd w:val="clear" w:color="auto" w:fill="auto"/>
                  <w:vAlign w:val="center"/>
                </w:tcPr>
                <w:p w14:paraId="3AC6B5A0">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溢流排放</w:t>
                  </w:r>
                </w:p>
              </w:tc>
            </w:tr>
            <w:tr w14:paraId="769104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11" w:type="pct"/>
                  <w:tcBorders>
                    <w:tl2br w:val="nil"/>
                    <w:tr2bl w:val="nil"/>
                  </w:tcBorders>
                  <w:shd w:val="clear" w:color="auto" w:fill="auto"/>
                  <w:vAlign w:val="center"/>
                </w:tcPr>
                <w:p w14:paraId="43880A90">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酸洗槽1</w:t>
                  </w:r>
                </w:p>
              </w:tc>
              <w:tc>
                <w:tcPr>
                  <w:tcW w:w="1026" w:type="pct"/>
                  <w:tcBorders>
                    <w:tl2br w:val="nil"/>
                    <w:tr2bl w:val="nil"/>
                  </w:tcBorders>
                  <w:shd w:val="clear" w:color="auto" w:fill="auto"/>
                  <w:vAlign w:val="center"/>
                </w:tcPr>
                <w:p w14:paraId="0A956A43">
                  <w:pPr>
                    <w:widowControl/>
                    <w:spacing w:line="300" w:lineRule="exact"/>
                    <w:jc w:val="center"/>
                    <w:textAlignment w:val="center"/>
                    <w:rPr>
                      <w:rFonts w:hint="default" w:ascii="Times New Roman" w:hAnsi="Times New Roman" w:cs="Times New Roman"/>
                      <w:color w:val="auto"/>
                      <w:sz w:val="21"/>
                      <w:szCs w:val="21"/>
                    </w:rPr>
                  </w:pPr>
                </w:p>
              </w:tc>
              <w:tc>
                <w:tcPr>
                  <w:tcW w:w="692" w:type="pct"/>
                  <w:tcBorders>
                    <w:tl2br w:val="nil"/>
                    <w:tr2bl w:val="nil"/>
                  </w:tcBorders>
                  <w:shd w:val="clear" w:color="auto" w:fill="auto"/>
                  <w:vAlign w:val="center"/>
                </w:tcPr>
                <w:p w14:paraId="522C95B7">
                  <w:pPr>
                    <w:widowControl/>
                    <w:spacing w:line="300" w:lineRule="exact"/>
                    <w:jc w:val="center"/>
                    <w:textAlignment w:val="top"/>
                    <w:rPr>
                      <w:rFonts w:hint="default" w:ascii="Times New Roman" w:hAnsi="Times New Roman" w:cs="Times New Roman"/>
                      <w:color w:val="auto"/>
                      <w:sz w:val="21"/>
                      <w:szCs w:val="21"/>
                    </w:rPr>
                  </w:pPr>
                </w:p>
              </w:tc>
              <w:tc>
                <w:tcPr>
                  <w:tcW w:w="476" w:type="pct"/>
                  <w:tcBorders>
                    <w:tl2br w:val="nil"/>
                    <w:tr2bl w:val="nil"/>
                  </w:tcBorders>
                  <w:shd w:val="clear" w:color="auto" w:fill="auto"/>
                  <w:noWrap/>
                  <w:vAlign w:val="center"/>
                </w:tcPr>
                <w:p w14:paraId="578DBA57">
                  <w:pPr>
                    <w:widowControl/>
                    <w:spacing w:line="300" w:lineRule="exact"/>
                    <w:jc w:val="center"/>
                    <w:textAlignment w:val="center"/>
                    <w:rPr>
                      <w:rFonts w:hint="default" w:ascii="Times New Roman" w:hAnsi="Times New Roman" w:cs="Times New Roman"/>
                      <w:color w:val="auto"/>
                      <w:sz w:val="21"/>
                      <w:szCs w:val="21"/>
                    </w:rPr>
                  </w:pPr>
                </w:p>
              </w:tc>
              <w:tc>
                <w:tcPr>
                  <w:tcW w:w="574" w:type="pct"/>
                  <w:tcBorders>
                    <w:tl2br w:val="nil"/>
                    <w:tr2bl w:val="nil"/>
                  </w:tcBorders>
                  <w:shd w:val="clear" w:color="auto" w:fill="auto"/>
                  <w:vAlign w:val="center"/>
                </w:tcPr>
                <w:p w14:paraId="21F79B38">
                  <w:pPr>
                    <w:widowControl/>
                    <w:spacing w:line="300" w:lineRule="exact"/>
                    <w:jc w:val="center"/>
                    <w:textAlignment w:val="top"/>
                    <w:rPr>
                      <w:rFonts w:hint="default" w:ascii="Times New Roman" w:hAnsi="Times New Roman" w:cs="Times New Roman"/>
                      <w:color w:val="auto"/>
                      <w:sz w:val="21"/>
                      <w:szCs w:val="21"/>
                    </w:rPr>
                  </w:pPr>
                </w:p>
              </w:tc>
              <w:tc>
                <w:tcPr>
                  <w:tcW w:w="1617" w:type="pct"/>
                  <w:vMerge w:val="restart"/>
                  <w:tcBorders>
                    <w:tl2br w:val="nil"/>
                    <w:tr2bl w:val="nil"/>
                  </w:tcBorders>
                  <w:shd w:val="clear" w:color="auto" w:fill="auto"/>
                  <w:vAlign w:val="center"/>
                </w:tcPr>
                <w:p w14:paraId="4EE21953">
                  <w:pPr>
                    <w:widowControl/>
                    <w:spacing w:line="300" w:lineRule="exact"/>
                    <w:jc w:val="both"/>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低位废酸罐浓度低于5%-8%，亚铁低于220g/L，进入废酸池，排入厂区污水处理站</w:t>
                  </w:r>
                </w:p>
              </w:tc>
            </w:tr>
            <w:tr w14:paraId="566172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11" w:type="pct"/>
                  <w:tcBorders>
                    <w:tl2br w:val="nil"/>
                    <w:tr2bl w:val="nil"/>
                  </w:tcBorders>
                  <w:shd w:val="clear" w:color="auto" w:fill="auto"/>
                  <w:vAlign w:val="center"/>
                </w:tcPr>
                <w:p w14:paraId="3DA84FCB">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酸洗槽2</w:t>
                  </w:r>
                </w:p>
              </w:tc>
              <w:tc>
                <w:tcPr>
                  <w:tcW w:w="1026" w:type="pct"/>
                  <w:tcBorders>
                    <w:tl2br w:val="nil"/>
                    <w:tr2bl w:val="nil"/>
                  </w:tcBorders>
                  <w:shd w:val="clear" w:color="auto" w:fill="auto"/>
                  <w:vAlign w:val="center"/>
                </w:tcPr>
                <w:p w14:paraId="48A41DCC">
                  <w:pPr>
                    <w:widowControl/>
                    <w:spacing w:line="300" w:lineRule="exact"/>
                    <w:jc w:val="center"/>
                    <w:textAlignment w:val="center"/>
                    <w:rPr>
                      <w:rFonts w:hint="default" w:ascii="Times New Roman" w:hAnsi="Times New Roman" w:cs="Times New Roman"/>
                      <w:color w:val="auto"/>
                      <w:sz w:val="21"/>
                      <w:szCs w:val="21"/>
                    </w:rPr>
                  </w:pPr>
                </w:p>
              </w:tc>
              <w:tc>
                <w:tcPr>
                  <w:tcW w:w="692" w:type="pct"/>
                  <w:tcBorders>
                    <w:tl2br w:val="nil"/>
                    <w:tr2bl w:val="nil"/>
                  </w:tcBorders>
                  <w:shd w:val="clear" w:color="auto" w:fill="auto"/>
                  <w:vAlign w:val="center"/>
                </w:tcPr>
                <w:p w14:paraId="12881C70">
                  <w:pPr>
                    <w:widowControl/>
                    <w:spacing w:line="300" w:lineRule="exact"/>
                    <w:jc w:val="center"/>
                    <w:textAlignment w:val="top"/>
                    <w:rPr>
                      <w:rFonts w:hint="default" w:ascii="Times New Roman" w:hAnsi="Times New Roman" w:cs="Times New Roman"/>
                      <w:color w:val="auto"/>
                      <w:sz w:val="21"/>
                      <w:szCs w:val="21"/>
                    </w:rPr>
                  </w:pPr>
                </w:p>
              </w:tc>
              <w:tc>
                <w:tcPr>
                  <w:tcW w:w="476" w:type="pct"/>
                  <w:tcBorders>
                    <w:tl2br w:val="nil"/>
                    <w:tr2bl w:val="nil"/>
                  </w:tcBorders>
                  <w:shd w:val="clear" w:color="auto" w:fill="auto"/>
                  <w:noWrap/>
                  <w:vAlign w:val="center"/>
                </w:tcPr>
                <w:p w14:paraId="1FCF5C52">
                  <w:pPr>
                    <w:widowControl/>
                    <w:spacing w:line="300" w:lineRule="exact"/>
                    <w:jc w:val="center"/>
                    <w:textAlignment w:val="center"/>
                    <w:rPr>
                      <w:rFonts w:hint="default" w:ascii="Times New Roman" w:hAnsi="Times New Roman" w:cs="Times New Roman"/>
                      <w:color w:val="auto"/>
                      <w:sz w:val="21"/>
                      <w:szCs w:val="21"/>
                    </w:rPr>
                  </w:pPr>
                </w:p>
              </w:tc>
              <w:tc>
                <w:tcPr>
                  <w:tcW w:w="574" w:type="pct"/>
                  <w:tcBorders>
                    <w:tl2br w:val="nil"/>
                    <w:tr2bl w:val="nil"/>
                  </w:tcBorders>
                  <w:shd w:val="clear" w:color="auto" w:fill="auto"/>
                  <w:vAlign w:val="center"/>
                </w:tcPr>
                <w:p w14:paraId="3D1AB1E4">
                  <w:pPr>
                    <w:widowControl/>
                    <w:spacing w:line="300" w:lineRule="exact"/>
                    <w:jc w:val="center"/>
                    <w:textAlignment w:val="top"/>
                    <w:rPr>
                      <w:rFonts w:hint="default" w:ascii="Times New Roman" w:hAnsi="Times New Roman" w:cs="Times New Roman"/>
                      <w:color w:val="auto"/>
                      <w:sz w:val="21"/>
                      <w:szCs w:val="21"/>
                    </w:rPr>
                  </w:pPr>
                </w:p>
              </w:tc>
              <w:tc>
                <w:tcPr>
                  <w:tcW w:w="1617" w:type="pct"/>
                  <w:vMerge w:val="continue"/>
                  <w:tcBorders>
                    <w:tl2br w:val="nil"/>
                    <w:tr2bl w:val="nil"/>
                  </w:tcBorders>
                  <w:shd w:val="clear" w:color="auto" w:fill="auto"/>
                  <w:vAlign w:val="center"/>
                </w:tcPr>
                <w:p w14:paraId="08A131F2">
                  <w:pPr>
                    <w:widowControl/>
                    <w:spacing w:line="300" w:lineRule="exact"/>
                    <w:jc w:val="both"/>
                    <w:rPr>
                      <w:rFonts w:hint="default" w:ascii="Times New Roman" w:hAnsi="Times New Roman" w:cs="Times New Roman"/>
                      <w:color w:val="auto"/>
                      <w:sz w:val="21"/>
                      <w:szCs w:val="21"/>
                    </w:rPr>
                  </w:pPr>
                </w:p>
              </w:tc>
            </w:tr>
            <w:tr w14:paraId="2313BB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11" w:type="pct"/>
                  <w:tcBorders>
                    <w:tl2br w:val="nil"/>
                    <w:tr2bl w:val="nil"/>
                  </w:tcBorders>
                  <w:shd w:val="clear" w:color="auto" w:fill="auto"/>
                  <w:vAlign w:val="center"/>
                </w:tcPr>
                <w:p w14:paraId="05681B86">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酸洗槽3</w:t>
                  </w:r>
                </w:p>
              </w:tc>
              <w:tc>
                <w:tcPr>
                  <w:tcW w:w="1026" w:type="pct"/>
                  <w:tcBorders>
                    <w:tl2br w:val="nil"/>
                    <w:tr2bl w:val="nil"/>
                  </w:tcBorders>
                  <w:shd w:val="clear" w:color="auto" w:fill="auto"/>
                  <w:vAlign w:val="center"/>
                </w:tcPr>
                <w:p w14:paraId="45B68C01">
                  <w:pPr>
                    <w:widowControl/>
                    <w:spacing w:line="300" w:lineRule="exact"/>
                    <w:jc w:val="center"/>
                    <w:textAlignment w:val="center"/>
                    <w:rPr>
                      <w:rFonts w:hint="default" w:ascii="Times New Roman" w:hAnsi="Times New Roman" w:cs="Times New Roman"/>
                      <w:color w:val="auto"/>
                      <w:sz w:val="21"/>
                      <w:szCs w:val="21"/>
                    </w:rPr>
                  </w:pPr>
                </w:p>
              </w:tc>
              <w:tc>
                <w:tcPr>
                  <w:tcW w:w="692" w:type="pct"/>
                  <w:tcBorders>
                    <w:tl2br w:val="nil"/>
                    <w:tr2bl w:val="nil"/>
                  </w:tcBorders>
                  <w:shd w:val="clear" w:color="auto" w:fill="auto"/>
                  <w:vAlign w:val="center"/>
                </w:tcPr>
                <w:p w14:paraId="7C969220">
                  <w:pPr>
                    <w:widowControl/>
                    <w:spacing w:line="300" w:lineRule="exact"/>
                    <w:jc w:val="center"/>
                    <w:textAlignment w:val="top"/>
                    <w:rPr>
                      <w:rFonts w:hint="default" w:ascii="Times New Roman" w:hAnsi="Times New Roman" w:cs="Times New Roman"/>
                      <w:color w:val="auto"/>
                      <w:sz w:val="21"/>
                      <w:szCs w:val="21"/>
                    </w:rPr>
                  </w:pPr>
                </w:p>
              </w:tc>
              <w:tc>
                <w:tcPr>
                  <w:tcW w:w="476" w:type="pct"/>
                  <w:tcBorders>
                    <w:tl2br w:val="nil"/>
                    <w:tr2bl w:val="nil"/>
                  </w:tcBorders>
                  <w:shd w:val="clear" w:color="auto" w:fill="auto"/>
                  <w:noWrap/>
                  <w:vAlign w:val="center"/>
                </w:tcPr>
                <w:p w14:paraId="4BCC2180">
                  <w:pPr>
                    <w:widowControl/>
                    <w:spacing w:line="300" w:lineRule="exact"/>
                    <w:jc w:val="center"/>
                    <w:textAlignment w:val="center"/>
                    <w:rPr>
                      <w:rFonts w:hint="default" w:ascii="Times New Roman" w:hAnsi="Times New Roman" w:cs="Times New Roman"/>
                      <w:color w:val="auto"/>
                      <w:sz w:val="21"/>
                      <w:szCs w:val="21"/>
                    </w:rPr>
                  </w:pPr>
                </w:p>
              </w:tc>
              <w:tc>
                <w:tcPr>
                  <w:tcW w:w="574" w:type="pct"/>
                  <w:tcBorders>
                    <w:tl2br w:val="nil"/>
                    <w:tr2bl w:val="nil"/>
                  </w:tcBorders>
                  <w:shd w:val="clear" w:color="auto" w:fill="auto"/>
                  <w:vAlign w:val="center"/>
                </w:tcPr>
                <w:p w14:paraId="2A3DB542">
                  <w:pPr>
                    <w:widowControl/>
                    <w:spacing w:line="300" w:lineRule="exact"/>
                    <w:jc w:val="center"/>
                    <w:textAlignment w:val="top"/>
                    <w:rPr>
                      <w:rFonts w:hint="default" w:ascii="Times New Roman" w:hAnsi="Times New Roman" w:cs="Times New Roman"/>
                      <w:color w:val="auto"/>
                      <w:sz w:val="21"/>
                      <w:szCs w:val="21"/>
                    </w:rPr>
                  </w:pPr>
                </w:p>
              </w:tc>
              <w:tc>
                <w:tcPr>
                  <w:tcW w:w="1617" w:type="pct"/>
                  <w:vMerge w:val="continue"/>
                  <w:tcBorders>
                    <w:tl2br w:val="nil"/>
                    <w:tr2bl w:val="nil"/>
                  </w:tcBorders>
                  <w:shd w:val="clear" w:color="auto" w:fill="auto"/>
                  <w:vAlign w:val="center"/>
                </w:tcPr>
                <w:p w14:paraId="4D84F615">
                  <w:pPr>
                    <w:widowControl/>
                    <w:spacing w:line="300" w:lineRule="exact"/>
                    <w:jc w:val="both"/>
                    <w:rPr>
                      <w:rFonts w:hint="default" w:ascii="Times New Roman" w:hAnsi="Times New Roman" w:cs="Times New Roman"/>
                      <w:color w:val="auto"/>
                      <w:sz w:val="21"/>
                      <w:szCs w:val="21"/>
                    </w:rPr>
                  </w:pPr>
                </w:p>
              </w:tc>
            </w:tr>
            <w:tr w14:paraId="1554FF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11" w:type="pct"/>
                  <w:tcBorders>
                    <w:tl2br w:val="nil"/>
                    <w:tr2bl w:val="nil"/>
                  </w:tcBorders>
                  <w:shd w:val="clear" w:color="auto" w:fill="auto"/>
                  <w:vAlign w:val="center"/>
                </w:tcPr>
                <w:p w14:paraId="4525BA55">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酸洗槽4</w:t>
                  </w:r>
                </w:p>
              </w:tc>
              <w:tc>
                <w:tcPr>
                  <w:tcW w:w="1026" w:type="pct"/>
                  <w:tcBorders>
                    <w:tl2br w:val="nil"/>
                    <w:tr2bl w:val="nil"/>
                  </w:tcBorders>
                  <w:shd w:val="clear" w:color="auto" w:fill="auto"/>
                  <w:vAlign w:val="center"/>
                </w:tcPr>
                <w:p w14:paraId="6EDEEF09">
                  <w:pPr>
                    <w:widowControl/>
                    <w:spacing w:line="300" w:lineRule="exact"/>
                    <w:jc w:val="center"/>
                    <w:textAlignment w:val="center"/>
                    <w:rPr>
                      <w:rFonts w:hint="default" w:ascii="Times New Roman" w:hAnsi="Times New Roman" w:cs="Times New Roman"/>
                      <w:color w:val="auto"/>
                      <w:sz w:val="21"/>
                      <w:szCs w:val="21"/>
                    </w:rPr>
                  </w:pPr>
                </w:p>
              </w:tc>
              <w:tc>
                <w:tcPr>
                  <w:tcW w:w="692" w:type="pct"/>
                  <w:tcBorders>
                    <w:tl2br w:val="nil"/>
                    <w:tr2bl w:val="nil"/>
                  </w:tcBorders>
                  <w:shd w:val="clear" w:color="auto" w:fill="auto"/>
                  <w:vAlign w:val="center"/>
                </w:tcPr>
                <w:p w14:paraId="6D935502">
                  <w:pPr>
                    <w:widowControl/>
                    <w:spacing w:line="300" w:lineRule="exact"/>
                    <w:jc w:val="center"/>
                    <w:textAlignment w:val="top"/>
                    <w:rPr>
                      <w:rFonts w:hint="default" w:ascii="Times New Roman" w:hAnsi="Times New Roman" w:cs="Times New Roman"/>
                      <w:color w:val="auto"/>
                      <w:sz w:val="21"/>
                      <w:szCs w:val="21"/>
                    </w:rPr>
                  </w:pPr>
                </w:p>
              </w:tc>
              <w:tc>
                <w:tcPr>
                  <w:tcW w:w="476" w:type="pct"/>
                  <w:tcBorders>
                    <w:tl2br w:val="nil"/>
                    <w:tr2bl w:val="nil"/>
                  </w:tcBorders>
                  <w:shd w:val="clear" w:color="auto" w:fill="auto"/>
                  <w:noWrap/>
                  <w:vAlign w:val="center"/>
                </w:tcPr>
                <w:p w14:paraId="1A6E4DB4">
                  <w:pPr>
                    <w:widowControl/>
                    <w:spacing w:line="300" w:lineRule="exact"/>
                    <w:jc w:val="center"/>
                    <w:textAlignment w:val="center"/>
                    <w:rPr>
                      <w:rFonts w:hint="default" w:ascii="Times New Roman" w:hAnsi="Times New Roman" w:cs="Times New Roman"/>
                      <w:color w:val="auto"/>
                      <w:sz w:val="21"/>
                      <w:szCs w:val="21"/>
                    </w:rPr>
                  </w:pPr>
                </w:p>
              </w:tc>
              <w:tc>
                <w:tcPr>
                  <w:tcW w:w="574" w:type="pct"/>
                  <w:tcBorders>
                    <w:tl2br w:val="nil"/>
                    <w:tr2bl w:val="nil"/>
                  </w:tcBorders>
                  <w:shd w:val="clear" w:color="auto" w:fill="auto"/>
                  <w:vAlign w:val="center"/>
                </w:tcPr>
                <w:p w14:paraId="35C7E903">
                  <w:pPr>
                    <w:widowControl/>
                    <w:spacing w:line="300" w:lineRule="exact"/>
                    <w:jc w:val="center"/>
                    <w:textAlignment w:val="top"/>
                    <w:rPr>
                      <w:rFonts w:hint="default" w:ascii="Times New Roman" w:hAnsi="Times New Roman" w:cs="Times New Roman"/>
                      <w:color w:val="auto"/>
                      <w:sz w:val="21"/>
                      <w:szCs w:val="21"/>
                    </w:rPr>
                  </w:pPr>
                </w:p>
              </w:tc>
              <w:tc>
                <w:tcPr>
                  <w:tcW w:w="1617" w:type="pct"/>
                  <w:vMerge w:val="continue"/>
                  <w:tcBorders>
                    <w:tl2br w:val="nil"/>
                    <w:tr2bl w:val="nil"/>
                  </w:tcBorders>
                  <w:shd w:val="clear" w:color="auto" w:fill="auto"/>
                  <w:vAlign w:val="center"/>
                </w:tcPr>
                <w:p w14:paraId="1EFD0C06">
                  <w:pPr>
                    <w:widowControl/>
                    <w:spacing w:line="300" w:lineRule="exact"/>
                    <w:jc w:val="both"/>
                    <w:rPr>
                      <w:rFonts w:hint="default" w:ascii="Times New Roman" w:hAnsi="Times New Roman" w:cs="Times New Roman"/>
                      <w:color w:val="auto"/>
                      <w:sz w:val="21"/>
                      <w:szCs w:val="21"/>
                    </w:rPr>
                  </w:pPr>
                </w:p>
              </w:tc>
            </w:tr>
            <w:tr w14:paraId="60A9E6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11" w:type="pct"/>
                  <w:tcBorders>
                    <w:tl2br w:val="nil"/>
                    <w:tr2bl w:val="nil"/>
                  </w:tcBorders>
                  <w:shd w:val="clear" w:color="auto" w:fill="auto"/>
                  <w:vAlign w:val="center"/>
                </w:tcPr>
                <w:p w14:paraId="07B2625A">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酸洗槽5</w:t>
                  </w:r>
                </w:p>
              </w:tc>
              <w:tc>
                <w:tcPr>
                  <w:tcW w:w="1026" w:type="pct"/>
                  <w:tcBorders>
                    <w:tl2br w:val="nil"/>
                    <w:tr2bl w:val="nil"/>
                  </w:tcBorders>
                  <w:shd w:val="clear" w:color="auto" w:fill="auto"/>
                  <w:vAlign w:val="center"/>
                </w:tcPr>
                <w:p w14:paraId="0D367B6B">
                  <w:pPr>
                    <w:widowControl/>
                    <w:spacing w:line="300" w:lineRule="exact"/>
                    <w:jc w:val="center"/>
                    <w:textAlignment w:val="center"/>
                    <w:rPr>
                      <w:rFonts w:hint="default" w:ascii="Times New Roman" w:hAnsi="Times New Roman" w:cs="Times New Roman"/>
                      <w:color w:val="auto"/>
                      <w:sz w:val="21"/>
                      <w:szCs w:val="21"/>
                    </w:rPr>
                  </w:pPr>
                </w:p>
              </w:tc>
              <w:tc>
                <w:tcPr>
                  <w:tcW w:w="692" w:type="pct"/>
                  <w:tcBorders>
                    <w:tl2br w:val="nil"/>
                    <w:tr2bl w:val="nil"/>
                  </w:tcBorders>
                  <w:shd w:val="clear" w:color="auto" w:fill="auto"/>
                  <w:vAlign w:val="center"/>
                </w:tcPr>
                <w:p w14:paraId="4399F60B">
                  <w:pPr>
                    <w:widowControl/>
                    <w:spacing w:line="300" w:lineRule="exact"/>
                    <w:jc w:val="center"/>
                    <w:textAlignment w:val="top"/>
                    <w:rPr>
                      <w:rFonts w:hint="default" w:ascii="Times New Roman" w:hAnsi="Times New Roman" w:cs="Times New Roman"/>
                      <w:color w:val="auto"/>
                      <w:sz w:val="21"/>
                      <w:szCs w:val="21"/>
                    </w:rPr>
                  </w:pPr>
                </w:p>
              </w:tc>
              <w:tc>
                <w:tcPr>
                  <w:tcW w:w="476" w:type="pct"/>
                  <w:tcBorders>
                    <w:tl2br w:val="nil"/>
                    <w:tr2bl w:val="nil"/>
                  </w:tcBorders>
                  <w:shd w:val="clear" w:color="auto" w:fill="auto"/>
                  <w:noWrap/>
                  <w:vAlign w:val="center"/>
                </w:tcPr>
                <w:p w14:paraId="639CA649">
                  <w:pPr>
                    <w:widowControl/>
                    <w:spacing w:line="300" w:lineRule="exact"/>
                    <w:jc w:val="center"/>
                    <w:textAlignment w:val="center"/>
                    <w:rPr>
                      <w:rFonts w:hint="default" w:ascii="Times New Roman" w:hAnsi="Times New Roman" w:cs="Times New Roman"/>
                      <w:color w:val="auto"/>
                      <w:sz w:val="21"/>
                      <w:szCs w:val="21"/>
                    </w:rPr>
                  </w:pPr>
                </w:p>
              </w:tc>
              <w:tc>
                <w:tcPr>
                  <w:tcW w:w="574" w:type="pct"/>
                  <w:tcBorders>
                    <w:tl2br w:val="nil"/>
                    <w:tr2bl w:val="nil"/>
                  </w:tcBorders>
                  <w:shd w:val="clear" w:color="auto" w:fill="auto"/>
                  <w:vAlign w:val="center"/>
                </w:tcPr>
                <w:p w14:paraId="583FC026">
                  <w:pPr>
                    <w:widowControl/>
                    <w:spacing w:line="300" w:lineRule="exact"/>
                    <w:jc w:val="center"/>
                    <w:textAlignment w:val="top"/>
                    <w:rPr>
                      <w:rFonts w:hint="default" w:ascii="Times New Roman" w:hAnsi="Times New Roman" w:cs="Times New Roman"/>
                      <w:color w:val="auto"/>
                      <w:sz w:val="21"/>
                      <w:szCs w:val="21"/>
                    </w:rPr>
                  </w:pPr>
                </w:p>
              </w:tc>
              <w:tc>
                <w:tcPr>
                  <w:tcW w:w="1617" w:type="pct"/>
                  <w:vMerge w:val="continue"/>
                  <w:tcBorders>
                    <w:tl2br w:val="nil"/>
                    <w:tr2bl w:val="nil"/>
                  </w:tcBorders>
                  <w:shd w:val="clear" w:color="auto" w:fill="auto"/>
                  <w:vAlign w:val="center"/>
                </w:tcPr>
                <w:p w14:paraId="1115851F">
                  <w:pPr>
                    <w:widowControl/>
                    <w:spacing w:line="300" w:lineRule="exact"/>
                    <w:jc w:val="both"/>
                    <w:rPr>
                      <w:rFonts w:hint="default" w:ascii="Times New Roman" w:hAnsi="Times New Roman" w:cs="Times New Roman"/>
                      <w:color w:val="auto"/>
                      <w:sz w:val="21"/>
                      <w:szCs w:val="21"/>
                    </w:rPr>
                  </w:pPr>
                </w:p>
              </w:tc>
            </w:tr>
            <w:tr w14:paraId="24D831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11" w:type="pct"/>
                  <w:tcBorders>
                    <w:tl2br w:val="nil"/>
                    <w:tr2bl w:val="nil"/>
                  </w:tcBorders>
                  <w:shd w:val="clear" w:color="auto" w:fill="auto"/>
                  <w:vAlign w:val="center"/>
                </w:tcPr>
                <w:p w14:paraId="2703683E">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酸洗槽6</w:t>
                  </w:r>
                </w:p>
              </w:tc>
              <w:tc>
                <w:tcPr>
                  <w:tcW w:w="1026" w:type="pct"/>
                  <w:tcBorders>
                    <w:tl2br w:val="nil"/>
                    <w:tr2bl w:val="nil"/>
                  </w:tcBorders>
                  <w:shd w:val="clear" w:color="auto" w:fill="auto"/>
                  <w:vAlign w:val="center"/>
                </w:tcPr>
                <w:p w14:paraId="4F5EBFA5">
                  <w:pPr>
                    <w:widowControl/>
                    <w:spacing w:line="300" w:lineRule="exact"/>
                    <w:jc w:val="center"/>
                    <w:textAlignment w:val="center"/>
                    <w:rPr>
                      <w:rFonts w:hint="default" w:ascii="Times New Roman" w:hAnsi="Times New Roman" w:cs="Times New Roman"/>
                      <w:color w:val="auto"/>
                      <w:sz w:val="21"/>
                      <w:szCs w:val="21"/>
                    </w:rPr>
                  </w:pPr>
                </w:p>
              </w:tc>
              <w:tc>
                <w:tcPr>
                  <w:tcW w:w="692" w:type="pct"/>
                  <w:tcBorders>
                    <w:tl2br w:val="nil"/>
                    <w:tr2bl w:val="nil"/>
                  </w:tcBorders>
                  <w:shd w:val="clear" w:color="auto" w:fill="auto"/>
                  <w:vAlign w:val="center"/>
                </w:tcPr>
                <w:p w14:paraId="11D5391B">
                  <w:pPr>
                    <w:widowControl/>
                    <w:spacing w:line="300" w:lineRule="exact"/>
                    <w:jc w:val="center"/>
                    <w:textAlignment w:val="top"/>
                    <w:rPr>
                      <w:rFonts w:hint="default" w:ascii="Times New Roman" w:hAnsi="Times New Roman" w:cs="Times New Roman"/>
                      <w:color w:val="auto"/>
                      <w:sz w:val="21"/>
                      <w:szCs w:val="21"/>
                    </w:rPr>
                  </w:pPr>
                </w:p>
              </w:tc>
              <w:tc>
                <w:tcPr>
                  <w:tcW w:w="476" w:type="pct"/>
                  <w:tcBorders>
                    <w:tl2br w:val="nil"/>
                    <w:tr2bl w:val="nil"/>
                  </w:tcBorders>
                  <w:shd w:val="clear" w:color="auto" w:fill="auto"/>
                  <w:noWrap/>
                  <w:vAlign w:val="center"/>
                </w:tcPr>
                <w:p w14:paraId="43E86EC6">
                  <w:pPr>
                    <w:widowControl/>
                    <w:spacing w:line="300" w:lineRule="exact"/>
                    <w:jc w:val="center"/>
                    <w:textAlignment w:val="center"/>
                    <w:rPr>
                      <w:rFonts w:hint="default" w:ascii="Times New Roman" w:hAnsi="Times New Roman" w:cs="Times New Roman"/>
                      <w:color w:val="auto"/>
                      <w:sz w:val="21"/>
                      <w:szCs w:val="21"/>
                    </w:rPr>
                  </w:pPr>
                </w:p>
              </w:tc>
              <w:tc>
                <w:tcPr>
                  <w:tcW w:w="574" w:type="pct"/>
                  <w:tcBorders>
                    <w:tl2br w:val="nil"/>
                    <w:tr2bl w:val="nil"/>
                  </w:tcBorders>
                  <w:shd w:val="clear" w:color="auto" w:fill="auto"/>
                  <w:vAlign w:val="center"/>
                </w:tcPr>
                <w:p w14:paraId="66061B81">
                  <w:pPr>
                    <w:widowControl/>
                    <w:spacing w:line="300" w:lineRule="exact"/>
                    <w:jc w:val="center"/>
                    <w:textAlignment w:val="top"/>
                    <w:rPr>
                      <w:rFonts w:hint="default" w:ascii="Times New Roman" w:hAnsi="Times New Roman" w:cs="Times New Roman"/>
                      <w:color w:val="auto"/>
                      <w:sz w:val="21"/>
                      <w:szCs w:val="21"/>
                    </w:rPr>
                  </w:pPr>
                </w:p>
              </w:tc>
              <w:tc>
                <w:tcPr>
                  <w:tcW w:w="1617" w:type="pct"/>
                  <w:vMerge w:val="continue"/>
                  <w:tcBorders>
                    <w:tl2br w:val="nil"/>
                    <w:tr2bl w:val="nil"/>
                  </w:tcBorders>
                  <w:shd w:val="clear" w:color="auto" w:fill="auto"/>
                  <w:vAlign w:val="center"/>
                </w:tcPr>
                <w:p w14:paraId="577BC17D">
                  <w:pPr>
                    <w:widowControl/>
                    <w:spacing w:line="300" w:lineRule="exact"/>
                    <w:jc w:val="both"/>
                    <w:rPr>
                      <w:rFonts w:hint="default" w:ascii="Times New Roman" w:hAnsi="Times New Roman" w:cs="Times New Roman"/>
                      <w:color w:val="auto"/>
                      <w:sz w:val="21"/>
                      <w:szCs w:val="21"/>
                    </w:rPr>
                  </w:pPr>
                </w:p>
              </w:tc>
            </w:tr>
            <w:tr w14:paraId="04E40B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11" w:type="pct"/>
                  <w:tcBorders>
                    <w:tl2br w:val="nil"/>
                    <w:tr2bl w:val="nil"/>
                  </w:tcBorders>
                  <w:shd w:val="clear" w:color="auto" w:fill="auto"/>
                  <w:vAlign w:val="center"/>
                </w:tcPr>
                <w:p w14:paraId="504AA1A1">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冲洗1槽</w:t>
                  </w:r>
                </w:p>
              </w:tc>
              <w:tc>
                <w:tcPr>
                  <w:tcW w:w="1026" w:type="pct"/>
                  <w:tcBorders>
                    <w:tl2br w:val="nil"/>
                    <w:tr2bl w:val="nil"/>
                  </w:tcBorders>
                  <w:shd w:val="clear" w:color="auto" w:fill="auto"/>
                  <w:vAlign w:val="center"/>
                </w:tcPr>
                <w:p w14:paraId="62A01D17">
                  <w:pPr>
                    <w:widowControl/>
                    <w:spacing w:line="300" w:lineRule="exact"/>
                    <w:jc w:val="center"/>
                    <w:textAlignment w:val="center"/>
                    <w:rPr>
                      <w:rFonts w:hint="default" w:ascii="Times New Roman" w:hAnsi="Times New Roman" w:cs="Times New Roman"/>
                      <w:color w:val="auto"/>
                      <w:sz w:val="21"/>
                      <w:szCs w:val="21"/>
                    </w:rPr>
                  </w:pPr>
                </w:p>
              </w:tc>
              <w:tc>
                <w:tcPr>
                  <w:tcW w:w="692" w:type="pct"/>
                  <w:tcBorders>
                    <w:tl2br w:val="nil"/>
                    <w:tr2bl w:val="nil"/>
                  </w:tcBorders>
                  <w:shd w:val="clear" w:color="auto" w:fill="auto"/>
                  <w:vAlign w:val="center"/>
                </w:tcPr>
                <w:p w14:paraId="07BBFDD7">
                  <w:pPr>
                    <w:widowControl/>
                    <w:spacing w:line="300" w:lineRule="exact"/>
                    <w:jc w:val="center"/>
                    <w:textAlignment w:val="center"/>
                    <w:rPr>
                      <w:rFonts w:hint="default" w:ascii="Times New Roman" w:hAnsi="Times New Roman" w:cs="Times New Roman"/>
                      <w:color w:val="auto"/>
                      <w:sz w:val="21"/>
                      <w:szCs w:val="21"/>
                    </w:rPr>
                  </w:pPr>
                </w:p>
              </w:tc>
              <w:tc>
                <w:tcPr>
                  <w:tcW w:w="476" w:type="pct"/>
                  <w:tcBorders>
                    <w:tl2br w:val="nil"/>
                    <w:tr2bl w:val="nil"/>
                  </w:tcBorders>
                  <w:shd w:val="clear" w:color="auto" w:fill="auto"/>
                  <w:vAlign w:val="center"/>
                </w:tcPr>
                <w:p w14:paraId="54AFC015">
                  <w:pPr>
                    <w:widowControl/>
                    <w:spacing w:line="300" w:lineRule="exact"/>
                    <w:jc w:val="center"/>
                    <w:textAlignment w:val="center"/>
                    <w:rPr>
                      <w:rFonts w:hint="default" w:ascii="Times New Roman" w:hAnsi="Times New Roman" w:cs="Times New Roman"/>
                      <w:color w:val="auto"/>
                      <w:sz w:val="21"/>
                      <w:szCs w:val="21"/>
                    </w:rPr>
                  </w:pPr>
                </w:p>
              </w:tc>
              <w:tc>
                <w:tcPr>
                  <w:tcW w:w="574" w:type="pct"/>
                  <w:tcBorders>
                    <w:tl2br w:val="nil"/>
                    <w:tr2bl w:val="nil"/>
                  </w:tcBorders>
                  <w:shd w:val="clear" w:color="auto" w:fill="auto"/>
                  <w:vAlign w:val="center"/>
                </w:tcPr>
                <w:p w14:paraId="783C47BC">
                  <w:pPr>
                    <w:widowControl/>
                    <w:spacing w:line="300" w:lineRule="exact"/>
                    <w:jc w:val="center"/>
                    <w:textAlignment w:val="center"/>
                    <w:rPr>
                      <w:rFonts w:hint="default" w:ascii="Times New Roman" w:hAnsi="Times New Roman" w:cs="Times New Roman"/>
                      <w:color w:val="auto"/>
                      <w:sz w:val="21"/>
                      <w:szCs w:val="21"/>
                    </w:rPr>
                  </w:pPr>
                </w:p>
              </w:tc>
              <w:tc>
                <w:tcPr>
                  <w:tcW w:w="1617" w:type="pct"/>
                  <w:tcBorders>
                    <w:tl2br w:val="nil"/>
                    <w:tr2bl w:val="nil"/>
                  </w:tcBorders>
                  <w:shd w:val="clear" w:color="auto" w:fill="auto"/>
                  <w:vAlign w:val="center"/>
                </w:tcPr>
                <w:p w14:paraId="59D99D4F">
                  <w:pPr>
                    <w:widowControl/>
                    <w:spacing w:line="300" w:lineRule="exact"/>
                    <w:jc w:val="both"/>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溢流排放</w:t>
                  </w:r>
                </w:p>
              </w:tc>
            </w:tr>
            <w:tr w14:paraId="50A2A6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11" w:type="pct"/>
                  <w:tcBorders>
                    <w:tl2br w:val="nil"/>
                    <w:tr2bl w:val="nil"/>
                  </w:tcBorders>
                  <w:shd w:val="clear" w:color="auto" w:fill="auto"/>
                  <w:vAlign w:val="center"/>
                </w:tcPr>
                <w:p w14:paraId="3A757724">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漂洗槽</w:t>
                  </w:r>
                </w:p>
              </w:tc>
              <w:tc>
                <w:tcPr>
                  <w:tcW w:w="1026" w:type="pct"/>
                  <w:tcBorders>
                    <w:tl2br w:val="nil"/>
                    <w:tr2bl w:val="nil"/>
                  </w:tcBorders>
                  <w:shd w:val="clear" w:color="auto" w:fill="auto"/>
                  <w:vAlign w:val="center"/>
                </w:tcPr>
                <w:p w14:paraId="7AB08CFD">
                  <w:pPr>
                    <w:widowControl/>
                    <w:spacing w:line="300" w:lineRule="exact"/>
                    <w:jc w:val="center"/>
                    <w:textAlignment w:val="center"/>
                    <w:rPr>
                      <w:rFonts w:hint="default" w:ascii="Times New Roman" w:hAnsi="Times New Roman" w:cs="Times New Roman"/>
                      <w:color w:val="auto"/>
                      <w:sz w:val="21"/>
                      <w:szCs w:val="21"/>
                    </w:rPr>
                  </w:pPr>
                </w:p>
              </w:tc>
              <w:tc>
                <w:tcPr>
                  <w:tcW w:w="692" w:type="pct"/>
                  <w:tcBorders>
                    <w:tl2br w:val="nil"/>
                    <w:tr2bl w:val="nil"/>
                  </w:tcBorders>
                  <w:shd w:val="clear" w:color="auto" w:fill="auto"/>
                  <w:vAlign w:val="center"/>
                </w:tcPr>
                <w:p w14:paraId="12C7B5D5">
                  <w:pPr>
                    <w:widowControl/>
                    <w:spacing w:line="300" w:lineRule="exact"/>
                    <w:jc w:val="center"/>
                    <w:textAlignment w:val="center"/>
                    <w:rPr>
                      <w:rFonts w:hint="default" w:ascii="Times New Roman" w:hAnsi="Times New Roman" w:cs="Times New Roman"/>
                      <w:color w:val="auto"/>
                      <w:sz w:val="21"/>
                      <w:szCs w:val="21"/>
                    </w:rPr>
                  </w:pPr>
                </w:p>
              </w:tc>
              <w:tc>
                <w:tcPr>
                  <w:tcW w:w="476" w:type="pct"/>
                  <w:tcBorders>
                    <w:tl2br w:val="nil"/>
                    <w:tr2bl w:val="nil"/>
                  </w:tcBorders>
                  <w:shd w:val="clear" w:color="auto" w:fill="auto"/>
                  <w:vAlign w:val="center"/>
                </w:tcPr>
                <w:p w14:paraId="0B066A54">
                  <w:pPr>
                    <w:widowControl/>
                    <w:spacing w:line="300" w:lineRule="exact"/>
                    <w:jc w:val="center"/>
                    <w:textAlignment w:val="center"/>
                    <w:rPr>
                      <w:rFonts w:hint="default" w:ascii="Times New Roman" w:hAnsi="Times New Roman" w:cs="Times New Roman"/>
                      <w:color w:val="auto"/>
                      <w:sz w:val="21"/>
                      <w:szCs w:val="21"/>
                    </w:rPr>
                  </w:pPr>
                </w:p>
              </w:tc>
              <w:tc>
                <w:tcPr>
                  <w:tcW w:w="574" w:type="pct"/>
                  <w:tcBorders>
                    <w:tl2br w:val="nil"/>
                    <w:tr2bl w:val="nil"/>
                  </w:tcBorders>
                  <w:shd w:val="clear" w:color="auto" w:fill="auto"/>
                  <w:vAlign w:val="center"/>
                </w:tcPr>
                <w:p w14:paraId="5BDB722C">
                  <w:pPr>
                    <w:widowControl/>
                    <w:spacing w:line="300" w:lineRule="exact"/>
                    <w:jc w:val="center"/>
                    <w:textAlignment w:val="center"/>
                    <w:rPr>
                      <w:rFonts w:hint="default" w:ascii="Times New Roman" w:hAnsi="Times New Roman" w:cs="Times New Roman"/>
                      <w:color w:val="auto"/>
                      <w:sz w:val="21"/>
                      <w:szCs w:val="21"/>
                    </w:rPr>
                  </w:pPr>
                </w:p>
              </w:tc>
              <w:tc>
                <w:tcPr>
                  <w:tcW w:w="1617" w:type="pct"/>
                  <w:tcBorders>
                    <w:tl2br w:val="nil"/>
                    <w:tr2bl w:val="nil"/>
                  </w:tcBorders>
                  <w:shd w:val="clear" w:color="auto" w:fill="auto"/>
                  <w:vAlign w:val="center"/>
                </w:tcPr>
                <w:p w14:paraId="4F908B2E">
                  <w:pPr>
                    <w:widowControl/>
                    <w:spacing w:line="300" w:lineRule="exact"/>
                    <w:jc w:val="both"/>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溢流排放</w:t>
                  </w:r>
                </w:p>
              </w:tc>
            </w:tr>
            <w:tr w14:paraId="6FEDA4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11" w:type="pct"/>
                  <w:tcBorders>
                    <w:tl2br w:val="nil"/>
                    <w:tr2bl w:val="nil"/>
                  </w:tcBorders>
                  <w:shd w:val="clear" w:color="auto" w:fill="auto"/>
                  <w:vAlign w:val="center"/>
                </w:tcPr>
                <w:p w14:paraId="5F633A70">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表调槽</w:t>
                  </w:r>
                </w:p>
              </w:tc>
              <w:tc>
                <w:tcPr>
                  <w:tcW w:w="1026" w:type="pct"/>
                  <w:tcBorders>
                    <w:tl2br w:val="nil"/>
                    <w:tr2bl w:val="nil"/>
                  </w:tcBorders>
                  <w:shd w:val="clear" w:color="auto" w:fill="auto"/>
                  <w:vAlign w:val="center"/>
                </w:tcPr>
                <w:p w14:paraId="55FB02FA">
                  <w:pPr>
                    <w:widowControl/>
                    <w:spacing w:line="300" w:lineRule="exact"/>
                    <w:jc w:val="center"/>
                    <w:textAlignment w:val="center"/>
                    <w:rPr>
                      <w:rFonts w:hint="default" w:ascii="Times New Roman" w:hAnsi="Times New Roman" w:cs="Times New Roman"/>
                      <w:color w:val="auto"/>
                      <w:sz w:val="21"/>
                      <w:szCs w:val="21"/>
                    </w:rPr>
                  </w:pPr>
                </w:p>
              </w:tc>
              <w:tc>
                <w:tcPr>
                  <w:tcW w:w="692" w:type="pct"/>
                  <w:tcBorders>
                    <w:tl2br w:val="nil"/>
                    <w:tr2bl w:val="nil"/>
                  </w:tcBorders>
                  <w:shd w:val="clear" w:color="auto" w:fill="auto"/>
                  <w:noWrap/>
                  <w:vAlign w:val="center"/>
                </w:tcPr>
                <w:p w14:paraId="3918B00A">
                  <w:pPr>
                    <w:widowControl/>
                    <w:spacing w:line="300" w:lineRule="exact"/>
                    <w:jc w:val="center"/>
                    <w:textAlignment w:val="center"/>
                    <w:rPr>
                      <w:rFonts w:hint="default" w:ascii="Times New Roman" w:hAnsi="Times New Roman" w:cs="Times New Roman"/>
                      <w:color w:val="auto"/>
                      <w:sz w:val="21"/>
                      <w:szCs w:val="21"/>
                    </w:rPr>
                  </w:pPr>
                </w:p>
              </w:tc>
              <w:tc>
                <w:tcPr>
                  <w:tcW w:w="476" w:type="pct"/>
                  <w:tcBorders>
                    <w:tl2br w:val="nil"/>
                    <w:tr2bl w:val="nil"/>
                  </w:tcBorders>
                  <w:shd w:val="clear" w:color="auto" w:fill="auto"/>
                  <w:vAlign w:val="center"/>
                </w:tcPr>
                <w:p w14:paraId="2D17BED8">
                  <w:pPr>
                    <w:widowControl/>
                    <w:spacing w:line="300" w:lineRule="exact"/>
                    <w:jc w:val="center"/>
                    <w:textAlignment w:val="center"/>
                    <w:rPr>
                      <w:rFonts w:hint="default" w:ascii="Times New Roman" w:hAnsi="Times New Roman" w:cs="Times New Roman"/>
                      <w:color w:val="auto"/>
                      <w:sz w:val="21"/>
                      <w:szCs w:val="21"/>
                    </w:rPr>
                  </w:pPr>
                </w:p>
              </w:tc>
              <w:tc>
                <w:tcPr>
                  <w:tcW w:w="574" w:type="pct"/>
                  <w:tcBorders>
                    <w:tl2br w:val="nil"/>
                    <w:tr2bl w:val="nil"/>
                  </w:tcBorders>
                  <w:shd w:val="clear" w:color="auto" w:fill="auto"/>
                  <w:vAlign w:val="center"/>
                </w:tcPr>
                <w:p w14:paraId="1F19BEEA">
                  <w:pPr>
                    <w:widowControl/>
                    <w:spacing w:line="300" w:lineRule="exact"/>
                    <w:jc w:val="center"/>
                    <w:textAlignment w:val="center"/>
                    <w:rPr>
                      <w:rFonts w:hint="default" w:ascii="Times New Roman" w:hAnsi="Times New Roman" w:cs="Times New Roman"/>
                      <w:color w:val="auto"/>
                      <w:sz w:val="21"/>
                      <w:szCs w:val="21"/>
                    </w:rPr>
                  </w:pPr>
                </w:p>
              </w:tc>
              <w:tc>
                <w:tcPr>
                  <w:tcW w:w="1617" w:type="pct"/>
                  <w:tcBorders>
                    <w:tl2br w:val="nil"/>
                    <w:tr2bl w:val="nil"/>
                  </w:tcBorders>
                  <w:shd w:val="clear" w:color="auto" w:fill="auto"/>
                  <w:vAlign w:val="center"/>
                </w:tcPr>
                <w:p w14:paraId="07C38754">
                  <w:pPr>
                    <w:widowControl/>
                    <w:spacing w:line="300" w:lineRule="exact"/>
                    <w:jc w:val="both"/>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表调液循环使用，不外排</w:t>
                  </w:r>
                </w:p>
              </w:tc>
            </w:tr>
            <w:tr w14:paraId="125B99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11" w:type="pct"/>
                  <w:tcBorders>
                    <w:tl2br w:val="nil"/>
                    <w:tr2bl w:val="nil"/>
                  </w:tcBorders>
                  <w:shd w:val="clear" w:color="auto" w:fill="auto"/>
                  <w:vAlign w:val="center"/>
                </w:tcPr>
                <w:p w14:paraId="4A2A2469">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磷化槽*3</w:t>
                  </w:r>
                </w:p>
              </w:tc>
              <w:tc>
                <w:tcPr>
                  <w:tcW w:w="1026" w:type="pct"/>
                  <w:tcBorders>
                    <w:tl2br w:val="nil"/>
                    <w:tr2bl w:val="nil"/>
                  </w:tcBorders>
                  <w:shd w:val="clear" w:color="auto" w:fill="auto"/>
                  <w:vAlign w:val="center"/>
                </w:tcPr>
                <w:p w14:paraId="7228C837">
                  <w:pPr>
                    <w:widowControl/>
                    <w:spacing w:line="300" w:lineRule="exact"/>
                    <w:jc w:val="center"/>
                    <w:textAlignment w:val="center"/>
                    <w:rPr>
                      <w:rFonts w:hint="default" w:ascii="Times New Roman" w:hAnsi="Times New Roman" w:cs="Times New Roman"/>
                      <w:color w:val="auto"/>
                      <w:sz w:val="21"/>
                      <w:szCs w:val="21"/>
                    </w:rPr>
                  </w:pPr>
                </w:p>
              </w:tc>
              <w:tc>
                <w:tcPr>
                  <w:tcW w:w="692" w:type="pct"/>
                  <w:tcBorders>
                    <w:tl2br w:val="nil"/>
                    <w:tr2bl w:val="nil"/>
                  </w:tcBorders>
                  <w:shd w:val="clear" w:color="auto" w:fill="auto"/>
                  <w:noWrap/>
                  <w:vAlign w:val="center"/>
                </w:tcPr>
                <w:p w14:paraId="3B01D93B">
                  <w:pPr>
                    <w:widowControl/>
                    <w:spacing w:line="300" w:lineRule="exact"/>
                    <w:jc w:val="center"/>
                    <w:textAlignment w:val="center"/>
                    <w:rPr>
                      <w:rFonts w:hint="default" w:ascii="Times New Roman" w:hAnsi="Times New Roman" w:cs="Times New Roman"/>
                      <w:color w:val="auto"/>
                      <w:sz w:val="21"/>
                      <w:szCs w:val="21"/>
                    </w:rPr>
                  </w:pPr>
                </w:p>
              </w:tc>
              <w:tc>
                <w:tcPr>
                  <w:tcW w:w="476" w:type="pct"/>
                  <w:tcBorders>
                    <w:tl2br w:val="nil"/>
                    <w:tr2bl w:val="nil"/>
                  </w:tcBorders>
                  <w:shd w:val="clear" w:color="auto" w:fill="auto"/>
                  <w:noWrap/>
                  <w:vAlign w:val="center"/>
                </w:tcPr>
                <w:p w14:paraId="304CD9B8">
                  <w:pPr>
                    <w:widowControl/>
                    <w:spacing w:line="300" w:lineRule="exact"/>
                    <w:jc w:val="center"/>
                    <w:textAlignment w:val="center"/>
                    <w:rPr>
                      <w:rFonts w:hint="default" w:ascii="Times New Roman" w:hAnsi="Times New Roman" w:cs="Times New Roman"/>
                      <w:color w:val="auto"/>
                      <w:sz w:val="21"/>
                      <w:szCs w:val="21"/>
                    </w:rPr>
                  </w:pPr>
                </w:p>
              </w:tc>
              <w:tc>
                <w:tcPr>
                  <w:tcW w:w="574" w:type="pct"/>
                  <w:tcBorders>
                    <w:tl2br w:val="nil"/>
                    <w:tr2bl w:val="nil"/>
                  </w:tcBorders>
                  <w:shd w:val="clear" w:color="auto" w:fill="auto"/>
                  <w:noWrap/>
                  <w:vAlign w:val="center"/>
                </w:tcPr>
                <w:p w14:paraId="75D6F87C">
                  <w:pPr>
                    <w:widowControl/>
                    <w:spacing w:line="300" w:lineRule="exact"/>
                    <w:jc w:val="center"/>
                    <w:textAlignment w:val="center"/>
                    <w:rPr>
                      <w:rFonts w:hint="default" w:ascii="Times New Roman" w:hAnsi="Times New Roman" w:cs="Times New Roman"/>
                      <w:color w:val="auto"/>
                      <w:sz w:val="21"/>
                      <w:szCs w:val="21"/>
                    </w:rPr>
                  </w:pPr>
                </w:p>
              </w:tc>
              <w:tc>
                <w:tcPr>
                  <w:tcW w:w="1617" w:type="pct"/>
                  <w:tcBorders>
                    <w:tl2br w:val="nil"/>
                    <w:tr2bl w:val="nil"/>
                  </w:tcBorders>
                  <w:shd w:val="clear" w:color="auto" w:fill="auto"/>
                  <w:vAlign w:val="center"/>
                </w:tcPr>
                <w:p w14:paraId="0FC77811">
                  <w:pPr>
                    <w:widowControl/>
                    <w:spacing w:line="300" w:lineRule="exact"/>
                    <w:jc w:val="both"/>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磷化槽内磷化液循环使用，不外排。使用一段时间槽底产生磷化渣，经磷渣脱水机脱水后，磷化液回用，磷渣作为危废处置</w:t>
                  </w:r>
                </w:p>
              </w:tc>
            </w:tr>
            <w:tr w14:paraId="048A02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11" w:type="pct"/>
                  <w:tcBorders>
                    <w:tl2br w:val="nil"/>
                    <w:tr2bl w:val="nil"/>
                  </w:tcBorders>
                  <w:shd w:val="clear" w:color="auto" w:fill="auto"/>
                  <w:vAlign w:val="center"/>
                </w:tcPr>
                <w:p w14:paraId="7445A3DC">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冲洗2槽</w:t>
                  </w:r>
                </w:p>
              </w:tc>
              <w:tc>
                <w:tcPr>
                  <w:tcW w:w="1026" w:type="pct"/>
                  <w:tcBorders>
                    <w:tl2br w:val="nil"/>
                    <w:tr2bl w:val="nil"/>
                  </w:tcBorders>
                  <w:shd w:val="clear" w:color="auto" w:fill="auto"/>
                  <w:vAlign w:val="center"/>
                </w:tcPr>
                <w:p w14:paraId="6ACB3EE0">
                  <w:pPr>
                    <w:widowControl/>
                    <w:spacing w:line="300" w:lineRule="exact"/>
                    <w:jc w:val="center"/>
                    <w:textAlignment w:val="center"/>
                    <w:rPr>
                      <w:rFonts w:hint="default" w:ascii="Times New Roman" w:hAnsi="Times New Roman" w:cs="Times New Roman"/>
                      <w:color w:val="auto"/>
                      <w:sz w:val="21"/>
                      <w:szCs w:val="21"/>
                    </w:rPr>
                  </w:pPr>
                </w:p>
              </w:tc>
              <w:tc>
                <w:tcPr>
                  <w:tcW w:w="692" w:type="pct"/>
                  <w:tcBorders>
                    <w:tl2br w:val="nil"/>
                    <w:tr2bl w:val="nil"/>
                  </w:tcBorders>
                  <w:shd w:val="clear" w:color="auto" w:fill="auto"/>
                  <w:vAlign w:val="center"/>
                </w:tcPr>
                <w:p w14:paraId="760B6224">
                  <w:pPr>
                    <w:widowControl/>
                    <w:spacing w:line="300" w:lineRule="exact"/>
                    <w:jc w:val="center"/>
                    <w:textAlignment w:val="center"/>
                    <w:rPr>
                      <w:rFonts w:hint="default" w:ascii="Times New Roman" w:hAnsi="Times New Roman" w:cs="Times New Roman"/>
                      <w:color w:val="auto"/>
                      <w:sz w:val="21"/>
                      <w:szCs w:val="21"/>
                    </w:rPr>
                  </w:pPr>
                </w:p>
              </w:tc>
              <w:tc>
                <w:tcPr>
                  <w:tcW w:w="476" w:type="pct"/>
                  <w:tcBorders>
                    <w:tl2br w:val="nil"/>
                    <w:tr2bl w:val="nil"/>
                  </w:tcBorders>
                  <w:shd w:val="clear" w:color="auto" w:fill="auto"/>
                  <w:vAlign w:val="center"/>
                </w:tcPr>
                <w:p w14:paraId="5AC7FD30">
                  <w:pPr>
                    <w:widowControl/>
                    <w:spacing w:line="300" w:lineRule="exact"/>
                    <w:jc w:val="center"/>
                    <w:textAlignment w:val="center"/>
                    <w:rPr>
                      <w:rFonts w:hint="default" w:ascii="Times New Roman" w:hAnsi="Times New Roman" w:cs="Times New Roman"/>
                      <w:color w:val="auto"/>
                      <w:sz w:val="21"/>
                      <w:szCs w:val="21"/>
                    </w:rPr>
                  </w:pPr>
                </w:p>
              </w:tc>
              <w:tc>
                <w:tcPr>
                  <w:tcW w:w="574" w:type="pct"/>
                  <w:tcBorders>
                    <w:tl2br w:val="nil"/>
                    <w:tr2bl w:val="nil"/>
                  </w:tcBorders>
                  <w:shd w:val="clear" w:color="auto" w:fill="auto"/>
                  <w:vAlign w:val="center"/>
                </w:tcPr>
                <w:p w14:paraId="30FBED07">
                  <w:pPr>
                    <w:widowControl/>
                    <w:spacing w:line="300" w:lineRule="exact"/>
                    <w:jc w:val="center"/>
                    <w:textAlignment w:val="center"/>
                    <w:rPr>
                      <w:rFonts w:hint="default" w:ascii="Times New Roman" w:hAnsi="Times New Roman" w:cs="Times New Roman"/>
                      <w:color w:val="auto"/>
                      <w:sz w:val="21"/>
                      <w:szCs w:val="21"/>
                    </w:rPr>
                  </w:pPr>
                </w:p>
              </w:tc>
              <w:tc>
                <w:tcPr>
                  <w:tcW w:w="1617" w:type="pct"/>
                  <w:tcBorders>
                    <w:tl2br w:val="nil"/>
                    <w:tr2bl w:val="nil"/>
                  </w:tcBorders>
                  <w:shd w:val="clear" w:color="auto" w:fill="auto"/>
                  <w:vAlign w:val="center"/>
                </w:tcPr>
                <w:p w14:paraId="4E5F610D">
                  <w:pPr>
                    <w:widowControl/>
                    <w:spacing w:line="300" w:lineRule="exact"/>
                    <w:jc w:val="both"/>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排水进入漂洗槽内，作为漂洗水重复利用</w:t>
                  </w:r>
                </w:p>
              </w:tc>
            </w:tr>
            <w:tr w14:paraId="27B80B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11" w:type="pct"/>
                  <w:tcBorders>
                    <w:tl2br w:val="nil"/>
                    <w:tr2bl w:val="nil"/>
                  </w:tcBorders>
                  <w:shd w:val="clear" w:color="auto" w:fill="auto"/>
                  <w:vAlign w:val="center"/>
                </w:tcPr>
                <w:p w14:paraId="4BE20502">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中和槽</w:t>
                  </w:r>
                </w:p>
              </w:tc>
              <w:tc>
                <w:tcPr>
                  <w:tcW w:w="1026" w:type="pct"/>
                  <w:tcBorders>
                    <w:tl2br w:val="nil"/>
                    <w:tr2bl w:val="nil"/>
                  </w:tcBorders>
                  <w:shd w:val="clear" w:color="auto" w:fill="auto"/>
                  <w:vAlign w:val="center"/>
                </w:tcPr>
                <w:p w14:paraId="1B7C3B84">
                  <w:pPr>
                    <w:widowControl/>
                    <w:spacing w:line="300" w:lineRule="exact"/>
                    <w:jc w:val="center"/>
                    <w:textAlignment w:val="center"/>
                    <w:rPr>
                      <w:rFonts w:hint="default" w:ascii="Times New Roman" w:hAnsi="Times New Roman" w:cs="Times New Roman"/>
                      <w:color w:val="auto"/>
                      <w:sz w:val="21"/>
                      <w:szCs w:val="21"/>
                    </w:rPr>
                  </w:pPr>
                </w:p>
              </w:tc>
              <w:tc>
                <w:tcPr>
                  <w:tcW w:w="692" w:type="pct"/>
                  <w:tcBorders>
                    <w:tl2br w:val="nil"/>
                    <w:tr2bl w:val="nil"/>
                  </w:tcBorders>
                  <w:shd w:val="clear" w:color="auto" w:fill="auto"/>
                  <w:vAlign w:val="center"/>
                </w:tcPr>
                <w:p w14:paraId="4164B13A">
                  <w:pPr>
                    <w:widowControl/>
                    <w:spacing w:line="300" w:lineRule="exact"/>
                    <w:jc w:val="center"/>
                    <w:textAlignment w:val="center"/>
                    <w:rPr>
                      <w:rFonts w:hint="default" w:ascii="Times New Roman" w:hAnsi="Times New Roman" w:cs="Times New Roman"/>
                      <w:color w:val="auto"/>
                      <w:sz w:val="21"/>
                      <w:szCs w:val="21"/>
                    </w:rPr>
                  </w:pPr>
                </w:p>
              </w:tc>
              <w:tc>
                <w:tcPr>
                  <w:tcW w:w="476" w:type="pct"/>
                  <w:tcBorders>
                    <w:tl2br w:val="nil"/>
                    <w:tr2bl w:val="nil"/>
                  </w:tcBorders>
                  <w:shd w:val="clear" w:color="auto" w:fill="auto"/>
                  <w:vAlign w:val="center"/>
                </w:tcPr>
                <w:p w14:paraId="46BBEB39">
                  <w:pPr>
                    <w:widowControl/>
                    <w:spacing w:line="300" w:lineRule="exact"/>
                    <w:jc w:val="center"/>
                    <w:textAlignment w:val="center"/>
                    <w:rPr>
                      <w:rFonts w:hint="default" w:ascii="Times New Roman" w:hAnsi="Times New Roman" w:cs="Times New Roman"/>
                      <w:color w:val="auto"/>
                      <w:sz w:val="21"/>
                      <w:szCs w:val="21"/>
                    </w:rPr>
                  </w:pPr>
                </w:p>
              </w:tc>
              <w:tc>
                <w:tcPr>
                  <w:tcW w:w="574" w:type="pct"/>
                  <w:tcBorders>
                    <w:tl2br w:val="nil"/>
                    <w:tr2bl w:val="nil"/>
                  </w:tcBorders>
                  <w:shd w:val="clear" w:color="auto" w:fill="auto"/>
                  <w:vAlign w:val="center"/>
                </w:tcPr>
                <w:p w14:paraId="2E1D244B">
                  <w:pPr>
                    <w:widowControl/>
                    <w:spacing w:line="300" w:lineRule="exact"/>
                    <w:jc w:val="center"/>
                    <w:textAlignment w:val="top"/>
                    <w:rPr>
                      <w:rFonts w:hint="default" w:ascii="Times New Roman" w:hAnsi="Times New Roman" w:cs="Times New Roman"/>
                      <w:color w:val="auto"/>
                      <w:sz w:val="21"/>
                      <w:szCs w:val="21"/>
                    </w:rPr>
                  </w:pPr>
                </w:p>
              </w:tc>
              <w:tc>
                <w:tcPr>
                  <w:tcW w:w="1617" w:type="pct"/>
                  <w:tcBorders>
                    <w:tl2br w:val="nil"/>
                    <w:tr2bl w:val="nil"/>
                  </w:tcBorders>
                  <w:shd w:val="clear" w:color="auto" w:fill="auto"/>
                  <w:vAlign w:val="center"/>
                </w:tcPr>
                <w:p w14:paraId="3D1D79B6">
                  <w:pPr>
                    <w:widowControl/>
                    <w:spacing w:line="300" w:lineRule="exact"/>
                    <w:jc w:val="both"/>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间断式排放，1个月 1 次。</w:t>
                  </w:r>
                </w:p>
              </w:tc>
            </w:tr>
            <w:tr w14:paraId="1CEA6F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11" w:type="pct"/>
                  <w:tcBorders>
                    <w:tl2br w:val="nil"/>
                    <w:tr2bl w:val="nil"/>
                  </w:tcBorders>
                  <w:shd w:val="clear" w:color="auto" w:fill="auto"/>
                  <w:vAlign w:val="center"/>
                </w:tcPr>
                <w:p w14:paraId="39DE0E8E">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皂化槽</w:t>
                  </w:r>
                </w:p>
              </w:tc>
              <w:tc>
                <w:tcPr>
                  <w:tcW w:w="1026" w:type="pct"/>
                  <w:tcBorders>
                    <w:tl2br w:val="nil"/>
                    <w:tr2bl w:val="nil"/>
                  </w:tcBorders>
                  <w:shd w:val="clear" w:color="auto" w:fill="auto"/>
                  <w:vAlign w:val="center"/>
                </w:tcPr>
                <w:p w14:paraId="1F6EA880">
                  <w:pPr>
                    <w:widowControl/>
                    <w:spacing w:line="300" w:lineRule="exact"/>
                    <w:jc w:val="center"/>
                    <w:textAlignment w:val="center"/>
                    <w:rPr>
                      <w:rFonts w:hint="default" w:ascii="Times New Roman" w:hAnsi="Times New Roman" w:cs="Times New Roman"/>
                      <w:color w:val="auto"/>
                      <w:sz w:val="21"/>
                      <w:szCs w:val="21"/>
                    </w:rPr>
                  </w:pPr>
                </w:p>
              </w:tc>
              <w:tc>
                <w:tcPr>
                  <w:tcW w:w="692" w:type="pct"/>
                  <w:tcBorders>
                    <w:tl2br w:val="nil"/>
                    <w:tr2bl w:val="nil"/>
                  </w:tcBorders>
                  <w:shd w:val="clear" w:color="auto" w:fill="auto"/>
                  <w:noWrap/>
                  <w:vAlign w:val="center"/>
                </w:tcPr>
                <w:p w14:paraId="4541DD9C">
                  <w:pPr>
                    <w:widowControl/>
                    <w:spacing w:line="300" w:lineRule="exact"/>
                    <w:jc w:val="center"/>
                    <w:textAlignment w:val="center"/>
                    <w:rPr>
                      <w:rFonts w:hint="default" w:ascii="Times New Roman" w:hAnsi="Times New Roman" w:cs="Times New Roman"/>
                      <w:color w:val="auto"/>
                      <w:sz w:val="21"/>
                      <w:szCs w:val="21"/>
                    </w:rPr>
                  </w:pPr>
                </w:p>
              </w:tc>
              <w:tc>
                <w:tcPr>
                  <w:tcW w:w="476" w:type="pct"/>
                  <w:tcBorders>
                    <w:tl2br w:val="nil"/>
                    <w:tr2bl w:val="nil"/>
                  </w:tcBorders>
                  <w:shd w:val="clear" w:color="auto" w:fill="auto"/>
                  <w:noWrap/>
                  <w:vAlign w:val="center"/>
                </w:tcPr>
                <w:p w14:paraId="028B03F2">
                  <w:pPr>
                    <w:widowControl/>
                    <w:spacing w:line="300" w:lineRule="exact"/>
                    <w:jc w:val="center"/>
                    <w:textAlignment w:val="center"/>
                    <w:rPr>
                      <w:rFonts w:hint="default" w:ascii="Times New Roman" w:hAnsi="Times New Roman" w:cs="Times New Roman"/>
                      <w:color w:val="auto"/>
                      <w:sz w:val="21"/>
                      <w:szCs w:val="21"/>
                    </w:rPr>
                  </w:pPr>
                </w:p>
              </w:tc>
              <w:tc>
                <w:tcPr>
                  <w:tcW w:w="574" w:type="pct"/>
                  <w:tcBorders>
                    <w:tl2br w:val="nil"/>
                    <w:tr2bl w:val="nil"/>
                  </w:tcBorders>
                  <w:shd w:val="clear" w:color="auto" w:fill="auto"/>
                  <w:noWrap/>
                  <w:vAlign w:val="center"/>
                </w:tcPr>
                <w:p w14:paraId="4B679081">
                  <w:pPr>
                    <w:widowControl/>
                    <w:spacing w:line="300" w:lineRule="exact"/>
                    <w:jc w:val="center"/>
                    <w:textAlignment w:val="center"/>
                    <w:rPr>
                      <w:rFonts w:hint="default" w:ascii="Times New Roman" w:hAnsi="Times New Roman" w:cs="Times New Roman"/>
                      <w:color w:val="auto"/>
                      <w:sz w:val="21"/>
                      <w:szCs w:val="21"/>
                    </w:rPr>
                  </w:pPr>
                </w:p>
              </w:tc>
              <w:tc>
                <w:tcPr>
                  <w:tcW w:w="1617" w:type="pct"/>
                  <w:tcBorders>
                    <w:tl2br w:val="nil"/>
                    <w:tr2bl w:val="nil"/>
                  </w:tcBorders>
                  <w:shd w:val="clear" w:color="auto" w:fill="auto"/>
                  <w:noWrap/>
                  <w:vAlign w:val="center"/>
                </w:tcPr>
                <w:p w14:paraId="4DE93FB2">
                  <w:pPr>
                    <w:widowControl/>
                    <w:spacing w:line="300" w:lineRule="exact"/>
                    <w:jc w:val="both"/>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皂化液循环使用，5个月排放1次，废皂液排放至低位皂液池，作为危废处置</w:t>
                  </w:r>
                </w:p>
              </w:tc>
            </w:tr>
            <w:tr w14:paraId="6FC7A4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11" w:type="pct"/>
                  <w:tcBorders>
                    <w:tl2br w:val="nil"/>
                    <w:tr2bl w:val="nil"/>
                  </w:tcBorders>
                  <w:shd w:val="clear" w:color="auto" w:fill="auto"/>
                  <w:vAlign w:val="center"/>
                </w:tcPr>
                <w:p w14:paraId="7DEC02E4">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石灰槽</w:t>
                  </w:r>
                </w:p>
              </w:tc>
              <w:tc>
                <w:tcPr>
                  <w:tcW w:w="1026" w:type="pct"/>
                  <w:tcBorders>
                    <w:tl2br w:val="nil"/>
                    <w:tr2bl w:val="nil"/>
                  </w:tcBorders>
                  <w:shd w:val="clear" w:color="auto" w:fill="auto"/>
                  <w:vAlign w:val="center"/>
                </w:tcPr>
                <w:p w14:paraId="0F502F2C">
                  <w:pPr>
                    <w:widowControl/>
                    <w:spacing w:line="300" w:lineRule="exact"/>
                    <w:jc w:val="center"/>
                    <w:textAlignment w:val="center"/>
                    <w:rPr>
                      <w:rFonts w:hint="default" w:ascii="Times New Roman" w:hAnsi="Times New Roman" w:cs="Times New Roman"/>
                      <w:color w:val="auto"/>
                      <w:sz w:val="21"/>
                      <w:szCs w:val="21"/>
                    </w:rPr>
                  </w:pPr>
                </w:p>
              </w:tc>
              <w:tc>
                <w:tcPr>
                  <w:tcW w:w="692" w:type="pct"/>
                  <w:tcBorders>
                    <w:tl2br w:val="nil"/>
                    <w:tr2bl w:val="nil"/>
                  </w:tcBorders>
                  <w:shd w:val="clear" w:color="auto" w:fill="auto"/>
                  <w:vAlign w:val="center"/>
                </w:tcPr>
                <w:p w14:paraId="18165385">
                  <w:pPr>
                    <w:widowControl/>
                    <w:spacing w:line="300" w:lineRule="exact"/>
                    <w:jc w:val="center"/>
                    <w:textAlignment w:val="center"/>
                    <w:rPr>
                      <w:rFonts w:hint="default" w:ascii="Times New Roman" w:hAnsi="Times New Roman" w:cs="Times New Roman"/>
                      <w:color w:val="auto"/>
                      <w:sz w:val="21"/>
                      <w:szCs w:val="21"/>
                    </w:rPr>
                  </w:pPr>
                </w:p>
              </w:tc>
              <w:tc>
                <w:tcPr>
                  <w:tcW w:w="476" w:type="pct"/>
                  <w:tcBorders>
                    <w:tl2br w:val="nil"/>
                    <w:tr2bl w:val="nil"/>
                  </w:tcBorders>
                  <w:shd w:val="clear" w:color="auto" w:fill="auto"/>
                  <w:noWrap/>
                  <w:vAlign w:val="center"/>
                </w:tcPr>
                <w:p w14:paraId="2E319F70">
                  <w:pPr>
                    <w:widowControl/>
                    <w:spacing w:line="300" w:lineRule="exact"/>
                    <w:jc w:val="center"/>
                    <w:textAlignment w:val="center"/>
                    <w:rPr>
                      <w:rFonts w:hint="default" w:ascii="Times New Roman" w:hAnsi="Times New Roman" w:cs="Times New Roman"/>
                      <w:color w:val="auto"/>
                      <w:sz w:val="21"/>
                      <w:szCs w:val="21"/>
                    </w:rPr>
                  </w:pPr>
                </w:p>
              </w:tc>
              <w:tc>
                <w:tcPr>
                  <w:tcW w:w="574" w:type="pct"/>
                  <w:tcBorders>
                    <w:tl2br w:val="nil"/>
                    <w:tr2bl w:val="nil"/>
                  </w:tcBorders>
                  <w:shd w:val="clear" w:color="auto" w:fill="auto"/>
                  <w:noWrap/>
                  <w:vAlign w:val="center"/>
                </w:tcPr>
                <w:p w14:paraId="6DCA010A">
                  <w:pPr>
                    <w:widowControl/>
                    <w:spacing w:line="300" w:lineRule="exact"/>
                    <w:jc w:val="center"/>
                    <w:textAlignment w:val="center"/>
                    <w:rPr>
                      <w:rFonts w:hint="default" w:ascii="Times New Roman" w:hAnsi="Times New Roman" w:cs="Times New Roman"/>
                      <w:color w:val="auto"/>
                      <w:sz w:val="21"/>
                      <w:szCs w:val="21"/>
                    </w:rPr>
                  </w:pPr>
                </w:p>
              </w:tc>
              <w:tc>
                <w:tcPr>
                  <w:tcW w:w="1617" w:type="pct"/>
                  <w:tcBorders>
                    <w:tl2br w:val="nil"/>
                    <w:tr2bl w:val="nil"/>
                  </w:tcBorders>
                  <w:shd w:val="clear" w:color="auto" w:fill="auto"/>
                  <w:noWrap/>
                  <w:vAlign w:val="center"/>
                </w:tcPr>
                <w:p w14:paraId="205897C8">
                  <w:pPr>
                    <w:widowControl/>
                    <w:spacing w:line="300" w:lineRule="exact"/>
                    <w:jc w:val="both"/>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循环使用，定期进行补充损耗，不外排</w:t>
                  </w:r>
                </w:p>
              </w:tc>
            </w:tr>
            <w:tr w14:paraId="1A7DD9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11" w:type="pct"/>
                  <w:tcBorders>
                    <w:tl2br w:val="nil"/>
                    <w:tr2bl w:val="nil"/>
                  </w:tcBorders>
                  <w:shd w:val="clear" w:color="auto" w:fill="auto"/>
                  <w:vAlign w:val="center"/>
                </w:tcPr>
                <w:p w14:paraId="21B24419">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烘干槽</w:t>
                  </w:r>
                </w:p>
              </w:tc>
              <w:tc>
                <w:tcPr>
                  <w:tcW w:w="1026" w:type="pct"/>
                  <w:tcBorders>
                    <w:tl2br w:val="nil"/>
                    <w:tr2bl w:val="nil"/>
                  </w:tcBorders>
                  <w:shd w:val="clear" w:color="auto" w:fill="auto"/>
                  <w:vAlign w:val="center"/>
                </w:tcPr>
                <w:p w14:paraId="62926D11">
                  <w:pPr>
                    <w:widowControl/>
                    <w:spacing w:line="300" w:lineRule="exact"/>
                    <w:jc w:val="center"/>
                    <w:textAlignment w:val="center"/>
                    <w:rPr>
                      <w:rFonts w:hint="default" w:ascii="Times New Roman" w:hAnsi="Times New Roman" w:cs="Times New Roman"/>
                      <w:color w:val="auto"/>
                      <w:sz w:val="21"/>
                      <w:szCs w:val="21"/>
                    </w:rPr>
                  </w:pPr>
                </w:p>
              </w:tc>
              <w:tc>
                <w:tcPr>
                  <w:tcW w:w="692" w:type="pct"/>
                  <w:tcBorders>
                    <w:tl2br w:val="nil"/>
                    <w:tr2bl w:val="nil"/>
                  </w:tcBorders>
                  <w:shd w:val="clear" w:color="auto" w:fill="auto"/>
                  <w:vAlign w:val="center"/>
                </w:tcPr>
                <w:p w14:paraId="65FFE375">
                  <w:pPr>
                    <w:widowControl/>
                    <w:spacing w:line="300" w:lineRule="exact"/>
                    <w:jc w:val="center"/>
                    <w:textAlignment w:val="center"/>
                    <w:rPr>
                      <w:rFonts w:hint="default" w:ascii="Times New Roman" w:hAnsi="Times New Roman" w:cs="Times New Roman"/>
                      <w:color w:val="auto"/>
                      <w:sz w:val="21"/>
                      <w:szCs w:val="21"/>
                    </w:rPr>
                  </w:pPr>
                </w:p>
              </w:tc>
              <w:tc>
                <w:tcPr>
                  <w:tcW w:w="476" w:type="pct"/>
                  <w:tcBorders>
                    <w:tl2br w:val="nil"/>
                    <w:tr2bl w:val="nil"/>
                  </w:tcBorders>
                  <w:shd w:val="clear" w:color="auto" w:fill="auto"/>
                  <w:vAlign w:val="center"/>
                </w:tcPr>
                <w:p w14:paraId="01C9AA7A">
                  <w:pPr>
                    <w:widowControl/>
                    <w:spacing w:line="300" w:lineRule="exact"/>
                    <w:jc w:val="center"/>
                    <w:textAlignment w:val="center"/>
                    <w:rPr>
                      <w:rFonts w:hint="default" w:ascii="Times New Roman" w:hAnsi="Times New Roman" w:cs="Times New Roman"/>
                      <w:color w:val="auto"/>
                      <w:sz w:val="21"/>
                      <w:szCs w:val="21"/>
                    </w:rPr>
                  </w:pPr>
                </w:p>
              </w:tc>
              <w:tc>
                <w:tcPr>
                  <w:tcW w:w="574" w:type="pct"/>
                  <w:tcBorders>
                    <w:tl2br w:val="nil"/>
                    <w:tr2bl w:val="nil"/>
                  </w:tcBorders>
                  <w:shd w:val="clear" w:color="auto" w:fill="auto"/>
                  <w:noWrap/>
                  <w:vAlign w:val="center"/>
                </w:tcPr>
                <w:p w14:paraId="407ECC11">
                  <w:pPr>
                    <w:widowControl/>
                    <w:spacing w:line="300" w:lineRule="exact"/>
                    <w:jc w:val="center"/>
                    <w:textAlignment w:val="center"/>
                    <w:rPr>
                      <w:rFonts w:hint="default" w:ascii="Times New Roman" w:hAnsi="Times New Roman" w:cs="Times New Roman"/>
                      <w:color w:val="auto"/>
                      <w:sz w:val="21"/>
                      <w:szCs w:val="21"/>
                    </w:rPr>
                  </w:pPr>
                </w:p>
              </w:tc>
              <w:tc>
                <w:tcPr>
                  <w:tcW w:w="1617" w:type="pct"/>
                  <w:tcBorders>
                    <w:tl2br w:val="nil"/>
                    <w:tr2bl w:val="nil"/>
                  </w:tcBorders>
                  <w:shd w:val="clear" w:color="auto" w:fill="auto"/>
                  <w:vAlign w:val="center"/>
                </w:tcPr>
                <w:p w14:paraId="2B6421E7">
                  <w:pPr>
                    <w:widowControl/>
                    <w:spacing w:line="300" w:lineRule="exact"/>
                    <w:jc w:val="center"/>
                    <w:rPr>
                      <w:rFonts w:hint="default" w:ascii="Times New Roman" w:hAnsi="Times New Roman" w:cs="Times New Roman"/>
                      <w:color w:val="auto"/>
                      <w:sz w:val="21"/>
                      <w:szCs w:val="21"/>
                    </w:rPr>
                  </w:pPr>
                </w:p>
              </w:tc>
            </w:tr>
            <w:tr w14:paraId="249BA5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11" w:type="pct"/>
                  <w:tcBorders>
                    <w:tl2br w:val="nil"/>
                    <w:tr2bl w:val="nil"/>
                  </w:tcBorders>
                  <w:shd w:val="clear" w:color="auto" w:fill="auto"/>
                  <w:vAlign w:val="center"/>
                </w:tcPr>
                <w:p w14:paraId="0E208DC4">
                  <w:pPr>
                    <w:widowControl/>
                    <w:spacing w:line="300" w:lineRule="exact"/>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上下料架</w:t>
                  </w:r>
                </w:p>
              </w:tc>
              <w:tc>
                <w:tcPr>
                  <w:tcW w:w="1026" w:type="pct"/>
                  <w:tcBorders>
                    <w:tl2br w:val="nil"/>
                    <w:tr2bl w:val="nil"/>
                  </w:tcBorders>
                  <w:shd w:val="clear" w:color="auto" w:fill="auto"/>
                  <w:vAlign w:val="center"/>
                </w:tcPr>
                <w:p w14:paraId="53467024">
                  <w:pPr>
                    <w:widowControl/>
                    <w:spacing w:line="300" w:lineRule="exact"/>
                    <w:jc w:val="center"/>
                    <w:rPr>
                      <w:rFonts w:hint="default" w:ascii="Times New Roman" w:hAnsi="Times New Roman" w:cs="Times New Roman"/>
                      <w:color w:val="auto"/>
                      <w:sz w:val="21"/>
                      <w:szCs w:val="21"/>
                    </w:rPr>
                  </w:pPr>
                </w:p>
              </w:tc>
              <w:tc>
                <w:tcPr>
                  <w:tcW w:w="692" w:type="pct"/>
                  <w:tcBorders>
                    <w:tl2br w:val="nil"/>
                    <w:tr2bl w:val="nil"/>
                  </w:tcBorders>
                  <w:shd w:val="clear" w:color="auto" w:fill="auto"/>
                  <w:vAlign w:val="center"/>
                </w:tcPr>
                <w:p w14:paraId="50AE071C">
                  <w:pPr>
                    <w:widowControl/>
                    <w:spacing w:line="300" w:lineRule="exact"/>
                    <w:jc w:val="center"/>
                    <w:rPr>
                      <w:rFonts w:hint="default" w:ascii="Times New Roman" w:hAnsi="Times New Roman" w:cs="Times New Roman"/>
                      <w:color w:val="auto"/>
                      <w:sz w:val="21"/>
                      <w:szCs w:val="21"/>
                    </w:rPr>
                  </w:pPr>
                </w:p>
              </w:tc>
              <w:tc>
                <w:tcPr>
                  <w:tcW w:w="476" w:type="pct"/>
                  <w:tcBorders>
                    <w:tl2br w:val="nil"/>
                    <w:tr2bl w:val="nil"/>
                  </w:tcBorders>
                  <w:shd w:val="clear" w:color="auto" w:fill="auto"/>
                  <w:vAlign w:val="center"/>
                </w:tcPr>
                <w:p w14:paraId="2AE903FA">
                  <w:pPr>
                    <w:widowControl/>
                    <w:spacing w:line="300" w:lineRule="exact"/>
                    <w:jc w:val="center"/>
                    <w:textAlignment w:val="center"/>
                    <w:rPr>
                      <w:rFonts w:hint="default" w:ascii="Times New Roman" w:hAnsi="Times New Roman" w:cs="Times New Roman"/>
                      <w:color w:val="auto"/>
                      <w:sz w:val="21"/>
                      <w:szCs w:val="21"/>
                    </w:rPr>
                  </w:pPr>
                </w:p>
              </w:tc>
              <w:tc>
                <w:tcPr>
                  <w:tcW w:w="574" w:type="pct"/>
                  <w:tcBorders>
                    <w:tl2br w:val="nil"/>
                    <w:tr2bl w:val="nil"/>
                  </w:tcBorders>
                  <w:shd w:val="clear" w:color="auto" w:fill="auto"/>
                  <w:vAlign w:val="center"/>
                </w:tcPr>
                <w:p w14:paraId="1C54C3ED">
                  <w:pPr>
                    <w:widowControl/>
                    <w:spacing w:line="300" w:lineRule="exact"/>
                    <w:jc w:val="center"/>
                    <w:rPr>
                      <w:rFonts w:hint="default" w:ascii="Times New Roman" w:hAnsi="Times New Roman" w:cs="Times New Roman"/>
                      <w:color w:val="auto"/>
                      <w:sz w:val="21"/>
                      <w:szCs w:val="21"/>
                    </w:rPr>
                  </w:pPr>
                </w:p>
              </w:tc>
              <w:tc>
                <w:tcPr>
                  <w:tcW w:w="1617" w:type="pct"/>
                  <w:tcBorders>
                    <w:tl2br w:val="nil"/>
                    <w:tr2bl w:val="nil"/>
                  </w:tcBorders>
                  <w:shd w:val="clear" w:color="auto" w:fill="auto"/>
                  <w:noWrap/>
                  <w:vAlign w:val="center"/>
                </w:tcPr>
                <w:p w14:paraId="0B216C31">
                  <w:pPr>
                    <w:widowControl/>
                    <w:spacing w:line="300" w:lineRule="exact"/>
                    <w:jc w:val="center"/>
                    <w:rPr>
                      <w:rFonts w:hint="default" w:ascii="Times New Roman" w:hAnsi="Times New Roman" w:cs="Times New Roman"/>
                      <w:color w:val="auto"/>
                      <w:sz w:val="21"/>
                      <w:szCs w:val="21"/>
                    </w:rPr>
                  </w:pPr>
                </w:p>
              </w:tc>
            </w:tr>
          </w:tbl>
          <w:p w14:paraId="6B9667E9">
            <w:pPr>
              <w:pStyle w:val="5"/>
              <w:keepNext w:val="0"/>
              <w:keepLines w:val="0"/>
              <w:pageBreakBefore w:val="0"/>
              <w:widowControl w:val="0"/>
              <w:kinsoku/>
              <w:wordWrap/>
              <w:overflowPunct/>
              <w:topLinePunct w:val="0"/>
              <w:autoSpaceDE/>
              <w:autoSpaceDN/>
              <w:bidi w:val="0"/>
              <w:adjustRightInd w:val="0"/>
              <w:snapToGrid w:val="0"/>
              <w:spacing w:before="115" w:beforeLines="30" w:after="189" w:afterLines="50" w:afterAutospacing="0" w:line="240" w:lineRule="auto"/>
              <w:textAlignment w:val="auto"/>
              <w:rPr>
                <w:rFonts w:hint="default" w:ascii="Times New Roman" w:hAnsi="Times New Roman" w:cs="Times New Roman"/>
                <w:color w:val="auto"/>
              </w:rPr>
            </w:pPr>
            <w:r>
              <w:rPr>
                <w:rFonts w:hint="default" w:ascii="Times New Roman" w:hAnsi="Times New Roman" w:cs="Times New Roman"/>
                <w:color w:val="auto"/>
              </w:rPr>
              <w:t>2.2.7公用工程</w:t>
            </w:r>
          </w:p>
          <w:p w14:paraId="13A83292">
            <w:pPr>
              <w:pStyle w:val="6"/>
              <w:keepNext w:val="0"/>
              <w:keepLines w:val="0"/>
              <w:spacing w:before="189" w:beforeLines="50" w:after="189" w:afterLines="50" w:line="240" w:lineRule="auto"/>
              <w:rPr>
                <w:rFonts w:hint="default" w:ascii="Times New Roman" w:hAnsi="Times New Roman" w:cs="Times New Roman"/>
                <w:color w:val="auto"/>
              </w:rPr>
            </w:pPr>
            <w:r>
              <w:rPr>
                <w:rFonts w:hint="default" w:ascii="Times New Roman" w:hAnsi="Times New Roman" w:cs="Times New Roman"/>
                <w:color w:val="auto"/>
              </w:rPr>
              <w:t>2.2.7.1供电</w:t>
            </w:r>
          </w:p>
          <w:p w14:paraId="6C27501B">
            <w:pPr>
              <w:snapToGrid w:val="0"/>
              <w:spacing w:line="360" w:lineRule="auto"/>
              <w:ind w:firstLine="480" w:firstLineChars="200"/>
              <w:rPr>
                <w:rFonts w:hint="default" w:ascii="Times New Roman" w:hAnsi="Times New Roman" w:cs="Times New Roman"/>
                <w:snapToGrid w:val="0"/>
                <w:color w:val="auto"/>
                <w:sz w:val="24"/>
              </w:rPr>
            </w:pPr>
            <w:r>
              <w:rPr>
                <w:rFonts w:hint="default" w:ascii="Times New Roman" w:hAnsi="Times New Roman" w:cs="Times New Roman"/>
                <w:snapToGrid w:val="0"/>
                <w:color w:val="auto"/>
                <w:sz w:val="24"/>
              </w:rPr>
              <w:t>厂区内设有35kV开关站1座，10kV系统采用单母线分段接线及放射性供电方式。本项目供电电源由现有的10/0.4kV供电系统，并在新扩建内增设置低压配电系统，为本项目新增设备设施供电。</w:t>
            </w:r>
          </w:p>
          <w:p w14:paraId="330EE55D">
            <w:pPr>
              <w:pStyle w:val="6"/>
              <w:keepNext w:val="0"/>
              <w:keepLines w:val="0"/>
              <w:spacing w:before="189" w:beforeLines="50" w:after="189" w:afterLines="50" w:line="240" w:lineRule="auto"/>
              <w:rPr>
                <w:rFonts w:hint="default" w:ascii="Times New Roman" w:hAnsi="Times New Roman" w:cs="Times New Roman"/>
                <w:color w:val="auto"/>
              </w:rPr>
            </w:pPr>
            <w:r>
              <w:rPr>
                <w:rFonts w:hint="default" w:ascii="Times New Roman" w:hAnsi="Times New Roman" w:cs="Times New Roman"/>
                <w:color w:val="auto"/>
              </w:rPr>
              <w:t>2.2.7.2给水、排水</w:t>
            </w:r>
          </w:p>
          <w:p w14:paraId="6F22507F">
            <w:pPr>
              <w:pStyle w:val="2"/>
              <w:keepNext w:val="0"/>
              <w:keepLines w:val="0"/>
              <w:pageBreakBefore w:val="0"/>
              <w:widowControl w:val="0"/>
              <w:kinsoku/>
              <w:wordWrap/>
              <w:overflowPunct/>
              <w:topLinePunct w:val="0"/>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（1）给水</w:t>
            </w:r>
          </w:p>
          <w:p w14:paraId="548A9B9C">
            <w:pPr>
              <w:pStyle w:val="2"/>
              <w:keepNext w:val="0"/>
              <w:keepLines w:val="0"/>
              <w:pageBreakBefore w:val="0"/>
              <w:widowControl w:val="0"/>
              <w:kinsoku/>
              <w:wordWrap/>
              <w:overflowPunct/>
              <w:topLinePunct w:val="0"/>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生产用水、消防用水、生活用水引自福建省明光新型材料有限公司现有给水管网生产水管网、消防水管网及生活水管网，由金古园区市政管网供给，生产水、消防水供水压力0.25~0.35MPa。</w:t>
            </w:r>
          </w:p>
          <w:p w14:paraId="5816A2AC">
            <w:pPr>
              <w:pStyle w:val="2"/>
              <w:keepNext w:val="0"/>
              <w:keepLines w:val="0"/>
              <w:pageBreakBefore w:val="0"/>
              <w:widowControl w:val="0"/>
              <w:kinsoku/>
              <w:wordWrap/>
              <w:overflowPunct/>
              <w:topLinePunct w:val="0"/>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①生活用水</w:t>
            </w:r>
          </w:p>
          <w:p w14:paraId="0A87081E">
            <w:pPr>
              <w:pStyle w:val="2"/>
              <w:keepNext w:val="0"/>
              <w:keepLines w:val="0"/>
              <w:pageBreakBefore w:val="0"/>
              <w:widowControl w:val="0"/>
              <w:kinsoku/>
              <w:wordWrap/>
              <w:overflowPunct/>
              <w:topLinePunct w:val="0"/>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yellow"/>
              </w:rPr>
            </w:pPr>
            <w:r>
              <w:rPr>
                <w:rFonts w:hint="default" w:ascii="Times New Roman" w:hAnsi="Times New Roman" w:cs="Times New Roman"/>
                <w:color w:val="auto"/>
                <w:sz w:val="24"/>
                <w:szCs w:val="24"/>
              </w:rPr>
              <w:t>项目新增劳动定员为18人，项目建成后全部在厂员工约120人，生活用水约50L/天·人，全厂生活用水量约6m³/d。</w:t>
            </w:r>
          </w:p>
          <w:p w14:paraId="120AA742">
            <w:pPr>
              <w:pStyle w:val="2"/>
              <w:keepNext w:val="0"/>
              <w:keepLines w:val="0"/>
              <w:pageBreakBefore w:val="0"/>
              <w:widowControl w:val="0"/>
              <w:kinsoku/>
              <w:wordWrap/>
              <w:overflowPunct/>
              <w:topLinePunct w:val="0"/>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②生产用水</w:t>
            </w:r>
          </w:p>
          <w:p w14:paraId="1647BC84">
            <w:pPr>
              <w:pStyle w:val="41"/>
              <w:keepNext w:val="0"/>
              <w:keepLines w:val="0"/>
              <w:pageBreakBefore w:val="0"/>
              <w:widowControl w:val="0"/>
              <w:kinsoku/>
              <w:wordWrap/>
              <w:overflowPunct/>
              <w:topLinePunct w:val="0"/>
              <w:autoSpaceDN/>
              <w:bidi w:val="0"/>
              <w:adjustRightInd w:val="0"/>
              <w:snapToGrid w:val="0"/>
              <w:spacing w:before="0" w:beforeAutospacing="0" w:after="0" w:afterAutospacing="0"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color w:val="auto"/>
                <w:sz w:val="24"/>
                <w:szCs w:val="24"/>
              </w:rPr>
              <w:t>却水循环系统</w:t>
            </w:r>
            <w:r>
              <w:rPr>
                <w:rFonts w:hint="default" w:ascii="Times New Roman" w:hAnsi="Times New Roman" w:cs="Times New Roman"/>
                <w:bCs/>
                <w:color w:val="auto"/>
                <w:sz w:val="24"/>
                <w:szCs w:val="24"/>
              </w:rPr>
              <w:t>用水：拉丝机</w:t>
            </w:r>
            <w:r>
              <w:rPr>
                <w:rFonts w:hint="default" w:ascii="Times New Roman" w:hAnsi="Times New Roman" w:cs="Times New Roman"/>
                <w:color w:val="auto"/>
                <w:sz w:val="24"/>
                <w:szCs w:val="24"/>
              </w:rPr>
              <w:t>用冷却水循环系统进行冷却，循环水量</w:t>
            </w:r>
            <w:r>
              <w:rPr>
                <w:rFonts w:hint="default" w:ascii="Times New Roman" w:hAnsi="Times New Roman" w:cs="Times New Roman"/>
                <w:color w:val="auto"/>
                <w:sz w:val="24"/>
                <w:szCs w:val="24"/>
                <w:lang w:val="en-US" w:eastAsia="zh-CN"/>
              </w:rPr>
              <w:t>93</w:t>
            </w:r>
            <w:r>
              <w:rPr>
                <w:rFonts w:hint="default" w:ascii="Times New Roman" w:hAnsi="Times New Roman" w:cs="Times New Roman"/>
                <w:color w:val="auto"/>
                <w:sz w:val="24"/>
                <w:szCs w:val="24"/>
              </w:rPr>
              <w:t>0m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/h，冷却水在闭式管道内循环，不与产品接触，为设备间接冷却水。回水余压上冷却塔冷却降温后回到循环水泵房吸水井，再用加压泵送至车间循环使用。</w:t>
            </w:r>
            <w:r>
              <w:rPr>
                <w:rFonts w:hint="default" w:ascii="Times New Roman" w:hAnsi="Times New Roman" w:cs="Times New Roman"/>
                <w:bCs/>
                <w:color w:val="auto"/>
                <w:sz w:val="24"/>
                <w:szCs w:val="24"/>
              </w:rPr>
              <w:t>拉丝机</w:t>
            </w:r>
            <w:r>
              <w:rPr>
                <w:rFonts w:hint="default" w:ascii="Times New Roman" w:hAnsi="Times New Roman" w:cs="Times New Roman"/>
                <w:color w:val="auto"/>
                <w:sz w:val="24"/>
                <w:szCs w:val="24"/>
              </w:rPr>
              <w:t>用冷却循环水的消耗方式是自然蒸发，循环系统补充水量</w:t>
            </w:r>
            <w:r>
              <w:rPr>
                <w:rFonts w:hint="default" w:ascii="Times New Roman" w:hAnsi="Times New Roman" w:cs="Times New Roman"/>
                <w:color w:val="auto"/>
                <w:sz w:val="24"/>
                <w:szCs w:val="24"/>
                <w:lang w:val="en-US" w:eastAsia="zh-CN"/>
              </w:rPr>
              <w:t>4.6</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/h</w:t>
            </w:r>
            <w:r>
              <w:rPr>
                <w:rFonts w:hint="default" w:ascii="Times New Roman" w:hAnsi="Times New Roman" w:cs="Times New Roman"/>
                <w:bCs/>
                <w:color w:val="auto"/>
                <w:sz w:val="24"/>
                <w:szCs w:val="24"/>
              </w:rPr>
              <w:t>。</w:t>
            </w:r>
          </w:p>
          <w:p w14:paraId="5BCD4F18">
            <w:pPr>
              <w:pStyle w:val="30"/>
              <w:keepNext w:val="0"/>
              <w:keepLines w:val="0"/>
              <w:pageBreakBefore w:val="0"/>
              <w:widowControl w:val="0"/>
              <w:kinsoku/>
              <w:wordWrap/>
              <w:overflowPunct/>
              <w:topLinePunct w:val="0"/>
              <w:autoSpaceDE w:val="0"/>
              <w:autoSpaceDN/>
              <w:bidi w:val="0"/>
              <w:adjustRightInd w:val="0"/>
              <w:snapToGrid w:val="0"/>
              <w:spacing w:before="0" w:beforeAutospacing="0" w:after="0" w:afterAutospacing="0" w:line="360" w:lineRule="auto"/>
              <w:ind w:firstLine="480" w:firstLineChars="200"/>
              <w:jc w:val="both"/>
              <w:textAlignment w:val="auto"/>
              <w:rPr>
                <w:rFonts w:hint="default" w:ascii="Times New Roman" w:hAnsi="Times New Roman" w:cs="Times New Roman"/>
                <w:color w:val="auto"/>
                <w:sz w:val="24"/>
                <w:szCs w:val="24"/>
                <w:lang w:bidi="ar"/>
              </w:rPr>
            </w:pPr>
            <w:r>
              <w:rPr>
                <w:rFonts w:hint="default" w:ascii="Times New Roman" w:hAnsi="Times New Roman" w:cs="Times New Roman"/>
                <w:color w:val="auto"/>
                <w:sz w:val="24"/>
                <w:szCs w:val="24"/>
                <w:lang w:bidi="ar"/>
              </w:rPr>
              <w:t>表面处理生产线用水：</w:t>
            </w:r>
          </w:p>
          <w:p w14:paraId="223DCEA7">
            <w:pPr>
              <w:pStyle w:val="30"/>
              <w:keepNext w:val="0"/>
              <w:keepLines w:val="0"/>
              <w:pageBreakBefore w:val="0"/>
              <w:widowControl w:val="0"/>
              <w:kinsoku/>
              <w:wordWrap/>
              <w:overflowPunct/>
              <w:topLinePunct w:val="0"/>
              <w:autoSpaceDE w:val="0"/>
              <w:autoSpaceDN/>
              <w:bidi w:val="0"/>
              <w:adjustRightInd w:val="0"/>
              <w:snapToGrid w:val="0"/>
              <w:spacing w:before="0" w:beforeAutospacing="0" w:after="0" w:afterAutospacing="0" w:line="360" w:lineRule="auto"/>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bidi="ar"/>
              </w:rPr>
              <w:t>1个</w:t>
            </w:r>
            <w:r>
              <w:rPr>
                <w:rFonts w:hint="default" w:ascii="Times New Roman" w:hAnsi="Times New Roman" w:cs="Times New Roman"/>
                <w:bCs/>
                <w:color w:val="auto"/>
                <w:spacing w:val="-2"/>
                <w:kern w:val="2"/>
                <w:sz w:val="24"/>
                <w:szCs w:val="24"/>
                <w:lang w:bidi="ar"/>
              </w:rPr>
              <w:t>水密封清洗槽</w:t>
            </w:r>
            <w:r>
              <w:rPr>
                <w:rFonts w:hint="default" w:ascii="Times New Roman" w:hAnsi="Times New Roman" w:cs="Times New Roman"/>
                <w:color w:val="auto"/>
                <w:sz w:val="24"/>
                <w:szCs w:val="24"/>
                <w:lang w:bidi="ar"/>
              </w:rPr>
              <w:t>，槽体尺寸</w:t>
            </w:r>
            <w:r>
              <w:rPr>
                <w:rFonts w:hint="default" w:ascii="Times New Roman" w:hAnsi="Times New Roman" w:cs="Times New Roman"/>
                <w:color w:val="auto"/>
                <w:kern w:val="2"/>
                <w:sz w:val="24"/>
                <w:szCs w:val="24"/>
                <w:lang w:bidi="ar"/>
              </w:rPr>
              <w:t>14m×2.5m×2.5m</w:t>
            </w:r>
            <w:r>
              <w:rPr>
                <w:rFonts w:hint="default" w:ascii="Times New Roman" w:hAnsi="Times New Roman" w:cs="Times New Roman"/>
                <w:color w:val="auto"/>
                <w:sz w:val="24"/>
                <w:szCs w:val="24"/>
                <w:lang w:bidi="ar"/>
              </w:rPr>
              <w:t>，槽体填充体积约90%，槽液总容积78.8m</w:t>
            </w:r>
            <w:r>
              <w:rPr>
                <w:rFonts w:hint="default" w:ascii="Times New Roman" w:hAnsi="Times New Roman" w:cs="Times New Roman"/>
                <w:color w:val="auto"/>
                <w:sz w:val="24"/>
                <w:szCs w:val="24"/>
                <w:vertAlign w:val="superscript"/>
                <w:lang w:bidi="ar"/>
              </w:rPr>
              <w:t>3</w:t>
            </w:r>
            <w:r>
              <w:rPr>
                <w:rFonts w:hint="default" w:ascii="Times New Roman" w:hAnsi="Times New Roman" w:cs="Times New Roman"/>
                <w:color w:val="auto"/>
                <w:sz w:val="24"/>
                <w:szCs w:val="24"/>
                <w:lang w:bidi="ar"/>
              </w:rPr>
              <w:t>，</w:t>
            </w:r>
            <w:r>
              <w:rPr>
                <w:rFonts w:hint="default" w:ascii="Times New Roman" w:hAnsi="Times New Roman" w:cs="Times New Roman"/>
                <w:bCs/>
                <w:color w:val="auto"/>
                <w:spacing w:val="-2"/>
                <w:kern w:val="2"/>
                <w:sz w:val="24"/>
                <w:szCs w:val="24"/>
                <w:lang w:bidi="ar"/>
              </w:rPr>
              <w:t>水密封清洗</w:t>
            </w:r>
            <w:r>
              <w:rPr>
                <w:rFonts w:hint="default" w:ascii="Times New Roman" w:hAnsi="Times New Roman" w:cs="Times New Roman"/>
                <w:color w:val="auto"/>
                <w:sz w:val="24"/>
                <w:szCs w:val="24"/>
                <w:lang w:bidi="ar"/>
              </w:rPr>
              <w:t>槽溢流排水，以每天溢流量</w:t>
            </w:r>
            <w:r>
              <w:rPr>
                <w:rFonts w:hint="default" w:ascii="Times New Roman" w:hAnsi="Times New Roman" w:cs="Times New Roman"/>
                <w:color w:val="auto"/>
                <w:sz w:val="24"/>
                <w:szCs w:val="24"/>
                <w:lang w:val="en-US" w:eastAsia="zh-CN" w:bidi="ar"/>
              </w:rPr>
              <w:t>6</w:t>
            </w:r>
            <w:r>
              <w:rPr>
                <w:rFonts w:hint="default" w:ascii="Times New Roman" w:hAnsi="Times New Roman" w:cs="Times New Roman"/>
                <w:color w:val="auto"/>
                <w:sz w:val="24"/>
                <w:szCs w:val="24"/>
                <w:lang w:bidi="ar"/>
              </w:rPr>
              <w:t>%计，则</w:t>
            </w:r>
            <w:r>
              <w:rPr>
                <w:rFonts w:hint="default" w:ascii="Times New Roman" w:hAnsi="Times New Roman" w:cs="Times New Roman"/>
                <w:bCs/>
                <w:color w:val="auto"/>
                <w:spacing w:val="-2"/>
                <w:kern w:val="2"/>
                <w:sz w:val="24"/>
                <w:szCs w:val="24"/>
                <w:lang w:bidi="ar"/>
              </w:rPr>
              <w:t>水密封清洗用水3.94</w:t>
            </w:r>
            <w:r>
              <w:rPr>
                <w:rFonts w:hint="default" w:ascii="Times New Roman" w:hAnsi="Times New Roman" w:cs="Times New Roman"/>
                <w:color w:val="auto"/>
                <w:sz w:val="24"/>
                <w:szCs w:val="24"/>
                <w:lang w:bidi="ar"/>
              </w:rPr>
              <w:t>m</w:t>
            </w:r>
            <w:r>
              <w:rPr>
                <w:rFonts w:hint="default" w:ascii="Times New Roman" w:hAnsi="Times New Roman" w:cs="Times New Roman"/>
                <w:color w:val="auto"/>
                <w:sz w:val="24"/>
                <w:szCs w:val="24"/>
                <w:vertAlign w:val="superscript"/>
                <w:lang w:bidi="ar"/>
              </w:rPr>
              <w:t>3</w:t>
            </w:r>
            <w:r>
              <w:rPr>
                <w:rFonts w:hint="default" w:ascii="Times New Roman" w:hAnsi="Times New Roman" w:cs="Times New Roman"/>
                <w:color w:val="auto"/>
                <w:sz w:val="24"/>
                <w:szCs w:val="24"/>
                <w:lang w:bidi="ar"/>
              </w:rPr>
              <w:t>/d</w:t>
            </w:r>
            <w:r>
              <w:rPr>
                <w:rFonts w:hint="default" w:ascii="Times New Roman" w:hAnsi="Times New Roman" w:cs="Times New Roman"/>
                <w:bCs/>
                <w:color w:val="auto"/>
                <w:spacing w:val="-2"/>
                <w:kern w:val="2"/>
                <w:sz w:val="24"/>
                <w:szCs w:val="24"/>
                <w:lang w:bidi="ar"/>
              </w:rPr>
              <w:t>，采用新鲜水</w:t>
            </w:r>
            <w:r>
              <w:rPr>
                <w:rFonts w:hint="default" w:ascii="Times New Roman" w:hAnsi="Times New Roman" w:cs="Times New Roman"/>
                <w:color w:val="auto"/>
                <w:sz w:val="24"/>
                <w:szCs w:val="24"/>
                <w:lang w:bidi="ar"/>
              </w:rPr>
              <w:t>；</w:t>
            </w:r>
          </w:p>
          <w:p w14:paraId="17F86FD9">
            <w:pPr>
              <w:pStyle w:val="30"/>
              <w:keepNext w:val="0"/>
              <w:keepLines w:val="0"/>
              <w:pageBreakBefore w:val="0"/>
              <w:widowControl w:val="0"/>
              <w:kinsoku/>
              <w:wordWrap/>
              <w:overflowPunct/>
              <w:topLinePunct w:val="0"/>
              <w:autoSpaceDE w:val="0"/>
              <w:autoSpaceDN/>
              <w:bidi w:val="0"/>
              <w:adjustRightInd w:val="0"/>
              <w:snapToGrid w:val="0"/>
              <w:spacing w:before="0" w:beforeAutospacing="0" w:after="0" w:afterAutospacing="0" w:line="360" w:lineRule="auto"/>
              <w:ind w:firstLine="472" w:firstLineChars="200"/>
              <w:jc w:val="both"/>
              <w:textAlignment w:val="auto"/>
              <w:rPr>
                <w:rFonts w:hint="default" w:ascii="Times New Roman" w:hAnsi="Times New Roman" w:cs="Times New Roman"/>
                <w:bCs/>
                <w:color w:val="auto"/>
                <w:spacing w:val="-2"/>
                <w:kern w:val="2"/>
                <w:szCs w:val="24"/>
                <w:lang w:bidi="ar"/>
              </w:rPr>
            </w:pPr>
            <w:r>
              <w:rPr>
                <w:rFonts w:hint="default" w:ascii="Times New Roman" w:hAnsi="Times New Roman" w:cs="Times New Roman"/>
                <w:bCs/>
                <w:color w:val="auto"/>
                <w:spacing w:val="-2"/>
                <w:kern w:val="2"/>
                <w:sz w:val="24"/>
                <w:szCs w:val="24"/>
                <w:lang w:bidi="ar"/>
              </w:rPr>
              <w:t>项目共设置6个</w:t>
            </w:r>
            <w:r>
              <w:rPr>
                <w:rFonts w:hint="default" w:ascii="Times New Roman" w:hAnsi="Times New Roman" w:cs="Times New Roman"/>
                <w:color w:val="auto"/>
                <w:kern w:val="2"/>
                <w:sz w:val="24"/>
                <w:szCs w:val="24"/>
                <w:lang w:bidi="ar"/>
              </w:rPr>
              <w:t>酸洗槽，根据工艺要求使用</w:t>
            </w:r>
            <w:r>
              <w:rPr>
                <w:rFonts w:hint="default" w:ascii="Times New Roman" w:hAnsi="Times New Roman" w:cs="Times New Roman"/>
                <w:bCs/>
                <w:color w:val="auto"/>
                <w:spacing w:val="-2"/>
                <w:kern w:val="2"/>
                <w:sz w:val="24"/>
                <w:szCs w:val="24"/>
                <w:lang w:bidi="ar"/>
              </w:rPr>
              <w:t>3</w:t>
            </w:r>
            <w:r>
              <w:rPr>
                <w:rFonts w:hint="default" w:ascii="Times New Roman" w:hAnsi="Times New Roman" w:cs="Times New Roman"/>
                <w:bCs/>
                <w:color w:val="auto"/>
                <w:spacing w:val="-2"/>
                <w:kern w:val="2"/>
                <w:sz w:val="24"/>
                <w:szCs w:val="24"/>
                <w:lang w:val="en-US" w:eastAsia="zh-CN" w:bidi="ar"/>
              </w:rPr>
              <w:t>2</w:t>
            </w:r>
            <w:r>
              <w:rPr>
                <w:rFonts w:hint="default" w:ascii="Times New Roman" w:hAnsi="Times New Roman" w:cs="Times New Roman"/>
                <w:bCs/>
                <w:color w:val="auto"/>
                <w:spacing w:val="-2"/>
                <w:kern w:val="2"/>
                <w:szCs w:val="24"/>
                <w:lang w:bidi="ar"/>
              </w:rPr>
              <w:t>%盐酸兑水配成12%~22%的酸洗液，每天使用3</w:t>
            </w:r>
            <w:r>
              <w:rPr>
                <w:rFonts w:hint="default" w:ascii="Times New Roman" w:hAnsi="Times New Roman" w:cs="Times New Roman"/>
                <w:bCs/>
                <w:color w:val="auto"/>
                <w:spacing w:val="-2"/>
                <w:kern w:val="2"/>
                <w:szCs w:val="24"/>
                <w:lang w:val="en-US" w:eastAsia="zh-CN" w:bidi="ar"/>
              </w:rPr>
              <w:t>2</w:t>
            </w:r>
            <w:r>
              <w:rPr>
                <w:rFonts w:hint="default" w:ascii="Times New Roman" w:hAnsi="Times New Roman" w:cs="Times New Roman"/>
                <w:bCs/>
                <w:color w:val="auto"/>
                <w:spacing w:val="-2"/>
                <w:kern w:val="2"/>
                <w:szCs w:val="24"/>
                <w:lang w:bidi="ar"/>
              </w:rPr>
              <w:t>%盐酸</w:t>
            </w:r>
            <w:r>
              <w:rPr>
                <w:rFonts w:hint="default" w:ascii="Times New Roman" w:hAnsi="Times New Roman" w:cs="Times New Roman"/>
                <w:bCs/>
                <w:color w:val="auto"/>
                <w:spacing w:val="-2"/>
                <w:kern w:val="2"/>
                <w:szCs w:val="24"/>
                <w:lang w:val="en-US" w:eastAsia="zh-CN" w:bidi="ar"/>
              </w:rPr>
              <w:t>7.5</w:t>
            </w:r>
            <w:r>
              <w:rPr>
                <w:rFonts w:hint="default" w:ascii="Times New Roman" w:hAnsi="Times New Roman" w:cs="Times New Roman"/>
                <w:bCs/>
                <w:color w:val="auto"/>
                <w:spacing w:val="-2"/>
                <w:kern w:val="2"/>
                <w:szCs w:val="24"/>
                <w:lang w:bidi="ar"/>
              </w:rPr>
              <w:t>t，配置用水为1</w:t>
            </w:r>
            <w:r>
              <w:rPr>
                <w:rFonts w:hint="default" w:ascii="Times New Roman" w:hAnsi="Times New Roman" w:cs="Times New Roman"/>
                <w:bCs/>
                <w:color w:val="auto"/>
                <w:spacing w:val="-2"/>
                <w:kern w:val="2"/>
                <w:szCs w:val="24"/>
                <w:lang w:val="en-US" w:eastAsia="zh-CN" w:bidi="ar"/>
              </w:rPr>
              <w:t>2.5</w:t>
            </w:r>
            <w:r>
              <w:rPr>
                <w:rFonts w:hint="default" w:ascii="Times New Roman" w:hAnsi="Times New Roman" w:cs="Times New Roman"/>
                <w:bCs/>
                <w:color w:val="auto"/>
                <w:spacing w:val="-2"/>
                <w:kern w:val="2"/>
                <w:szCs w:val="24"/>
                <w:lang w:bidi="ar"/>
              </w:rPr>
              <w:t>m</w:t>
            </w:r>
            <w:r>
              <w:rPr>
                <w:rFonts w:hint="default" w:ascii="Times New Roman" w:hAnsi="Times New Roman" w:cs="Times New Roman"/>
                <w:bCs/>
                <w:color w:val="auto"/>
                <w:spacing w:val="-2"/>
                <w:kern w:val="2"/>
                <w:szCs w:val="24"/>
                <w:vertAlign w:val="superscript"/>
                <w:lang w:bidi="ar"/>
              </w:rPr>
              <w:t>3</w:t>
            </w:r>
            <w:r>
              <w:rPr>
                <w:rFonts w:hint="default" w:ascii="Times New Roman" w:hAnsi="Times New Roman" w:cs="Times New Roman"/>
                <w:bCs/>
                <w:color w:val="auto"/>
                <w:spacing w:val="-2"/>
                <w:kern w:val="2"/>
                <w:szCs w:val="24"/>
                <w:lang w:bidi="ar"/>
              </w:rPr>
              <w:t>/d，采用新鲜水；3</w:t>
            </w:r>
            <w:r>
              <w:rPr>
                <w:rFonts w:hint="default" w:ascii="Times New Roman" w:hAnsi="Times New Roman" w:cs="Times New Roman"/>
                <w:bCs/>
                <w:color w:val="auto"/>
                <w:spacing w:val="-2"/>
                <w:kern w:val="2"/>
                <w:szCs w:val="24"/>
                <w:lang w:val="en-US" w:eastAsia="zh-CN" w:bidi="ar"/>
              </w:rPr>
              <w:t>2</w:t>
            </w:r>
            <w:r>
              <w:rPr>
                <w:rFonts w:hint="default" w:ascii="Times New Roman" w:hAnsi="Times New Roman" w:cs="Times New Roman"/>
                <w:bCs/>
                <w:color w:val="auto"/>
                <w:spacing w:val="-2"/>
                <w:kern w:val="2"/>
                <w:szCs w:val="24"/>
                <w:lang w:bidi="ar"/>
              </w:rPr>
              <w:t>%盐酸含水</w:t>
            </w:r>
            <w:r>
              <w:rPr>
                <w:rFonts w:hint="default" w:ascii="Times New Roman" w:hAnsi="Times New Roman" w:cs="Times New Roman"/>
                <w:bCs/>
                <w:color w:val="auto"/>
                <w:spacing w:val="-2"/>
                <w:kern w:val="2"/>
                <w:szCs w:val="24"/>
                <w:lang w:val="en-US" w:eastAsia="zh-CN" w:bidi="ar"/>
              </w:rPr>
              <w:t>5.1</w:t>
            </w:r>
            <w:r>
              <w:rPr>
                <w:rFonts w:hint="default" w:ascii="Times New Roman" w:hAnsi="Times New Roman" w:cs="Times New Roman"/>
                <w:bCs/>
                <w:color w:val="auto"/>
                <w:spacing w:val="-2"/>
                <w:kern w:val="2"/>
                <w:szCs w:val="24"/>
                <w:lang w:bidi="ar"/>
              </w:rPr>
              <w:t>m</w:t>
            </w:r>
            <w:r>
              <w:rPr>
                <w:rFonts w:hint="default" w:ascii="Times New Roman" w:hAnsi="Times New Roman" w:cs="Times New Roman"/>
                <w:bCs/>
                <w:color w:val="auto"/>
                <w:spacing w:val="-2"/>
                <w:kern w:val="2"/>
                <w:szCs w:val="24"/>
                <w:vertAlign w:val="superscript"/>
                <w:lang w:bidi="ar"/>
              </w:rPr>
              <w:t>3</w:t>
            </w:r>
            <w:r>
              <w:rPr>
                <w:rFonts w:hint="default" w:ascii="Times New Roman" w:hAnsi="Times New Roman" w:cs="Times New Roman"/>
                <w:bCs/>
                <w:color w:val="auto"/>
                <w:spacing w:val="-2"/>
                <w:kern w:val="2"/>
                <w:szCs w:val="24"/>
                <w:lang w:bidi="ar"/>
              </w:rPr>
              <w:t>，随着盐酸进入系统；</w:t>
            </w:r>
          </w:p>
          <w:p w14:paraId="76A67135">
            <w:pPr>
              <w:pStyle w:val="30"/>
              <w:keepNext w:val="0"/>
              <w:keepLines w:val="0"/>
              <w:pageBreakBefore w:val="0"/>
              <w:widowControl w:val="0"/>
              <w:kinsoku/>
              <w:wordWrap/>
              <w:overflowPunct/>
              <w:topLinePunct w:val="0"/>
              <w:autoSpaceDE w:val="0"/>
              <w:autoSpaceDN/>
              <w:bidi w:val="0"/>
              <w:adjustRightInd w:val="0"/>
              <w:snapToGrid w:val="0"/>
              <w:spacing w:before="0" w:beforeAutospacing="0" w:after="0" w:afterAutospacing="0" w:line="360" w:lineRule="auto"/>
              <w:ind w:firstLine="480" w:firstLineChars="200"/>
              <w:jc w:val="both"/>
              <w:textAlignment w:val="auto"/>
              <w:rPr>
                <w:rFonts w:hint="default" w:ascii="Times New Roman" w:hAnsi="Times New Roman" w:cs="Times New Roman"/>
                <w:bCs/>
                <w:color w:val="auto"/>
                <w:spacing w:val="-2"/>
                <w:kern w:val="2"/>
                <w:szCs w:val="24"/>
              </w:rPr>
            </w:pPr>
            <w:r>
              <w:rPr>
                <w:rFonts w:hint="default" w:ascii="Times New Roman" w:hAnsi="Times New Roman" w:cs="Times New Roman"/>
                <w:color w:val="auto"/>
                <w:kern w:val="2"/>
                <w:szCs w:val="24"/>
                <w:lang w:bidi="ar"/>
              </w:rPr>
              <w:t>高压水洗1、高压水洗2</w:t>
            </w:r>
            <w:r>
              <w:rPr>
                <w:rFonts w:hint="default" w:ascii="Times New Roman" w:hAnsi="Times New Roman" w:cs="Times New Roman"/>
                <w:bCs/>
                <w:color w:val="auto"/>
                <w:spacing w:val="-2"/>
                <w:kern w:val="2"/>
                <w:szCs w:val="24"/>
                <w:lang w:bidi="ar"/>
              </w:rPr>
              <w:t>使用喷射水洗方式，根据业主提供资料，冲洗用水量400kg/t钢材，则年</w:t>
            </w:r>
            <w:r>
              <w:rPr>
                <w:rFonts w:hint="default" w:ascii="Times New Roman" w:hAnsi="Times New Roman" w:cs="Times New Roman"/>
                <w:color w:val="auto"/>
                <w:kern w:val="2"/>
                <w:szCs w:val="24"/>
                <w:lang w:bidi="ar"/>
              </w:rPr>
              <w:t>用水量60000m</w:t>
            </w:r>
            <w:r>
              <w:rPr>
                <w:rFonts w:hint="default" w:ascii="Times New Roman" w:hAnsi="Times New Roman" w:cs="Times New Roman"/>
                <w:color w:val="auto"/>
                <w:kern w:val="2"/>
                <w:szCs w:val="24"/>
                <w:vertAlign w:val="superscript"/>
                <w:lang w:bidi="ar"/>
              </w:rPr>
              <w:t>3</w:t>
            </w:r>
            <w:r>
              <w:rPr>
                <w:rFonts w:hint="default" w:ascii="Times New Roman" w:hAnsi="Times New Roman" w:cs="Times New Roman"/>
                <w:color w:val="auto"/>
                <w:kern w:val="2"/>
                <w:szCs w:val="24"/>
                <w:lang w:bidi="ar"/>
              </w:rPr>
              <w:t>（200m</w:t>
            </w:r>
            <w:r>
              <w:rPr>
                <w:rFonts w:hint="default" w:ascii="Times New Roman" w:hAnsi="Times New Roman" w:cs="Times New Roman"/>
                <w:color w:val="auto"/>
                <w:kern w:val="2"/>
                <w:szCs w:val="24"/>
                <w:vertAlign w:val="superscript"/>
                <w:lang w:bidi="ar"/>
              </w:rPr>
              <w:t>3</w:t>
            </w:r>
            <w:r>
              <w:rPr>
                <w:rFonts w:hint="default" w:ascii="Times New Roman" w:hAnsi="Times New Roman" w:cs="Times New Roman"/>
                <w:color w:val="auto"/>
                <w:kern w:val="2"/>
                <w:szCs w:val="24"/>
                <w:lang w:bidi="ar"/>
              </w:rPr>
              <w:t>/d）</w:t>
            </w:r>
            <w:r>
              <w:rPr>
                <w:rFonts w:hint="default" w:ascii="Times New Roman" w:hAnsi="Times New Roman" w:cs="Times New Roman"/>
                <w:bCs/>
                <w:color w:val="auto"/>
                <w:spacing w:val="-2"/>
                <w:kern w:val="2"/>
                <w:szCs w:val="24"/>
                <w:lang w:bidi="ar"/>
              </w:rPr>
              <w:t>，采用新鲜水；</w:t>
            </w:r>
          </w:p>
          <w:p w14:paraId="22D1445D">
            <w:pPr>
              <w:pStyle w:val="30"/>
              <w:keepNext w:val="0"/>
              <w:keepLines w:val="0"/>
              <w:pageBreakBefore w:val="0"/>
              <w:widowControl w:val="0"/>
              <w:kinsoku/>
              <w:wordWrap/>
              <w:overflowPunct/>
              <w:topLinePunct w:val="0"/>
              <w:autoSpaceDE w:val="0"/>
              <w:autoSpaceDN/>
              <w:bidi w:val="0"/>
              <w:adjustRightInd w:val="0"/>
              <w:snapToGrid w:val="0"/>
              <w:spacing w:before="0" w:beforeAutospacing="0" w:after="0" w:afterAutospacing="0" w:line="360" w:lineRule="auto"/>
              <w:ind w:firstLine="472" w:firstLineChars="200"/>
              <w:jc w:val="both"/>
              <w:textAlignment w:val="auto"/>
              <w:rPr>
                <w:rFonts w:hint="default" w:ascii="Times New Roman" w:hAnsi="Times New Roman" w:cs="Times New Roman"/>
                <w:color w:val="auto"/>
                <w:szCs w:val="24"/>
              </w:rPr>
            </w:pPr>
            <w:r>
              <w:rPr>
                <w:rFonts w:hint="default" w:ascii="Times New Roman" w:hAnsi="Times New Roman" w:cs="Times New Roman"/>
                <w:bCs/>
                <w:color w:val="auto"/>
                <w:spacing w:val="-2"/>
                <w:kern w:val="2"/>
                <w:szCs w:val="24"/>
                <w:lang w:bidi="ar"/>
              </w:rPr>
              <w:t>漂洗槽</w:t>
            </w:r>
            <w:r>
              <w:rPr>
                <w:rFonts w:hint="default" w:ascii="Times New Roman" w:hAnsi="Times New Roman" w:cs="Times New Roman"/>
                <w:color w:val="auto"/>
                <w:kern w:val="2"/>
                <w:szCs w:val="24"/>
                <w:lang w:bidi="ar"/>
              </w:rPr>
              <w:t>采用高压水洗2的冲洗水，二次水用量85m</w:t>
            </w:r>
            <w:r>
              <w:rPr>
                <w:rFonts w:hint="default" w:ascii="Times New Roman" w:hAnsi="Times New Roman" w:cs="Times New Roman"/>
                <w:color w:val="auto"/>
                <w:kern w:val="2"/>
                <w:szCs w:val="24"/>
                <w:vertAlign w:val="superscript"/>
                <w:lang w:bidi="ar"/>
              </w:rPr>
              <w:t>3</w:t>
            </w:r>
            <w:r>
              <w:rPr>
                <w:rFonts w:hint="default" w:ascii="Times New Roman" w:hAnsi="Times New Roman" w:cs="Times New Roman"/>
                <w:color w:val="auto"/>
                <w:kern w:val="2"/>
                <w:szCs w:val="24"/>
                <w:lang w:bidi="ar"/>
              </w:rPr>
              <w:t>/d</w:t>
            </w:r>
            <w:r>
              <w:rPr>
                <w:rFonts w:hint="default" w:ascii="Times New Roman" w:hAnsi="Times New Roman" w:cs="Times New Roman"/>
                <w:color w:val="auto"/>
                <w:szCs w:val="24"/>
                <w:lang w:bidi="ar"/>
              </w:rPr>
              <w:t xml:space="preserve">； </w:t>
            </w:r>
          </w:p>
          <w:p w14:paraId="6B4E9213">
            <w:pPr>
              <w:pStyle w:val="30"/>
              <w:keepNext w:val="0"/>
              <w:keepLines w:val="0"/>
              <w:pageBreakBefore w:val="0"/>
              <w:widowControl w:val="0"/>
              <w:kinsoku/>
              <w:wordWrap/>
              <w:overflowPunct/>
              <w:topLinePunct w:val="0"/>
              <w:autoSpaceDE w:val="0"/>
              <w:autoSpaceDN/>
              <w:bidi w:val="0"/>
              <w:adjustRightInd w:val="0"/>
              <w:snapToGrid w:val="0"/>
              <w:spacing w:before="0" w:beforeAutospacing="0" w:after="0" w:afterAutospacing="0" w:line="360" w:lineRule="auto"/>
              <w:ind w:firstLine="472" w:firstLineChars="200"/>
              <w:jc w:val="both"/>
              <w:textAlignment w:val="auto"/>
              <w:rPr>
                <w:rFonts w:hint="default" w:ascii="Times New Roman" w:hAnsi="Times New Roman" w:cs="Times New Roman"/>
                <w:bCs/>
                <w:color w:val="auto"/>
                <w:spacing w:val="-2"/>
                <w:kern w:val="2"/>
                <w:szCs w:val="24"/>
                <w:lang w:bidi="ar"/>
              </w:rPr>
            </w:pPr>
            <w:r>
              <w:rPr>
                <w:rFonts w:hint="default" w:ascii="Times New Roman" w:hAnsi="Times New Roman" w:cs="Times New Roman"/>
                <w:bCs/>
                <w:color w:val="auto"/>
                <w:spacing w:val="-2"/>
                <w:kern w:val="2"/>
                <w:szCs w:val="24"/>
                <w:lang w:bidi="ar"/>
              </w:rPr>
              <w:t>中和槽采用碱进行中和，中和液循环使用，经使用后会产生一定损耗，需要定期添加以补充损耗，补水量2.8m</w:t>
            </w:r>
            <w:r>
              <w:rPr>
                <w:rFonts w:hint="default" w:ascii="Times New Roman" w:hAnsi="Times New Roman" w:cs="Times New Roman"/>
                <w:bCs/>
                <w:color w:val="auto"/>
                <w:spacing w:val="-2"/>
                <w:kern w:val="2"/>
                <w:szCs w:val="24"/>
                <w:vertAlign w:val="superscript"/>
                <w:lang w:bidi="ar"/>
              </w:rPr>
              <w:t>3</w:t>
            </w:r>
            <w:r>
              <w:rPr>
                <w:rFonts w:hint="default" w:ascii="Times New Roman" w:hAnsi="Times New Roman" w:cs="Times New Roman"/>
                <w:bCs/>
                <w:color w:val="auto"/>
                <w:spacing w:val="-2"/>
                <w:kern w:val="2"/>
                <w:szCs w:val="24"/>
                <w:lang w:bidi="ar"/>
              </w:rPr>
              <w:t>/d，采用新鲜水；</w:t>
            </w:r>
          </w:p>
          <w:p w14:paraId="026224EB">
            <w:pPr>
              <w:pStyle w:val="30"/>
              <w:keepNext w:val="0"/>
              <w:keepLines w:val="0"/>
              <w:pageBreakBefore w:val="0"/>
              <w:widowControl w:val="0"/>
              <w:kinsoku/>
              <w:wordWrap/>
              <w:overflowPunct/>
              <w:topLinePunct w:val="0"/>
              <w:autoSpaceDE w:val="0"/>
              <w:autoSpaceDN/>
              <w:bidi w:val="0"/>
              <w:adjustRightInd w:val="0"/>
              <w:snapToGrid w:val="0"/>
              <w:spacing w:before="0" w:beforeAutospacing="0" w:after="0" w:afterAutospacing="0" w:line="360" w:lineRule="auto"/>
              <w:ind w:firstLine="472" w:firstLineChars="200"/>
              <w:jc w:val="both"/>
              <w:textAlignment w:val="auto"/>
              <w:rPr>
                <w:rFonts w:hint="default" w:ascii="Times New Roman" w:hAnsi="Times New Roman" w:cs="Times New Roman"/>
                <w:bCs/>
                <w:color w:val="auto"/>
                <w:spacing w:val="-2"/>
                <w:kern w:val="2"/>
                <w:szCs w:val="24"/>
              </w:rPr>
            </w:pPr>
            <w:r>
              <w:rPr>
                <w:rFonts w:hint="default" w:ascii="Times New Roman" w:hAnsi="Times New Roman" w:cs="Times New Roman"/>
                <w:bCs/>
                <w:color w:val="auto"/>
                <w:spacing w:val="-2"/>
                <w:kern w:val="2"/>
                <w:szCs w:val="24"/>
                <w:lang w:bidi="ar"/>
              </w:rPr>
              <w:t>磷化槽不进行更换，需定期补充配制溶液，配制用水量为19.13m</w:t>
            </w:r>
            <w:r>
              <w:rPr>
                <w:rFonts w:hint="default" w:ascii="Times New Roman" w:hAnsi="Times New Roman" w:cs="Times New Roman"/>
                <w:bCs/>
                <w:color w:val="auto"/>
                <w:spacing w:val="-2"/>
                <w:kern w:val="2"/>
                <w:szCs w:val="24"/>
                <w:vertAlign w:val="superscript"/>
                <w:lang w:bidi="ar"/>
              </w:rPr>
              <w:t>3</w:t>
            </w:r>
            <w:r>
              <w:rPr>
                <w:rFonts w:hint="default" w:ascii="Times New Roman" w:hAnsi="Times New Roman" w:cs="Times New Roman"/>
                <w:bCs/>
                <w:color w:val="auto"/>
                <w:spacing w:val="-2"/>
                <w:kern w:val="2"/>
                <w:szCs w:val="24"/>
                <w:lang w:bidi="ar"/>
              </w:rPr>
              <w:t>/d，采用新鲜水；</w:t>
            </w:r>
          </w:p>
          <w:p w14:paraId="7C3844EF">
            <w:pPr>
              <w:pStyle w:val="30"/>
              <w:keepNext w:val="0"/>
              <w:keepLines w:val="0"/>
              <w:pageBreakBefore w:val="0"/>
              <w:widowControl w:val="0"/>
              <w:kinsoku/>
              <w:wordWrap/>
              <w:overflowPunct/>
              <w:topLinePunct w:val="0"/>
              <w:autoSpaceDE w:val="0"/>
              <w:autoSpaceDN/>
              <w:bidi w:val="0"/>
              <w:adjustRightInd w:val="0"/>
              <w:snapToGrid w:val="0"/>
              <w:spacing w:before="0" w:beforeAutospacing="0" w:after="0" w:afterAutospacing="0" w:line="360" w:lineRule="auto"/>
              <w:ind w:firstLine="472" w:firstLineChars="200"/>
              <w:jc w:val="both"/>
              <w:textAlignment w:val="auto"/>
              <w:rPr>
                <w:rFonts w:hint="default" w:ascii="Times New Roman" w:hAnsi="Times New Roman" w:cs="Times New Roman"/>
                <w:bCs/>
                <w:color w:val="auto"/>
                <w:spacing w:val="-2"/>
                <w:kern w:val="2"/>
                <w:szCs w:val="24"/>
              </w:rPr>
            </w:pPr>
            <w:r>
              <w:rPr>
                <w:rFonts w:hint="default" w:ascii="Times New Roman" w:hAnsi="Times New Roman" w:cs="Times New Roman"/>
                <w:bCs/>
                <w:color w:val="auto"/>
                <w:spacing w:val="-2"/>
                <w:kern w:val="2"/>
                <w:szCs w:val="24"/>
                <w:lang w:bidi="ar"/>
              </w:rPr>
              <w:t>表调槽液不进行更换，定期补水配</w:t>
            </w:r>
            <w:r>
              <w:rPr>
                <w:rFonts w:hint="default" w:ascii="Times New Roman" w:hAnsi="Times New Roman" w:cs="Times New Roman"/>
                <w:bCs/>
                <w:color w:val="auto"/>
                <w:spacing w:val="-2"/>
                <w:kern w:val="2"/>
                <w:szCs w:val="24"/>
                <w:lang w:val="en-US" w:eastAsia="zh-CN" w:bidi="ar"/>
              </w:rPr>
              <w:t>制</w:t>
            </w:r>
            <w:r>
              <w:rPr>
                <w:rFonts w:hint="default" w:ascii="Times New Roman" w:hAnsi="Times New Roman" w:cs="Times New Roman"/>
                <w:bCs/>
                <w:color w:val="auto"/>
                <w:spacing w:val="-2"/>
                <w:kern w:val="2"/>
                <w:szCs w:val="24"/>
                <w:lang w:bidi="ar"/>
              </w:rPr>
              <w:t>新鲜溶液，补水量2.8m</w:t>
            </w:r>
            <w:r>
              <w:rPr>
                <w:rFonts w:hint="default" w:ascii="Times New Roman" w:hAnsi="Times New Roman" w:cs="Times New Roman"/>
                <w:bCs/>
                <w:color w:val="auto"/>
                <w:spacing w:val="-2"/>
                <w:kern w:val="2"/>
                <w:szCs w:val="24"/>
                <w:vertAlign w:val="superscript"/>
                <w:lang w:bidi="ar"/>
              </w:rPr>
              <w:t>3</w:t>
            </w:r>
            <w:r>
              <w:rPr>
                <w:rFonts w:hint="default" w:ascii="Times New Roman" w:hAnsi="Times New Roman" w:cs="Times New Roman"/>
                <w:bCs/>
                <w:color w:val="auto"/>
                <w:spacing w:val="-2"/>
                <w:kern w:val="2"/>
                <w:szCs w:val="24"/>
                <w:lang w:bidi="ar"/>
              </w:rPr>
              <w:t>/d，采用新鲜水；</w:t>
            </w:r>
          </w:p>
          <w:p w14:paraId="3FC377DF">
            <w:pPr>
              <w:pStyle w:val="30"/>
              <w:keepNext w:val="0"/>
              <w:keepLines w:val="0"/>
              <w:pageBreakBefore w:val="0"/>
              <w:widowControl w:val="0"/>
              <w:kinsoku/>
              <w:wordWrap/>
              <w:overflowPunct/>
              <w:topLinePunct w:val="0"/>
              <w:autoSpaceDE w:val="0"/>
              <w:autoSpaceDN/>
              <w:bidi w:val="0"/>
              <w:adjustRightInd w:val="0"/>
              <w:snapToGrid w:val="0"/>
              <w:spacing w:before="0" w:beforeAutospacing="0" w:after="0" w:afterAutospacing="0" w:line="360" w:lineRule="auto"/>
              <w:ind w:firstLine="472" w:firstLineChars="200"/>
              <w:jc w:val="both"/>
              <w:textAlignment w:val="auto"/>
              <w:rPr>
                <w:rFonts w:hint="default" w:ascii="Times New Roman" w:hAnsi="Times New Roman" w:cs="Times New Roman"/>
                <w:color w:val="auto"/>
                <w:kern w:val="2"/>
                <w:szCs w:val="24"/>
              </w:rPr>
            </w:pPr>
            <w:r>
              <w:rPr>
                <w:rFonts w:hint="default" w:ascii="Times New Roman" w:hAnsi="Times New Roman" w:cs="Times New Roman"/>
                <w:bCs/>
                <w:color w:val="auto"/>
                <w:spacing w:val="-2"/>
                <w:kern w:val="2"/>
                <w:szCs w:val="24"/>
                <w:lang w:bidi="ar"/>
              </w:rPr>
              <w:t>皂化槽液定期损耗，补水量为2.8</w:t>
            </w:r>
            <w:r>
              <w:rPr>
                <w:rFonts w:hint="default" w:ascii="Times New Roman" w:hAnsi="Times New Roman" w:cs="Times New Roman"/>
                <w:color w:val="auto"/>
                <w:kern w:val="2"/>
                <w:szCs w:val="24"/>
                <w:lang w:bidi="ar"/>
              </w:rPr>
              <w:t>m</w:t>
            </w:r>
            <w:r>
              <w:rPr>
                <w:rFonts w:hint="default" w:ascii="Times New Roman" w:hAnsi="Times New Roman" w:cs="Times New Roman"/>
                <w:color w:val="auto"/>
                <w:kern w:val="2"/>
                <w:szCs w:val="24"/>
                <w:vertAlign w:val="superscript"/>
                <w:lang w:bidi="ar"/>
              </w:rPr>
              <w:t>3</w:t>
            </w:r>
            <w:r>
              <w:rPr>
                <w:rFonts w:hint="default" w:ascii="Times New Roman" w:hAnsi="Times New Roman" w:cs="Times New Roman"/>
                <w:color w:val="auto"/>
                <w:kern w:val="2"/>
                <w:szCs w:val="24"/>
                <w:lang w:bidi="ar"/>
              </w:rPr>
              <w:t>/d</w:t>
            </w:r>
            <w:r>
              <w:rPr>
                <w:rFonts w:hint="default" w:ascii="Times New Roman" w:hAnsi="Times New Roman" w:cs="Times New Roman"/>
                <w:bCs/>
                <w:color w:val="auto"/>
                <w:spacing w:val="-2"/>
                <w:kern w:val="2"/>
                <w:szCs w:val="24"/>
                <w:lang w:bidi="ar"/>
              </w:rPr>
              <w:t>，采用新鲜水</w:t>
            </w:r>
            <w:r>
              <w:rPr>
                <w:rFonts w:hint="default" w:ascii="Times New Roman" w:hAnsi="Times New Roman" w:cs="Times New Roman"/>
                <w:color w:val="auto"/>
                <w:kern w:val="2"/>
                <w:szCs w:val="24"/>
                <w:lang w:bidi="ar"/>
              </w:rPr>
              <w:t>；</w:t>
            </w:r>
          </w:p>
          <w:p w14:paraId="44714CE5">
            <w:pPr>
              <w:pStyle w:val="30"/>
              <w:keepNext w:val="0"/>
              <w:keepLines w:val="0"/>
              <w:pageBreakBefore w:val="0"/>
              <w:widowControl w:val="0"/>
              <w:kinsoku/>
              <w:wordWrap/>
              <w:overflowPunct/>
              <w:topLinePunct w:val="0"/>
              <w:autoSpaceDE w:val="0"/>
              <w:autoSpaceDN/>
              <w:bidi w:val="0"/>
              <w:adjustRightInd w:val="0"/>
              <w:snapToGrid w:val="0"/>
              <w:spacing w:before="0" w:beforeAutospacing="0" w:after="0" w:afterAutospacing="0" w:line="360" w:lineRule="auto"/>
              <w:ind w:firstLine="472" w:firstLineChars="200"/>
              <w:jc w:val="both"/>
              <w:textAlignment w:val="auto"/>
              <w:rPr>
                <w:rFonts w:hint="default" w:ascii="Times New Roman" w:hAnsi="Times New Roman" w:cs="Times New Roman"/>
                <w:color w:val="auto"/>
                <w:kern w:val="2"/>
                <w:szCs w:val="24"/>
              </w:rPr>
            </w:pPr>
            <w:r>
              <w:rPr>
                <w:rFonts w:hint="default" w:ascii="Times New Roman" w:hAnsi="Times New Roman" w:cs="Times New Roman"/>
                <w:bCs/>
                <w:color w:val="auto"/>
                <w:spacing w:val="-2"/>
                <w:kern w:val="2"/>
                <w:szCs w:val="24"/>
                <w:lang w:bidi="ar"/>
              </w:rPr>
              <w:t>石灰槽液定期损耗，补水量为2.8</w:t>
            </w:r>
            <w:r>
              <w:rPr>
                <w:rFonts w:hint="default" w:ascii="Times New Roman" w:hAnsi="Times New Roman" w:cs="Times New Roman"/>
                <w:color w:val="auto"/>
                <w:kern w:val="2"/>
                <w:szCs w:val="24"/>
                <w:lang w:bidi="ar"/>
              </w:rPr>
              <w:t>m</w:t>
            </w:r>
            <w:r>
              <w:rPr>
                <w:rFonts w:hint="default" w:ascii="Times New Roman" w:hAnsi="Times New Roman" w:cs="Times New Roman"/>
                <w:color w:val="auto"/>
                <w:kern w:val="2"/>
                <w:szCs w:val="24"/>
                <w:vertAlign w:val="superscript"/>
                <w:lang w:bidi="ar"/>
              </w:rPr>
              <w:t>3</w:t>
            </w:r>
            <w:r>
              <w:rPr>
                <w:rFonts w:hint="default" w:ascii="Times New Roman" w:hAnsi="Times New Roman" w:cs="Times New Roman"/>
                <w:color w:val="auto"/>
                <w:kern w:val="2"/>
                <w:szCs w:val="24"/>
                <w:lang w:bidi="ar"/>
              </w:rPr>
              <w:t>/d，</w:t>
            </w:r>
            <w:r>
              <w:rPr>
                <w:rFonts w:hint="default" w:ascii="Times New Roman" w:hAnsi="Times New Roman" w:cs="Times New Roman"/>
                <w:bCs/>
                <w:color w:val="auto"/>
                <w:spacing w:val="-2"/>
                <w:kern w:val="2"/>
                <w:szCs w:val="24"/>
                <w:lang w:bidi="ar"/>
              </w:rPr>
              <w:t>采用新鲜水。</w:t>
            </w:r>
          </w:p>
          <w:p w14:paraId="6A53651A">
            <w:pPr>
              <w:pStyle w:val="30"/>
              <w:keepNext w:val="0"/>
              <w:keepLines w:val="0"/>
              <w:pageBreakBefore w:val="0"/>
              <w:widowControl w:val="0"/>
              <w:kinsoku/>
              <w:wordWrap/>
              <w:overflowPunct/>
              <w:topLinePunct w:val="0"/>
              <w:autoSpaceDE w:val="0"/>
              <w:autoSpaceDN/>
              <w:bidi w:val="0"/>
              <w:adjustRightInd w:val="0"/>
              <w:snapToGrid w:val="0"/>
              <w:spacing w:before="0" w:beforeAutospacing="0" w:after="0" w:afterAutospacing="0" w:line="360" w:lineRule="auto"/>
              <w:ind w:firstLine="472" w:firstLineChars="200"/>
              <w:jc w:val="both"/>
              <w:textAlignment w:val="auto"/>
              <w:rPr>
                <w:rFonts w:hint="default" w:ascii="Times New Roman" w:hAnsi="Times New Roman" w:cs="Times New Roman"/>
                <w:bCs/>
                <w:color w:val="auto"/>
                <w:spacing w:val="-2"/>
                <w:kern w:val="2"/>
                <w:szCs w:val="24"/>
                <w:lang w:bidi="ar"/>
              </w:rPr>
            </w:pPr>
            <w:r>
              <w:rPr>
                <w:rFonts w:hint="default" w:ascii="Times New Roman" w:hAnsi="Times New Roman" w:cs="Times New Roman"/>
                <w:bCs/>
                <w:color w:val="auto"/>
                <w:spacing w:val="-2"/>
                <w:kern w:val="2"/>
                <w:szCs w:val="24"/>
                <w:lang w:bidi="ar"/>
              </w:rPr>
              <w:t>喷淋塔大约2个月定期更换一次，每次更换水量为4.5m</w:t>
            </w:r>
            <w:r>
              <w:rPr>
                <w:rFonts w:hint="default" w:ascii="Times New Roman" w:hAnsi="Times New Roman" w:cs="Times New Roman"/>
                <w:bCs/>
                <w:color w:val="auto"/>
                <w:spacing w:val="-2"/>
                <w:kern w:val="2"/>
                <w:szCs w:val="24"/>
                <w:vertAlign w:val="superscript"/>
                <w:lang w:bidi="ar"/>
              </w:rPr>
              <w:t>3</w:t>
            </w:r>
            <w:r>
              <w:rPr>
                <w:rFonts w:hint="default" w:ascii="Times New Roman" w:hAnsi="Times New Roman" w:cs="Times New Roman"/>
                <w:bCs/>
                <w:color w:val="auto"/>
                <w:spacing w:val="-2"/>
                <w:kern w:val="2"/>
                <w:szCs w:val="24"/>
                <w:lang w:bidi="ar"/>
              </w:rPr>
              <w:t>，</w:t>
            </w:r>
            <w:r>
              <w:rPr>
                <w:rFonts w:hint="default" w:ascii="Times New Roman" w:hAnsi="Times New Roman" w:cs="Times New Roman"/>
                <w:color w:val="auto"/>
                <w:spacing w:val="-8"/>
                <w:szCs w:val="24"/>
              </w:rPr>
              <w:t>损耗量0.09</w:t>
            </w:r>
            <w:bookmarkStart w:id="98" w:name="OLE_LINK22"/>
            <w:r>
              <w:rPr>
                <w:rFonts w:hint="default" w:ascii="Times New Roman" w:hAnsi="Times New Roman" w:eastAsia="Times New Roman" w:cs="Times New Roman"/>
                <w:color w:val="auto"/>
                <w:spacing w:val="-2"/>
                <w:position w:val="-1"/>
                <w:szCs w:val="24"/>
              </w:rPr>
              <w:t>m</w:t>
            </w:r>
            <w:r>
              <w:rPr>
                <w:rFonts w:hint="default" w:ascii="Times New Roman" w:hAnsi="Times New Roman" w:cs="Times New Roman"/>
                <w:bCs/>
                <w:color w:val="auto"/>
                <w:spacing w:val="-2"/>
                <w:kern w:val="2"/>
                <w:szCs w:val="24"/>
                <w:vertAlign w:val="superscript"/>
                <w:lang w:bidi="ar"/>
              </w:rPr>
              <w:t>3</w:t>
            </w:r>
            <w:r>
              <w:rPr>
                <w:rFonts w:hint="default" w:ascii="Times New Roman" w:hAnsi="Times New Roman" w:eastAsia="Times New Roman" w:cs="Times New Roman"/>
                <w:color w:val="auto"/>
                <w:spacing w:val="-2"/>
                <w:position w:val="-1"/>
                <w:szCs w:val="24"/>
              </w:rPr>
              <w:t>/h</w:t>
            </w:r>
            <w:bookmarkEnd w:id="98"/>
            <w:r>
              <w:rPr>
                <w:rFonts w:hint="default" w:ascii="Times New Roman" w:hAnsi="Times New Roman" w:cs="Times New Roman"/>
                <w:color w:val="auto"/>
                <w:spacing w:val="-2"/>
                <w:position w:val="-1"/>
                <w:szCs w:val="24"/>
              </w:rPr>
              <w:t>，7200h，</w:t>
            </w:r>
            <w:r>
              <w:rPr>
                <w:rFonts w:hint="default" w:ascii="Times New Roman" w:hAnsi="Times New Roman" w:cs="Times New Roman"/>
                <w:bCs/>
                <w:color w:val="auto"/>
                <w:spacing w:val="-2"/>
                <w:kern w:val="2"/>
                <w:szCs w:val="24"/>
                <w:lang w:bidi="ar"/>
              </w:rPr>
              <w:t>补水量平均为</w:t>
            </w:r>
            <w:r>
              <w:rPr>
                <w:rFonts w:hint="default" w:ascii="Times New Roman" w:hAnsi="Times New Roman" w:cs="Times New Roman"/>
                <w:color w:val="auto"/>
                <w:spacing w:val="-2"/>
                <w:kern w:val="2"/>
                <w:szCs w:val="24"/>
                <w:lang w:bidi="ar"/>
              </w:rPr>
              <w:t>670.5</w:t>
            </w:r>
            <w:r>
              <w:rPr>
                <w:rFonts w:hint="default" w:ascii="Times New Roman" w:hAnsi="Times New Roman" w:cs="Times New Roman"/>
                <w:color w:val="auto"/>
                <w:spacing w:val="-5"/>
                <w:kern w:val="2"/>
                <w:szCs w:val="24"/>
                <w:lang w:bidi="ar"/>
              </w:rPr>
              <w:t>m</w:t>
            </w:r>
            <w:r>
              <w:rPr>
                <w:rFonts w:hint="default" w:ascii="Times New Roman" w:hAnsi="Times New Roman" w:cs="Times New Roman"/>
                <w:bCs/>
                <w:color w:val="auto"/>
                <w:spacing w:val="-2"/>
                <w:kern w:val="2"/>
                <w:szCs w:val="24"/>
                <w:vertAlign w:val="superscript"/>
                <w:lang w:bidi="ar"/>
              </w:rPr>
              <w:t>3</w:t>
            </w:r>
            <w:r>
              <w:rPr>
                <w:rFonts w:hint="default" w:ascii="Times New Roman" w:hAnsi="Times New Roman" w:cs="Times New Roman"/>
                <w:color w:val="auto"/>
                <w:spacing w:val="-5"/>
                <w:kern w:val="2"/>
                <w:szCs w:val="24"/>
                <w:lang w:bidi="ar"/>
              </w:rPr>
              <w:t>/a（</w:t>
            </w:r>
            <w:r>
              <w:rPr>
                <w:rFonts w:hint="default" w:ascii="Times New Roman" w:hAnsi="Times New Roman" w:cs="Times New Roman"/>
                <w:bCs/>
                <w:color w:val="auto"/>
                <w:spacing w:val="-2"/>
                <w:kern w:val="2"/>
                <w:szCs w:val="24"/>
                <w:lang w:bidi="ar"/>
              </w:rPr>
              <w:t>2.24m</w:t>
            </w:r>
            <w:r>
              <w:rPr>
                <w:rFonts w:hint="default" w:ascii="Times New Roman" w:hAnsi="Times New Roman" w:cs="Times New Roman"/>
                <w:bCs/>
                <w:color w:val="auto"/>
                <w:spacing w:val="-2"/>
                <w:kern w:val="2"/>
                <w:szCs w:val="24"/>
                <w:vertAlign w:val="superscript"/>
                <w:lang w:bidi="ar"/>
              </w:rPr>
              <w:t>3</w:t>
            </w:r>
            <w:r>
              <w:rPr>
                <w:rFonts w:hint="default" w:ascii="Times New Roman" w:hAnsi="Times New Roman" w:cs="Times New Roman"/>
                <w:bCs/>
                <w:color w:val="auto"/>
                <w:spacing w:val="-2"/>
                <w:kern w:val="2"/>
                <w:szCs w:val="24"/>
                <w:lang w:bidi="ar"/>
              </w:rPr>
              <w:t>/d），采用新鲜水。</w:t>
            </w:r>
          </w:p>
          <w:p w14:paraId="052729AE">
            <w:pPr>
              <w:pStyle w:val="30"/>
              <w:keepNext w:val="0"/>
              <w:keepLines w:val="0"/>
              <w:pageBreakBefore w:val="0"/>
              <w:widowControl w:val="0"/>
              <w:kinsoku/>
              <w:wordWrap/>
              <w:overflowPunct/>
              <w:topLinePunct w:val="0"/>
              <w:autoSpaceDE w:val="0"/>
              <w:autoSpaceDN/>
              <w:bidi w:val="0"/>
              <w:adjustRightInd w:val="0"/>
              <w:snapToGrid w:val="0"/>
              <w:spacing w:before="0" w:beforeAutospacing="0" w:after="0" w:afterAutospacing="0" w:line="360" w:lineRule="auto"/>
              <w:ind w:firstLine="472" w:firstLineChars="200"/>
              <w:jc w:val="both"/>
              <w:textAlignment w:val="auto"/>
              <w:rPr>
                <w:rFonts w:hint="default" w:ascii="Times New Roman" w:hAnsi="Times New Roman" w:cs="Times New Roman"/>
                <w:bCs/>
                <w:color w:val="auto"/>
                <w:spacing w:val="-2"/>
                <w:kern w:val="2"/>
                <w:szCs w:val="24"/>
                <w:highlight w:val="yellow"/>
                <w:lang w:bidi="ar"/>
              </w:rPr>
            </w:pPr>
            <w:r>
              <w:rPr>
                <w:rFonts w:hint="default" w:ascii="Times New Roman" w:hAnsi="Times New Roman" w:cs="Times New Roman"/>
                <w:bCs/>
                <w:color w:val="auto"/>
                <w:spacing w:val="-2"/>
                <w:kern w:val="2"/>
                <w:szCs w:val="24"/>
                <w:lang w:bidi="ar"/>
              </w:rPr>
              <w:t>软水制备用水：</w:t>
            </w:r>
            <w:r>
              <w:rPr>
                <w:rFonts w:hint="default" w:ascii="Times New Roman" w:hAnsi="Times New Roman" w:cs="Times New Roman"/>
                <w:color w:val="auto"/>
              </w:rPr>
              <w:t>本项目建设两台蒸汽发生，配备一套制备软水设备，蒸发量以20%计，补充水量约0.4</w:t>
            </w:r>
            <w:r>
              <w:rPr>
                <w:rFonts w:hint="default" w:ascii="Times New Roman" w:hAnsi="Times New Roman" w:eastAsia="Times New Roman" w:cs="Times New Roman"/>
                <w:color w:val="auto"/>
                <w:spacing w:val="-2"/>
                <w:position w:val="-1"/>
                <w:szCs w:val="24"/>
              </w:rPr>
              <w:t>m</w:t>
            </w:r>
            <w:r>
              <w:rPr>
                <w:rFonts w:hint="default" w:ascii="Times New Roman" w:hAnsi="Times New Roman" w:cs="Times New Roman"/>
                <w:bCs/>
                <w:color w:val="auto"/>
                <w:spacing w:val="-2"/>
                <w:kern w:val="2"/>
                <w:szCs w:val="24"/>
                <w:vertAlign w:val="superscript"/>
                <w:lang w:bidi="ar"/>
              </w:rPr>
              <w:t>3</w:t>
            </w:r>
            <w:r>
              <w:rPr>
                <w:rFonts w:hint="default" w:ascii="Times New Roman" w:hAnsi="Times New Roman" w:eastAsia="Times New Roman" w:cs="Times New Roman"/>
                <w:color w:val="auto"/>
                <w:spacing w:val="-2"/>
                <w:position w:val="-1"/>
                <w:szCs w:val="24"/>
              </w:rPr>
              <w:t>/h</w:t>
            </w:r>
            <w:r>
              <w:rPr>
                <w:rFonts w:hint="default" w:ascii="Times New Roman" w:hAnsi="Times New Roman" w:cs="Times New Roman"/>
                <w:color w:val="auto"/>
                <w:spacing w:val="-2"/>
                <w:position w:val="-1"/>
                <w:szCs w:val="24"/>
              </w:rPr>
              <w:t>；项目采用离子交换树脂制备软化水，会产生含有一定盐分的软化水制备废水，软化水制备效率以75%计，软化水制备用水量约为</w:t>
            </w:r>
            <w:r>
              <w:rPr>
                <w:rFonts w:hint="default" w:ascii="Times New Roman" w:hAnsi="Times New Roman" w:cs="Times New Roman"/>
                <w:color w:val="auto"/>
              </w:rPr>
              <w:t>0.5</w:t>
            </w:r>
            <w:r>
              <w:rPr>
                <w:rFonts w:hint="default" w:ascii="Times New Roman" w:hAnsi="Times New Roman" w:eastAsia="Times New Roman" w:cs="Times New Roman"/>
                <w:color w:val="auto"/>
                <w:spacing w:val="-2"/>
                <w:position w:val="-1"/>
                <w:szCs w:val="24"/>
              </w:rPr>
              <w:t>m</w:t>
            </w:r>
            <w:r>
              <w:rPr>
                <w:rFonts w:hint="default" w:ascii="Times New Roman" w:hAnsi="Times New Roman" w:cs="Times New Roman"/>
                <w:bCs/>
                <w:color w:val="auto"/>
                <w:spacing w:val="-2"/>
                <w:kern w:val="2"/>
                <w:szCs w:val="24"/>
                <w:vertAlign w:val="superscript"/>
                <w:lang w:bidi="ar"/>
              </w:rPr>
              <w:t>3</w:t>
            </w:r>
            <w:r>
              <w:rPr>
                <w:rFonts w:hint="default" w:ascii="Times New Roman" w:hAnsi="Times New Roman" w:eastAsia="Times New Roman" w:cs="Times New Roman"/>
                <w:color w:val="auto"/>
                <w:spacing w:val="-2"/>
                <w:position w:val="-1"/>
                <w:szCs w:val="24"/>
              </w:rPr>
              <w:t>/h</w:t>
            </w:r>
            <w:r>
              <w:rPr>
                <w:rFonts w:hint="default" w:ascii="Times New Roman" w:hAnsi="Times New Roman" w:cs="Times New Roman"/>
                <w:color w:val="auto"/>
                <w:spacing w:val="-2"/>
                <w:position w:val="-1"/>
                <w:szCs w:val="24"/>
              </w:rPr>
              <w:t>。生产时间7200h/a，则</w:t>
            </w:r>
            <w:r>
              <w:rPr>
                <w:rFonts w:hint="default" w:ascii="Times New Roman" w:hAnsi="Times New Roman" w:cs="Times New Roman"/>
                <w:bCs/>
                <w:color w:val="auto"/>
                <w:spacing w:val="-2"/>
                <w:kern w:val="2"/>
                <w:szCs w:val="24"/>
                <w:lang w:bidi="ar"/>
              </w:rPr>
              <w:t>软水制备用水量</w:t>
            </w:r>
            <w:r>
              <w:rPr>
                <w:rFonts w:hint="default" w:ascii="Times New Roman" w:hAnsi="Times New Roman" w:cs="Times New Roman"/>
                <w:color w:val="auto"/>
                <w:spacing w:val="-2"/>
                <w:kern w:val="2"/>
                <w:szCs w:val="24"/>
                <w:lang w:bidi="ar"/>
              </w:rPr>
              <w:t>6480</w:t>
            </w:r>
            <w:r>
              <w:rPr>
                <w:rFonts w:hint="default" w:ascii="Times New Roman" w:hAnsi="Times New Roman" w:cs="Times New Roman"/>
                <w:color w:val="auto"/>
                <w:spacing w:val="-5"/>
                <w:kern w:val="2"/>
                <w:szCs w:val="24"/>
                <w:lang w:bidi="ar"/>
              </w:rPr>
              <w:t>m</w:t>
            </w:r>
            <w:r>
              <w:rPr>
                <w:rFonts w:hint="default" w:ascii="Times New Roman" w:hAnsi="Times New Roman" w:cs="Times New Roman"/>
                <w:bCs/>
                <w:color w:val="auto"/>
                <w:spacing w:val="-2"/>
                <w:kern w:val="2"/>
                <w:szCs w:val="24"/>
                <w:vertAlign w:val="superscript"/>
                <w:lang w:bidi="ar"/>
              </w:rPr>
              <w:t>3</w:t>
            </w:r>
            <w:r>
              <w:rPr>
                <w:rFonts w:hint="default" w:ascii="Times New Roman" w:hAnsi="Times New Roman" w:cs="Times New Roman"/>
                <w:color w:val="auto"/>
                <w:spacing w:val="-5"/>
                <w:kern w:val="2"/>
                <w:szCs w:val="24"/>
                <w:lang w:bidi="ar"/>
              </w:rPr>
              <w:t>/a</w:t>
            </w:r>
            <w:r>
              <w:rPr>
                <w:rFonts w:hint="default" w:ascii="Times New Roman" w:hAnsi="Times New Roman" w:cs="Times New Roman"/>
                <w:bCs/>
                <w:color w:val="auto"/>
                <w:spacing w:val="-2"/>
                <w:kern w:val="2"/>
                <w:szCs w:val="24"/>
                <w:lang w:bidi="ar"/>
              </w:rPr>
              <w:t>（21.6</w:t>
            </w:r>
            <w:r>
              <w:rPr>
                <w:rFonts w:hint="default" w:ascii="Times New Roman" w:hAnsi="Times New Roman" w:cs="Times New Roman"/>
                <w:color w:val="auto"/>
                <w:spacing w:val="-5"/>
                <w:kern w:val="2"/>
                <w:szCs w:val="24"/>
                <w:lang w:bidi="ar"/>
              </w:rPr>
              <w:t>m</w:t>
            </w:r>
            <w:r>
              <w:rPr>
                <w:rFonts w:hint="default" w:ascii="Times New Roman" w:hAnsi="Times New Roman" w:cs="Times New Roman"/>
                <w:bCs/>
                <w:color w:val="auto"/>
                <w:spacing w:val="-2"/>
                <w:kern w:val="2"/>
                <w:szCs w:val="24"/>
                <w:vertAlign w:val="superscript"/>
                <w:lang w:bidi="ar"/>
              </w:rPr>
              <w:t>3</w:t>
            </w:r>
            <w:r>
              <w:rPr>
                <w:rFonts w:hint="default" w:ascii="Times New Roman" w:hAnsi="Times New Roman" w:cs="Times New Roman"/>
                <w:bCs/>
                <w:color w:val="auto"/>
                <w:spacing w:val="-2"/>
                <w:kern w:val="2"/>
                <w:szCs w:val="24"/>
                <w:lang w:bidi="ar"/>
              </w:rPr>
              <w:t>/d）。</w:t>
            </w:r>
          </w:p>
          <w:p w14:paraId="35FBB7FF">
            <w:pPr>
              <w:pStyle w:val="2"/>
              <w:keepNext w:val="0"/>
              <w:keepLines w:val="0"/>
              <w:pageBreakBefore w:val="0"/>
              <w:widowControl w:val="0"/>
              <w:kinsoku/>
              <w:wordWrap/>
              <w:overflowPunct/>
              <w:topLinePunct w:val="0"/>
              <w:autoSpaceDN/>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（2）排水</w:t>
            </w:r>
          </w:p>
          <w:p w14:paraId="7F2257AE">
            <w:pPr>
              <w:pStyle w:val="2"/>
              <w:keepNext w:val="0"/>
              <w:keepLines w:val="0"/>
              <w:pageBreakBefore w:val="0"/>
              <w:widowControl w:val="0"/>
              <w:kinsoku/>
              <w:wordWrap/>
              <w:overflowPunct/>
              <w:topLinePunct w:val="0"/>
              <w:autoSpaceDN/>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本项目排水采用雨污分流的形式，排水包括生产废水和生活污水。</w:t>
            </w:r>
          </w:p>
          <w:p w14:paraId="500BA77D">
            <w:pPr>
              <w:pStyle w:val="2"/>
              <w:keepNext w:val="0"/>
              <w:keepLines w:val="0"/>
              <w:pageBreakBefore w:val="0"/>
              <w:widowControl w:val="0"/>
              <w:kinsoku/>
              <w:wordWrap/>
              <w:overflowPunct/>
              <w:topLinePunct w:val="0"/>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rPr>
              <w:t>生产废水：生产废水经过厂区污水处理站处理达标后排市政管道</w:t>
            </w:r>
            <w:r>
              <w:rPr>
                <w:rFonts w:hint="default" w:ascii="Times New Roman" w:hAnsi="Times New Roman" w:cs="Times New Roman"/>
                <w:color w:val="auto"/>
                <w:sz w:val="24"/>
                <w:highlight w:val="none"/>
              </w:rPr>
              <w:t>，送入沙县金古北片区污水处理厂处理。</w:t>
            </w:r>
          </w:p>
          <w:p w14:paraId="1E224BF5">
            <w:pPr>
              <w:pStyle w:val="2"/>
              <w:keepNext w:val="0"/>
              <w:keepLines w:val="0"/>
              <w:pageBreakBefore w:val="0"/>
              <w:widowControl w:val="0"/>
              <w:kinsoku/>
              <w:wordWrap/>
              <w:overflowPunct/>
              <w:topLinePunct w:val="0"/>
              <w:autoSpaceDN/>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生活污水采用地埋式化粪池处理后从厂区西北侧生活污水排口市政管道，送</w:t>
            </w:r>
            <w:r>
              <w:rPr>
                <w:rFonts w:hint="default" w:ascii="Times New Roman" w:hAnsi="Times New Roman" w:cs="Times New Roman"/>
                <w:color w:val="auto"/>
                <w:sz w:val="24"/>
                <w:lang w:val="en-US" w:eastAsia="zh-CN"/>
              </w:rPr>
              <w:t>沙县</w:t>
            </w:r>
            <w:r>
              <w:rPr>
                <w:rFonts w:hint="default" w:ascii="Times New Roman" w:hAnsi="Times New Roman" w:cs="Times New Roman"/>
                <w:color w:val="auto"/>
                <w:sz w:val="24"/>
              </w:rPr>
              <w:t xml:space="preserve">金古北片区污水处理厂处理。 </w:t>
            </w:r>
          </w:p>
          <w:p w14:paraId="26038928">
            <w:pPr>
              <w:pStyle w:val="2"/>
              <w:keepNext w:val="0"/>
              <w:keepLines w:val="0"/>
              <w:pageBreakBefore w:val="0"/>
              <w:widowControl w:val="0"/>
              <w:kinsoku/>
              <w:wordWrap/>
              <w:overflowPunct/>
              <w:topLinePunct w:val="0"/>
              <w:autoSpaceDN/>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初期雨水沉淀处理后排入市政雨水管道。</w:t>
            </w:r>
          </w:p>
          <w:p w14:paraId="0E80494B">
            <w:pPr>
              <w:pStyle w:val="2"/>
              <w:keepNext w:val="0"/>
              <w:keepLines w:val="0"/>
              <w:pageBreakBefore w:val="0"/>
              <w:widowControl w:val="0"/>
              <w:kinsoku/>
              <w:wordWrap/>
              <w:overflowPunct/>
              <w:topLinePunct w:val="0"/>
              <w:autoSpaceDN/>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（3）消防给水</w:t>
            </w:r>
          </w:p>
          <w:p w14:paraId="5158BF0A">
            <w:pPr>
              <w:pStyle w:val="2"/>
              <w:keepNext w:val="0"/>
              <w:keepLines w:val="0"/>
              <w:pageBreakBefore w:val="0"/>
              <w:widowControl w:val="0"/>
              <w:kinsoku/>
              <w:wordWrap/>
              <w:overflowPunct/>
              <w:topLinePunct w:val="0"/>
              <w:autoSpaceDN/>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本项目消防给水水源由厂区现有给水管网供给，供水水量和压力满足全厂消防要求。项目室外消防水量为20L/s，室内消防水量为10L/s。</w:t>
            </w:r>
          </w:p>
          <w:p w14:paraId="311F2BBF">
            <w:pPr>
              <w:pStyle w:val="6"/>
              <w:keepNext w:val="0"/>
              <w:keepLines w:val="0"/>
              <w:spacing w:before="189" w:beforeLines="50" w:after="189" w:afterLines="50" w:line="240" w:lineRule="auto"/>
              <w:rPr>
                <w:rFonts w:hint="default" w:ascii="Times New Roman" w:hAnsi="Times New Roman" w:cs="Times New Roman"/>
                <w:color w:val="auto"/>
              </w:rPr>
            </w:pPr>
            <w:r>
              <w:rPr>
                <w:rFonts w:hint="default" w:ascii="Times New Roman" w:hAnsi="Times New Roman" w:cs="Times New Roman"/>
                <w:color w:val="auto"/>
              </w:rPr>
              <w:t>2.2.7.3供气</w:t>
            </w:r>
          </w:p>
          <w:p w14:paraId="72409A97">
            <w:pPr>
              <w:adjustRightInd w:val="0"/>
              <w:snapToGrid w:val="0"/>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（1）压缩空气</w:t>
            </w:r>
          </w:p>
          <w:p w14:paraId="0C828127">
            <w:pPr>
              <w:adjustRightInd w:val="0"/>
              <w:snapToGrid w:val="0"/>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压缩空气用于全厂各工艺机组的气动设备、气动仪表及设备吹扫等，</w:t>
            </w:r>
            <w:r>
              <w:rPr>
                <w:rFonts w:hint="default" w:ascii="Times New Roman" w:hAnsi="Times New Roman" w:cs="Times New Roman"/>
                <w:color w:val="auto"/>
                <w:kern w:val="0"/>
                <w:sz w:val="24"/>
              </w:rPr>
              <w:t>项目配置3台螺杆式空压机，压力</w:t>
            </w:r>
            <w:r>
              <w:rPr>
                <w:rFonts w:hint="default" w:ascii="Times New Roman" w:hAnsi="Times New Roman" w:cs="Times New Roman"/>
                <w:color w:val="auto"/>
                <w:sz w:val="24"/>
              </w:rPr>
              <w:t>0.5～0.8</w:t>
            </w:r>
            <w:r>
              <w:rPr>
                <w:rFonts w:hint="default" w:ascii="Times New Roman" w:hAnsi="Times New Roman" w:cs="Times New Roman"/>
                <w:color w:val="auto"/>
                <w:kern w:val="0"/>
                <w:sz w:val="24"/>
              </w:rPr>
              <w:t>MPa，</w:t>
            </w:r>
            <w:r>
              <w:rPr>
                <w:rFonts w:hint="default" w:ascii="Times New Roman" w:hAnsi="Times New Roman" w:cs="Times New Roman"/>
                <w:color w:val="auto"/>
                <w:sz w:val="24"/>
              </w:rPr>
              <w:t>流量：0.8～1.2m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/min。</w:t>
            </w:r>
          </w:p>
          <w:p w14:paraId="6CC92A48">
            <w:pPr>
              <w:pStyle w:val="2"/>
              <w:ind w:firstLine="480" w:firstLineChars="0"/>
              <w:rPr>
                <w:rFonts w:hint="default" w:ascii="Times New Roman" w:hAnsi="Times New Roman" w:cs="Times New Roman"/>
                <w:color w:val="auto"/>
                <w:sz w:val="24"/>
              </w:rPr>
            </w:pPr>
            <w:r>
              <w:rPr>
                <w:rFonts w:hint="default" w:ascii="Times New Roman" w:hAnsi="Times New Roman" w:cs="Times New Roman"/>
                <w:color w:val="auto"/>
                <w:sz w:val="24"/>
              </w:rPr>
              <w:t>（2）蒸汽</w:t>
            </w:r>
          </w:p>
          <w:p w14:paraId="64325A78">
            <w:pPr>
              <w:adjustRightInd w:val="0"/>
              <w:snapToGrid w:val="0"/>
              <w:spacing w:line="360" w:lineRule="auto"/>
              <w:ind w:firstLine="480" w:firstLineChars="200"/>
              <w:jc w:val="left"/>
              <w:rPr>
                <w:rFonts w:hint="default" w:ascii="Times New Roman" w:hAnsi="Times New Roman" w:cs="Times New Roman"/>
                <w:color w:val="auto"/>
                <w:sz w:val="28"/>
                <w:szCs w:val="28"/>
              </w:rPr>
            </w:pPr>
            <w:r>
              <w:rPr>
                <w:rFonts w:hint="default" w:ascii="Times New Roman" w:hAnsi="Times New Roman" w:cs="Times New Roman"/>
                <w:color w:val="auto"/>
                <w:sz w:val="24"/>
              </w:rPr>
              <w:t>本项目表面处理工序以及烘干需要用到蒸汽，蒸汽由2套天然气蒸汽发生器提供。本项目配置2台额定蒸发量1t/h的天然气蒸汽发生器，额定总蒸发量2t/h，能够满足生产用汽负荷、蒸汽波动及设备检修备用需求，蒸汽设计压力0.6～0.8Mpa，温度130-140℃。蒸汽发生器需要的天然气由厂区内天然气调压柜通过管道输送。</w:t>
            </w:r>
          </w:p>
          <w:p w14:paraId="1786DD72">
            <w:pPr>
              <w:pStyle w:val="5"/>
              <w:spacing w:before="189" w:after="189" w:afterLines="50" w:afterAutospacing="0" w:line="240" w:lineRule="auto"/>
              <w:rPr>
                <w:rFonts w:hint="default" w:ascii="Times New Roman" w:hAnsi="Times New Roman" w:cs="Times New Roman"/>
                <w:color w:val="auto"/>
              </w:rPr>
            </w:pPr>
            <w:r>
              <w:rPr>
                <w:rFonts w:hint="default" w:ascii="Times New Roman" w:hAnsi="Times New Roman" w:cs="Times New Roman"/>
                <w:color w:val="auto"/>
              </w:rPr>
              <w:t>2.2.8水平衡及物料平衡</w:t>
            </w:r>
          </w:p>
          <w:p w14:paraId="14F7CC01">
            <w:pPr>
              <w:pStyle w:val="6"/>
              <w:rPr>
                <w:rFonts w:hint="default" w:ascii="Times New Roman" w:hAnsi="Times New Roman" w:cs="Times New Roman"/>
                <w:color w:val="auto"/>
              </w:rPr>
            </w:pPr>
            <w:r>
              <w:rPr>
                <w:rFonts w:hint="default" w:ascii="Times New Roman" w:hAnsi="Times New Roman" w:cs="Times New Roman"/>
                <w:color w:val="auto"/>
              </w:rPr>
              <w:t>2.2.8.1水平衡</w:t>
            </w:r>
          </w:p>
          <w:p w14:paraId="6F6BD51F">
            <w:pPr>
              <w:pStyle w:val="10"/>
              <w:keepNext w:val="0"/>
              <w:keepLines w:val="0"/>
              <w:pageBreakBefore w:val="0"/>
              <w:widowControl w:val="0"/>
              <w:kinsoku/>
              <w:wordWrap/>
              <w:overflowPunct/>
              <w:topLinePunct w:val="0"/>
              <w:autoSpaceDE/>
              <w:autoSpaceDN/>
              <w:bidi w:val="0"/>
              <w:adjustRightInd w:val="0"/>
              <w:snapToGrid w:val="0"/>
              <w:spacing w:before="77" w:beforeLines="20"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项目用水主要为生产用水和生活污水。</w:t>
            </w:r>
          </w:p>
          <w:bookmarkEnd w:id="90"/>
          <w:bookmarkEnd w:id="91"/>
          <w:bookmarkEnd w:id="92"/>
          <w:bookmarkEnd w:id="93"/>
          <w:bookmarkEnd w:id="94"/>
          <w:bookmarkEnd w:id="95"/>
          <w:p w14:paraId="7E0943BD">
            <w:pPr>
              <w:bidi w:val="0"/>
              <w:rPr>
                <w:rFonts w:hint="default"/>
                <w:color w:val="auto"/>
              </w:rPr>
            </w:pPr>
          </w:p>
          <w:p w14:paraId="21EF7E1E">
            <w:pPr>
              <w:bidi w:val="0"/>
              <w:rPr>
                <w:rFonts w:hint="default"/>
                <w:color w:val="auto"/>
              </w:rPr>
            </w:pPr>
          </w:p>
        </w:tc>
      </w:tr>
    </w:tbl>
    <w:p w14:paraId="74FC67BD">
      <w:pPr>
        <w:pStyle w:val="30"/>
        <w:widowControl w:val="0"/>
        <w:adjustRightInd w:val="0"/>
        <w:spacing w:before="0" w:beforeAutospacing="0" w:after="0" w:afterAutospacing="0"/>
        <w:jc w:val="center"/>
        <w:rPr>
          <w:rFonts w:hint="default" w:ascii="Times New Roman" w:hAnsi="Times New Roman" w:cs="Times New Roman"/>
          <w:color w:val="auto"/>
          <w:sz w:val="21"/>
          <w:szCs w:val="21"/>
        </w:rPr>
        <w:sectPr>
          <w:pgSz w:w="11905" w:h="16838"/>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p w14:paraId="281B8EA4">
      <w:pPr>
        <w:pStyle w:val="30"/>
        <w:keepNext w:val="0"/>
        <w:keepLines w:val="0"/>
        <w:pageBreakBefore w:val="0"/>
        <w:widowControl w:val="0"/>
        <w:kinsoku/>
        <w:wordWrap/>
        <w:overflowPunct/>
        <w:topLinePunct w:val="0"/>
        <w:autoSpaceDE/>
        <w:autoSpaceDN/>
        <w:bidi w:val="0"/>
        <w:adjustRightInd w:val="0"/>
        <w:snapToGrid w:val="0"/>
        <w:spacing w:before="115" w:beforeLines="30" w:beforeAutospacing="0" w:after="115" w:afterLines="30" w:afterAutospacing="0"/>
        <w:jc w:val="center"/>
        <w:textAlignment w:val="auto"/>
        <w:outlineLvl w:val="4"/>
        <w:rPr>
          <w:rFonts w:hint="default" w:ascii="Times New Roman" w:hAnsi="Times New Roman" w:eastAsia="黑体" w:cs="Times New Roman"/>
          <w:snapToGrid/>
          <w:color w:val="auto"/>
          <w:kern w:val="2"/>
          <w:sz w:val="24"/>
          <w:szCs w:val="24"/>
          <w:lang w:val="en-US" w:eastAsia="zh-CN" w:bidi="ar-SA"/>
        </w:rPr>
      </w:pPr>
      <w:r>
        <w:rPr>
          <w:rFonts w:hint="default" w:ascii="Times New Roman" w:hAnsi="Times New Roman" w:eastAsia="黑体" w:cs="Times New Roman"/>
          <w:snapToGrid/>
          <w:color w:val="auto"/>
          <w:kern w:val="2"/>
          <w:sz w:val="24"/>
          <w:szCs w:val="24"/>
          <w:lang w:val="en-US" w:eastAsia="zh-CN" w:bidi="ar-SA"/>
        </w:rPr>
        <w:t xml:space="preserve">表2.2-11 </w:t>
      </w:r>
      <w:r>
        <w:rPr>
          <w:rFonts w:hint="eastAsia" w:ascii="Times New Roman" w:hAnsi="Times New Roman" w:eastAsia="黑体" w:cs="Times New Roman"/>
          <w:snapToGrid/>
          <w:color w:val="auto"/>
          <w:kern w:val="2"/>
          <w:sz w:val="24"/>
          <w:szCs w:val="24"/>
          <w:lang w:val="en-US" w:eastAsia="zh-CN" w:bidi="ar-SA"/>
        </w:rPr>
        <w:t xml:space="preserve"> </w:t>
      </w:r>
      <w:r>
        <w:rPr>
          <w:rFonts w:hint="default" w:ascii="Times New Roman" w:hAnsi="Times New Roman" w:eastAsia="黑体" w:cs="Times New Roman"/>
          <w:snapToGrid/>
          <w:color w:val="auto"/>
          <w:kern w:val="2"/>
          <w:sz w:val="24"/>
          <w:szCs w:val="24"/>
          <w:lang w:val="en-US" w:eastAsia="zh-CN" w:bidi="ar-SA"/>
        </w:rPr>
        <w:t>项目给排水平衡表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1"/>
        <w:gridCol w:w="1309"/>
        <w:gridCol w:w="1014"/>
        <w:gridCol w:w="848"/>
        <w:gridCol w:w="1903"/>
        <w:gridCol w:w="803"/>
        <w:gridCol w:w="1014"/>
        <w:gridCol w:w="803"/>
        <w:gridCol w:w="1092"/>
        <w:gridCol w:w="1092"/>
        <w:gridCol w:w="2951"/>
      </w:tblGrid>
      <w:tr w14:paraId="6FB6B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gridSpan w:val="2"/>
            <w:tcBorders>
              <w:tl2br w:val="nil"/>
              <w:tr2bl w:val="nil"/>
            </w:tcBorders>
            <w:shd w:val="clear" w:color="auto" w:fill="auto"/>
            <w:vAlign w:val="center"/>
          </w:tcPr>
          <w:p w14:paraId="03C0B9D3">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b w:val="0"/>
                <w:bCs w:val="0"/>
                <w:color w:val="auto"/>
                <w:kern w:val="0"/>
                <w:sz w:val="21"/>
                <w:szCs w:val="21"/>
              </w:rPr>
            </w:pPr>
            <w:r>
              <w:rPr>
                <w:rFonts w:hint="default" w:ascii="Times New Roman" w:hAnsi="Times New Roman" w:cs="Times New Roman" w:eastAsiaTheme="minorEastAsia"/>
                <w:b w:val="0"/>
                <w:bCs w:val="0"/>
                <w:color w:val="auto"/>
                <w:kern w:val="0"/>
                <w:sz w:val="21"/>
                <w:szCs w:val="21"/>
              </w:rPr>
              <w:t>用水工序</w:t>
            </w:r>
          </w:p>
        </w:tc>
        <w:tc>
          <w:tcPr>
            <w:tcW w:w="0" w:type="auto"/>
            <w:tcBorders>
              <w:tl2br w:val="nil"/>
              <w:tr2bl w:val="nil"/>
            </w:tcBorders>
            <w:shd w:val="clear" w:color="auto" w:fill="auto"/>
            <w:vAlign w:val="center"/>
          </w:tcPr>
          <w:p w14:paraId="0964F71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b w:val="0"/>
                <w:bCs w:val="0"/>
                <w:color w:val="auto"/>
                <w:kern w:val="0"/>
                <w:sz w:val="21"/>
                <w:szCs w:val="21"/>
              </w:rPr>
            </w:pPr>
            <w:r>
              <w:rPr>
                <w:rFonts w:hint="default" w:ascii="Times New Roman" w:hAnsi="Times New Roman" w:cs="Times New Roman" w:eastAsiaTheme="minorEastAsia"/>
                <w:b w:val="0"/>
                <w:bCs w:val="0"/>
                <w:color w:val="auto"/>
                <w:kern w:val="0"/>
                <w:sz w:val="21"/>
                <w:szCs w:val="21"/>
              </w:rPr>
              <w:t>总用</w:t>
            </w:r>
          </w:p>
          <w:p w14:paraId="65CCACD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b w:val="0"/>
                <w:bCs w:val="0"/>
                <w:color w:val="auto"/>
                <w:kern w:val="0"/>
                <w:sz w:val="21"/>
                <w:szCs w:val="21"/>
              </w:rPr>
            </w:pPr>
            <w:r>
              <w:rPr>
                <w:rFonts w:hint="default" w:ascii="Times New Roman" w:hAnsi="Times New Roman" w:cs="Times New Roman" w:eastAsiaTheme="minorEastAsia"/>
                <w:b w:val="0"/>
                <w:bCs w:val="0"/>
                <w:color w:val="auto"/>
                <w:kern w:val="0"/>
                <w:sz w:val="21"/>
                <w:szCs w:val="21"/>
              </w:rPr>
              <w:t>水量</w:t>
            </w:r>
          </w:p>
        </w:tc>
        <w:tc>
          <w:tcPr>
            <w:tcW w:w="0" w:type="auto"/>
            <w:tcBorders>
              <w:tl2br w:val="nil"/>
              <w:tr2bl w:val="nil"/>
            </w:tcBorders>
            <w:shd w:val="clear" w:color="auto" w:fill="auto"/>
            <w:vAlign w:val="center"/>
          </w:tcPr>
          <w:p w14:paraId="76EFD43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b w:val="0"/>
                <w:bCs w:val="0"/>
                <w:color w:val="auto"/>
                <w:kern w:val="0"/>
                <w:sz w:val="21"/>
                <w:szCs w:val="21"/>
              </w:rPr>
            </w:pPr>
            <w:r>
              <w:rPr>
                <w:rFonts w:hint="default" w:ascii="Times New Roman" w:hAnsi="Times New Roman" w:cs="Times New Roman" w:eastAsiaTheme="minorEastAsia"/>
                <w:b w:val="0"/>
                <w:bCs w:val="0"/>
                <w:color w:val="auto"/>
                <w:kern w:val="0"/>
                <w:sz w:val="21"/>
                <w:szCs w:val="21"/>
              </w:rPr>
              <w:t>新鲜水</w:t>
            </w:r>
          </w:p>
        </w:tc>
        <w:tc>
          <w:tcPr>
            <w:tcW w:w="0" w:type="auto"/>
            <w:tcBorders>
              <w:tl2br w:val="nil"/>
              <w:tr2bl w:val="nil"/>
            </w:tcBorders>
            <w:shd w:val="clear" w:color="auto" w:fill="auto"/>
            <w:noWrap/>
            <w:vAlign w:val="center"/>
          </w:tcPr>
          <w:p w14:paraId="4BF8DCBA">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b w:val="0"/>
                <w:bCs w:val="0"/>
                <w:color w:val="auto"/>
                <w:kern w:val="0"/>
                <w:sz w:val="21"/>
                <w:szCs w:val="21"/>
              </w:rPr>
            </w:pPr>
            <w:r>
              <w:rPr>
                <w:rFonts w:hint="default" w:ascii="Times New Roman" w:hAnsi="Times New Roman" w:cs="Times New Roman" w:eastAsiaTheme="minorEastAsia"/>
                <w:b w:val="0"/>
                <w:bCs w:val="0"/>
                <w:color w:val="auto"/>
                <w:kern w:val="0"/>
                <w:sz w:val="21"/>
                <w:szCs w:val="21"/>
              </w:rPr>
              <w:t>原料（盐酸）含水</w:t>
            </w:r>
          </w:p>
        </w:tc>
        <w:tc>
          <w:tcPr>
            <w:tcW w:w="0" w:type="auto"/>
            <w:tcBorders>
              <w:tl2br w:val="nil"/>
              <w:tr2bl w:val="nil"/>
            </w:tcBorders>
            <w:shd w:val="clear" w:color="auto" w:fill="auto"/>
            <w:vAlign w:val="center"/>
          </w:tcPr>
          <w:p w14:paraId="1C50F3E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b w:val="0"/>
                <w:bCs w:val="0"/>
                <w:color w:val="auto"/>
                <w:kern w:val="0"/>
                <w:sz w:val="21"/>
                <w:szCs w:val="21"/>
              </w:rPr>
            </w:pPr>
            <w:r>
              <w:rPr>
                <w:rFonts w:hint="default" w:ascii="Times New Roman" w:hAnsi="Times New Roman" w:cs="Times New Roman" w:eastAsiaTheme="minorEastAsia"/>
                <w:b w:val="0"/>
                <w:bCs w:val="0"/>
                <w:color w:val="auto"/>
                <w:kern w:val="0"/>
                <w:sz w:val="21"/>
                <w:szCs w:val="21"/>
              </w:rPr>
              <w:t>二次水</w:t>
            </w:r>
          </w:p>
        </w:tc>
        <w:tc>
          <w:tcPr>
            <w:tcW w:w="0" w:type="auto"/>
            <w:tcBorders>
              <w:tl2br w:val="nil"/>
              <w:tr2bl w:val="nil"/>
            </w:tcBorders>
            <w:shd w:val="clear" w:color="auto" w:fill="auto"/>
            <w:vAlign w:val="center"/>
          </w:tcPr>
          <w:p w14:paraId="74352245">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b w:val="0"/>
                <w:bCs w:val="0"/>
                <w:color w:val="auto"/>
                <w:kern w:val="0"/>
                <w:sz w:val="21"/>
                <w:szCs w:val="21"/>
              </w:rPr>
            </w:pPr>
            <w:r>
              <w:rPr>
                <w:rFonts w:hint="default" w:ascii="Times New Roman" w:hAnsi="Times New Roman" w:cs="Times New Roman" w:eastAsiaTheme="minorEastAsia"/>
                <w:b w:val="0"/>
                <w:bCs w:val="0"/>
                <w:color w:val="auto"/>
                <w:kern w:val="0"/>
                <w:sz w:val="21"/>
                <w:szCs w:val="21"/>
              </w:rPr>
              <w:t>循环</w:t>
            </w:r>
          </w:p>
          <w:p w14:paraId="6493FD8A">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b w:val="0"/>
                <w:bCs w:val="0"/>
                <w:color w:val="auto"/>
                <w:kern w:val="0"/>
                <w:sz w:val="21"/>
                <w:szCs w:val="21"/>
              </w:rPr>
            </w:pPr>
            <w:r>
              <w:rPr>
                <w:rFonts w:hint="default" w:ascii="Times New Roman" w:hAnsi="Times New Roman" w:cs="Times New Roman" w:eastAsiaTheme="minorEastAsia"/>
                <w:b w:val="0"/>
                <w:bCs w:val="0"/>
                <w:color w:val="auto"/>
                <w:kern w:val="0"/>
                <w:sz w:val="21"/>
                <w:szCs w:val="21"/>
              </w:rPr>
              <w:t>用水</w:t>
            </w:r>
          </w:p>
        </w:tc>
        <w:tc>
          <w:tcPr>
            <w:tcW w:w="0" w:type="auto"/>
            <w:tcBorders>
              <w:tl2br w:val="nil"/>
              <w:tr2bl w:val="nil"/>
            </w:tcBorders>
            <w:shd w:val="clear" w:color="auto" w:fill="auto"/>
            <w:vAlign w:val="center"/>
          </w:tcPr>
          <w:p w14:paraId="669D775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b w:val="0"/>
                <w:bCs w:val="0"/>
                <w:color w:val="auto"/>
                <w:kern w:val="0"/>
                <w:sz w:val="21"/>
                <w:szCs w:val="21"/>
              </w:rPr>
            </w:pPr>
            <w:r>
              <w:rPr>
                <w:rFonts w:hint="default" w:ascii="Times New Roman" w:hAnsi="Times New Roman" w:cs="Times New Roman" w:eastAsiaTheme="minorEastAsia"/>
                <w:b w:val="0"/>
                <w:bCs w:val="0"/>
                <w:color w:val="auto"/>
                <w:kern w:val="0"/>
                <w:sz w:val="21"/>
                <w:szCs w:val="21"/>
              </w:rPr>
              <w:t>损耗量</w:t>
            </w:r>
          </w:p>
        </w:tc>
        <w:tc>
          <w:tcPr>
            <w:tcW w:w="0" w:type="auto"/>
            <w:tcBorders>
              <w:tl2br w:val="nil"/>
              <w:tr2bl w:val="nil"/>
            </w:tcBorders>
            <w:shd w:val="clear" w:color="auto" w:fill="auto"/>
            <w:vAlign w:val="center"/>
          </w:tcPr>
          <w:p w14:paraId="6EAC52B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b w:val="0"/>
                <w:bCs w:val="0"/>
                <w:color w:val="auto"/>
                <w:kern w:val="0"/>
                <w:sz w:val="21"/>
                <w:szCs w:val="21"/>
              </w:rPr>
            </w:pPr>
            <w:r>
              <w:rPr>
                <w:rFonts w:hint="default" w:ascii="Times New Roman" w:hAnsi="Times New Roman" w:cs="Times New Roman" w:eastAsiaTheme="minorEastAsia"/>
                <w:b w:val="0"/>
                <w:bCs w:val="0"/>
                <w:color w:val="auto"/>
                <w:kern w:val="0"/>
                <w:sz w:val="21"/>
                <w:szCs w:val="21"/>
              </w:rPr>
              <w:t>废水产生量</w:t>
            </w:r>
          </w:p>
        </w:tc>
        <w:tc>
          <w:tcPr>
            <w:tcW w:w="0" w:type="auto"/>
            <w:tcBorders>
              <w:tl2br w:val="nil"/>
              <w:tr2bl w:val="nil"/>
            </w:tcBorders>
            <w:shd w:val="clear" w:color="auto" w:fill="auto"/>
            <w:vAlign w:val="center"/>
          </w:tcPr>
          <w:p w14:paraId="177D0780">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b w:val="0"/>
                <w:bCs w:val="0"/>
                <w:color w:val="auto"/>
                <w:kern w:val="0"/>
                <w:sz w:val="21"/>
                <w:szCs w:val="21"/>
              </w:rPr>
            </w:pPr>
            <w:r>
              <w:rPr>
                <w:rFonts w:hint="default" w:ascii="Times New Roman" w:hAnsi="Times New Roman" w:cs="Times New Roman" w:eastAsiaTheme="minorEastAsia"/>
                <w:b w:val="0"/>
                <w:bCs w:val="0"/>
                <w:color w:val="auto"/>
                <w:kern w:val="0"/>
                <w:sz w:val="21"/>
                <w:szCs w:val="21"/>
              </w:rPr>
              <w:t>废水排放量</w:t>
            </w:r>
          </w:p>
        </w:tc>
        <w:tc>
          <w:tcPr>
            <w:tcW w:w="0" w:type="auto"/>
            <w:tcBorders>
              <w:tl2br w:val="nil"/>
              <w:tr2bl w:val="nil"/>
            </w:tcBorders>
            <w:shd w:val="clear" w:color="auto" w:fill="auto"/>
            <w:vAlign w:val="center"/>
          </w:tcPr>
          <w:p w14:paraId="2D1AF012">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b w:val="0"/>
                <w:bCs w:val="0"/>
                <w:color w:val="auto"/>
                <w:kern w:val="0"/>
                <w:sz w:val="21"/>
                <w:szCs w:val="21"/>
              </w:rPr>
            </w:pPr>
            <w:r>
              <w:rPr>
                <w:rFonts w:hint="default" w:ascii="Times New Roman" w:hAnsi="Times New Roman" w:cs="Times New Roman" w:eastAsiaTheme="minorEastAsia"/>
                <w:b w:val="0"/>
                <w:bCs w:val="0"/>
                <w:color w:val="auto"/>
                <w:kern w:val="0"/>
                <w:sz w:val="21"/>
                <w:szCs w:val="21"/>
              </w:rPr>
              <w:t>备注</w:t>
            </w:r>
          </w:p>
        </w:tc>
      </w:tr>
      <w:tr w14:paraId="187FD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restart"/>
            <w:tcBorders>
              <w:tl2br w:val="nil"/>
              <w:tr2bl w:val="nil"/>
            </w:tcBorders>
            <w:shd w:val="clear" w:color="auto" w:fill="auto"/>
            <w:vAlign w:val="center"/>
          </w:tcPr>
          <w:p w14:paraId="1C92DF3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表面处理生产线</w:t>
            </w:r>
          </w:p>
        </w:tc>
        <w:tc>
          <w:tcPr>
            <w:tcW w:w="0" w:type="auto"/>
            <w:tcBorders>
              <w:tl2br w:val="nil"/>
              <w:tr2bl w:val="nil"/>
            </w:tcBorders>
            <w:shd w:val="clear" w:color="auto" w:fill="auto"/>
            <w:vAlign w:val="center"/>
          </w:tcPr>
          <w:p w14:paraId="05FA4BDE">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碱液喷淋吸收塔</w:t>
            </w:r>
          </w:p>
        </w:tc>
        <w:tc>
          <w:tcPr>
            <w:tcW w:w="0" w:type="auto"/>
            <w:tcBorders>
              <w:tl2br w:val="nil"/>
              <w:tr2bl w:val="nil"/>
            </w:tcBorders>
            <w:shd w:val="clear" w:color="auto" w:fill="auto"/>
            <w:vAlign w:val="center"/>
          </w:tcPr>
          <w:p w14:paraId="0583924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2.24</w:t>
            </w:r>
          </w:p>
        </w:tc>
        <w:tc>
          <w:tcPr>
            <w:tcW w:w="0" w:type="auto"/>
            <w:tcBorders>
              <w:tl2br w:val="nil"/>
              <w:tr2bl w:val="nil"/>
            </w:tcBorders>
            <w:shd w:val="clear" w:color="auto" w:fill="auto"/>
            <w:vAlign w:val="center"/>
          </w:tcPr>
          <w:p w14:paraId="09CEA931">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2.24</w:t>
            </w:r>
          </w:p>
        </w:tc>
        <w:tc>
          <w:tcPr>
            <w:tcW w:w="0" w:type="auto"/>
            <w:tcBorders>
              <w:tl2br w:val="nil"/>
              <w:tr2bl w:val="nil"/>
            </w:tcBorders>
            <w:shd w:val="clear" w:color="auto" w:fill="auto"/>
            <w:noWrap/>
            <w:vAlign w:val="center"/>
          </w:tcPr>
          <w:p w14:paraId="3C2F550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31EE83F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4509FD42">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2FC0B67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2.16</w:t>
            </w:r>
          </w:p>
        </w:tc>
        <w:tc>
          <w:tcPr>
            <w:tcW w:w="0" w:type="auto"/>
            <w:tcBorders>
              <w:tl2br w:val="nil"/>
              <w:tr2bl w:val="nil"/>
            </w:tcBorders>
            <w:shd w:val="clear" w:color="auto" w:fill="auto"/>
            <w:noWrap/>
            <w:vAlign w:val="center"/>
          </w:tcPr>
          <w:p w14:paraId="603EDEA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0.08</w:t>
            </w:r>
          </w:p>
        </w:tc>
        <w:tc>
          <w:tcPr>
            <w:tcW w:w="0" w:type="auto"/>
            <w:tcBorders>
              <w:tl2br w:val="nil"/>
              <w:tr2bl w:val="nil"/>
            </w:tcBorders>
            <w:shd w:val="clear" w:color="auto" w:fill="auto"/>
            <w:vAlign w:val="center"/>
          </w:tcPr>
          <w:p w14:paraId="69AA83E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0.08</w:t>
            </w:r>
          </w:p>
        </w:tc>
        <w:tc>
          <w:tcPr>
            <w:tcW w:w="0" w:type="auto"/>
            <w:tcBorders>
              <w:tl2br w:val="nil"/>
              <w:tr2bl w:val="nil"/>
            </w:tcBorders>
            <w:shd w:val="clear" w:color="auto" w:fill="auto"/>
            <w:vAlign w:val="center"/>
          </w:tcPr>
          <w:p w14:paraId="31B679D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w:t>
            </w:r>
          </w:p>
        </w:tc>
      </w:tr>
      <w:tr w14:paraId="0B2E9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14:paraId="3A99039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54D1186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水密封清洗</w:t>
            </w:r>
          </w:p>
        </w:tc>
        <w:tc>
          <w:tcPr>
            <w:tcW w:w="0" w:type="auto"/>
            <w:tcBorders>
              <w:tl2br w:val="nil"/>
              <w:tr2bl w:val="nil"/>
            </w:tcBorders>
            <w:shd w:val="clear" w:color="auto" w:fill="auto"/>
            <w:vAlign w:val="center"/>
          </w:tcPr>
          <w:p w14:paraId="20E8879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7.88</w:t>
            </w:r>
          </w:p>
        </w:tc>
        <w:tc>
          <w:tcPr>
            <w:tcW w:w="0" w:type="auto"/>
            <w:tcBorders>
              <w:tl2br w:val="nil"/>
              <w:tr2bl w:val="nil"/>
            </w:tcBorders>
            <w:shd w:val="clear" w:color="auto" w:fill="auto"/>
            <w:vAlign w:val="center"/>
          </w:tcPr>
          <w:p w14:paraId="00881216">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7.88</w:t>
            </w:r>
          </w:p>
        </w:tc>
        <w:tc>
          <w:tcPr>
            <w:tcW w:w="0" w:type="auto"/>
            <w:tcBorders>
              <w:tl2br w:val="nil"/>
              <w:tr2bl w:val="nil"/>
            </w:tcBorders>
            <w:shd w:val="clear" w:color="auto" w:fill="auto"/>
            <w:noWrap/>
            <w:vAlign w:val="center"/>
          </w:tcPr>
          <w:p w14:paraId="66CA941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6AA074F6">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3C25ADB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noWrap/>
            <w:vAlign w:val="center"/>
          </w:tcPr>
          <w:p w14:paraId="67736F0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3.15</w:t>
            </w:r>
          </w:p>
        </w:tc>
        <w:tc>
          <w:tcPr>
            <w:tcW w:w="0" w:type="auto"/>
            <w:tcBorders>
              <w:tl2br w:val="nil"/>
              <w:tr2bl w:val="nil"/>
            </w:tcBorders>
            <w:shd w:val="clear" w:color="auto" w:fill="auto"/>
            <w:noWrap/>
            <w:vAlign w:val="center"/>
          </w:tcPr>
          <w:p w14:paraId="6EF6EA25">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4.73</w:t>
            </w:r>
          </w:p>
        </w:tc>
        <w:tc>
          <w:tcPr>
            <w:tcW w:w="0" w:type="auto"/>
            <w:tcBorders>
              <w:tl2br w:val="nil"/>
              <w:tr2bl w:val="nil"/>
            </w:tcBorders>
            <w:shd w:val="clear" w:color="auto" w:fill="auto"/>
            <w:noWrap/>
            <w:vAlign w:val="center"/>
          </w:tcPr>
          <w:p w14:paraId="0DF5DF69">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4.73</w:t>
            </w:r>
          </w:p>
        </w:tc>
        <w:tc>
          <w:tcPr>
            <w:tcW w:w="0" w:type="auto"/>
            <w:tcBorders>
              <w:tl2br w:val="nil"/>
              <w:tr2bl w:val="nil"/>
            </w:tcBorders>
            <w:shd w:val="clear" w:color="auto" w:fill="auto"/>
            <w:vAlign w:val="center"/>
          </w:tcPr>
          <w:p w14:paraId="02629992">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w:t>
            </w:r>
          </w:p>
        </w:tc>
      </w:tr>
      <w:tr w14:paraId="30B9C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14:paraId="5383698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79797739">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酸洗槽</w:t>
            </w:r>
          </w:p>
        </w:tc>
        <w:tc>
          <w:tcPr>
            <w:tcW w:w="1014" w:type="dxa"/>
            <w:tcBorders>
              <w:tl2br w:val="nil"/>
              <w:tr2bl w:val="nil"/>
            </w:tcBorders>
            <w:shd w:val="clear" w:color="auto" w:fill="auto"/>
            <w:vAlign w:val="center"/>
          </w:tcPr>
          <w:p w14:paraId="3ED67CF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17.6</w:t>
            </w:r>
          </w:p>
        </w:tc>
        <w:tc>
          <w:tcPr>
            <w:tcW w:w="848" w:type="dxa"/>
            <w:tcBorders>
              <w:tl2br w:val="nil"/>
              <w:tr2bl w:val="nil"/>
            </w:tcBorders>
            <w:shd w:val="clear" w:color="auto" w:fill="auto"/>
            <w:vAlign w:val="center"/>
          </w:tcPr>
          <w:p w14:paraId="7B09E7B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12.5</w:t>
            </w:r>
          </w:p>
        </w:tc>
        <w:tc>
          <w:tcPr>
            <w:tcW w:w="1903" w:type="dxa"/>
            <w:tcBorders>
              <w:tl2br w:val="nil"/>
              <w:tr2bl w:val="nil"/>
            </w:tcBorders>
            <w:shd w:val="clear" w:color="auto" w:fill="auto"/>
            <w:noWrap/>
            <w:vAlign w:val="center"/>
          </w:tcPr>
          <w:p w14:paraId="6BF5863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5.1</w:t>
            </w:r>
          </w:p>
        </w:tc>
        <w:tc>
          <w:tcPr>
            <w:tcW w:w="803" w:type="dxa"/>
            <w:tcBorders>
              <w:tl2br w:val="nil"/>
              <w:tr2bl w:val="nil"/>
            </w:tcBorders>
            <w:shd w:val="clear" w:color="auto" w:fill="auto"/>
            <w:vAlign w:val="center"/>
          </w:tcPr>
          <w:p w14:paraId="3126392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color w:val="auto"/>
                <w:kern w:val="0"/>
                <w:sz w:val="21"/>
                <w:szCs w:val="21"/>
              </w:rPr>
            </w:pPr>
          </w:p>
        </w:tc>
        <w:tc>
          <w:tcPr>
            <w:tcW w:w="1014" w:type="dxa"/>
            <w:tcBorders>
              <w:tl2br w:val="nil"/>
              <w:tr2bl w:val="nil"/>
            </w:tcBorders>
            <w:shd w:val="clear" w:color="auto" w:fill="auto"/>
            <w:vAlign w:val="center"/>
          </w:tcPr>
          <w:p w14:paraId="2B0F5F8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color w:val="auto"/>
                <w:kern w:val="0"/>
                <w:sz w:val="21"/>
                <w:szCs w:val="21"/>
              </w:rPr>
            </w:pPr>
          </w:p>
        </w:tc>
        <w:tc>
          <w:tcPr>
            <w:tcW w:w="803" w:type="dxa"/>
            <w:tcBorders>
              <w:tl2br w:val="nil"/>
              <w:tr2bl w:val="nil"/>
            </w:tcBorders>
            <w:shd w:val="clear" w:color="auto" w:fill="auto"/>
            <w:vAlign w:val="center"/>
          </w:tcPr>
          <w:p w14:paraId="2791A84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color w:val="auto"/>
                <w:kern w:val="0"/>
                <w:sz w:val="21"/>
                <w:szCs w:val="21"/>
                <w:lang w:val="en-US"/>
              </w:rPr>
            </w:pPr>
            <w:r>
              <w:rPr>
                <w:rFonts w:hint="default" w:ascii="Times New Roman" w:hAnsi="Times New Roman" w:cs="Times New Roman"/>
                <w:i w:val="0"/>
                <w:iCs w:val="0"/>
                <w:color w:val="auto"/>
                <w:kern w:val="0"/>
                <w:sz w:val="21"/>
                <w:szCs w:val="21"/>
                <w:u w:val="none"/>
                <w:lang w:val="en-US" w:eastAsia="zh-CN" w:bidi="ar"/>
              </w:rPr>
              <w:t>6.35</w:t>
            </w:r>
          </w:p>
        </w:tc>
        <w:tc>
          <w:tcPr>
            <w:tcW w:w="1092" w:type="dxa"/>
            <w:tcBorders>
              <w:tl2br w:val="nil"/>
              <w:tr2bl w:val="nil"/>
            </w:tcBorders>
            <w:shd w:val="clear" w:color="auto" w:fill="auto"/>
            <w:vAlign w:val="center"/>
          </w:tcPr>
          <w:p w14:paraId="05C3703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11.25</w:t>
            </w:r>
          </w:p>
        </w:tc>
        <w:tc>
          <w:tcPr>
            <w:tcW w:w="1092" w:type="dxa"/>
            <w:tcBorders>
              <w:tl2br w:val="nil"/>
              <w:tr2bl w:val="nil"/>
            </w:tcBorders>
            <w:shd w:val="clear" w:color="auto" w:fill="auto"/>
            <w:noWrap/>
            <w:vAlign w:val="center"/>
          </w:tcPr>
          <w:p w14:paraId="69FB37B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0</w:t>
            </w:r>
          </w:p>
        </w:tc>
        <w:tc>
          <w:tcPr>
            <w:tcW w:w="0" w:type="auto"/>
            <w:tcBorders>
              <w:tl2br w:val="nil"/>
              <w:tr2bl w:val="nil"/>
            </w:tcBorders>
            <w:shd w:val="clear" w:color="auto" w:fill="auto"/>
            <w:vAlign w:val="center"/>
          </w:tcPr>
          <w:p w14:paraId="33185E8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作为废酸</w:t>
            </w:r>
          </w:p>
        </w:tc>
      </w:tr>
      <w:tr w14:paraId="507E9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14:paraId="093B4731">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51B31289">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冲洗1</w:t>
            </w:r>
          </w:p>
        </w:tc>
        <w:tc>
          <w:tcPr>
            <w:tcW w:w="0" w:type="auto"/>
            <w:tcBorders>
              <w:tl2br w:val="nil"/>
              <w:tr2bl w:val="nil"/>
            </w:tcBorders>
            <w:shd w:val="clear" w:color="auto" w:fill="auto"/>
            <w:vAlign w:val="center"/>
          </w:tcPr>
          <w:p w14:paraId="77CA7D13">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100</w:t>
            </w:r>
          </w:p>
        </w:tc>
        <w:tc>
          <w:tcPr>
            <w:tcW w:w="0" w:type="auto"/>
            <w:tcBorders>
              <w:tl2br w:val="nil"/>
              <w:tr2bl w:val="nil"/>
            </w:tcBorders>
            <w:shd w:val="clear" w:color="auto" w:fill="auto"/>
            <w:vAlign w:val="center"/>
          </w:tcPr>
          <w:p w14:paraId="12CCE81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100</w:t>
            </w:r>
          </w:p>
        </w:tc>
        <w:tc>
          <w:tcPr>
            <w:tcW w:w="0" w:type="auto"/>
            <w:tcBorders>
              <w:tl2br w:val="nil"/>
              <w:tr2bl w:val="nil"/>
            </w:tcBorders>
            <w:shd w:val="clear" w:color="auto" w:fill="auto"/>
            <w:noWrap/>
            <w:vAlign w:val="center"/>
          </w:tcPr>
          <w:p w14:paraId="48CE0B6A">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515F3F82">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09F2FEF5">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5689BDBB">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15</w:t>
            </w:r>
          </w:p>
        </w:tc>
        <w:tc>
          <w:tcPr>
            <w:tcW w:w="0" w:type="auto"/>
            <w:tcBorders>
              <w:tl2br w:val="nil"/>
              <w:tr2bl w:val="nil"/>
            </w:tcBorders>
            <w:shd w:val="clear" w:color="auto" w:fill="auto"/>
            <w:vAlign w:val="center"/>
          </w:tcPr>
          <w:p w14:paraId="4564FB3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85</w:t>
            </w:r>
          </w:p>
        </w:tc>
        <w:tc>
          <w:tcPr>
            <w:tcW w:w="0" w:type="auto"/>
            <w:tcBorders>
              <w:tl2br w:val="nil"/>
              <w:tr2bl w:val="nil"/>
            </w:tcBorders>
            <w:shd w:val="clear" w:color="auto" w:fill="auto"/>
            <w:vAlign w:val="center"/>
          </w:tcPr>
          <w:p w14:paraId="55F3886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85</w:t>
            </w:r>
          </w:p>
        </w:tc>
        <w:tc>
          <w:tcPr>
            <w:tcW w:w="0" w:type="auto"/>
            <w:tcBorders>
              <w:tl2br w:val="nil"/>
              <w:tr2bl w:val="nil"/>
            </w:tcBorders>
            <w:shd w:val="clear" w:color="auto" w:fill="auto"/>
            <w:vAlign w:val="center"/>
          </w:tcPr>
          <w:p w14:paraId="39BD4050">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w:t>
            </w:r>
          </w:p>
        </w:tc>
      </w:tr>
      <w:tr w14:paraId="140F7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14:paraId="7F9587DE">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190C3BEA">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冲洗2</w:t>
            </w:r>
          </w:p>
        </w:tc>
        <w:tc>
          <w:tcPr>
            <w:tcW w:w="0" w:type="auto"/>
            <w:tcBorders>
              <w:tl2br w:val="nil"/>
              <w:tr2bl w:val="nil"/>
            </w:tcBorders>
            <w:shd w:val="clear" w:color="auto" w:fill="auto"/>
            <w:vAlign w:val="center"/>
          </w:tcPr>
          <w:p w14:paraId="4B311E4A">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100</w:t>
            </w:r>
          </w:p>
        </w:tc>
        <w:tc>
          <w:tcPr>
            <w:tcW w:w="0" w:type="auto"/>
            <w:tcBorders>
              <w:tl2br w:val="nil"/>
              <w:tr2bl w:val="nil"/>
            </w:tcBorders>
            <w:shd w:val="clear" w:color="auto" w:fill="auto"/>
            <w:vAlign w:val="center"/>
          </w:tcPr>
          <w:p w14:paraId="686AA75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100</w:t>
            </w:r>
          </w:p>
        </w:tc>
        <w:tc>
          <w:tcPr>
            <w:tcW w:w="0" w:type="auto"/>
            <w:tcBorders>
              <w:tl2br w:val="nil"/>
              <w:tr2bl w:val="nil"/>
            </w:tcBorders>
            <w:shd w:val="clear" w:color="auto" w:fill="auto"/>
            <w:noWrap/>
            <w:vAlign w:val="center"/>
          </w:tcPr>
          <w:p w14:paraId="2A9529A1">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4F20AEA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5554E61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3294D11B">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15</w:t>
            </w:r>
          </w:p>
        </w:tc>
        <w:tc>
          <w:tcPr>
            <w:tcW w:w="0" w:type="auto"/>
            <w:tcBorders>
              <w:tl2br w:val="nil"/>
              <w:tr2bl w:val="nil"/>
            </w:tcBorders>
            <w:shd w:val="clear" w:color="auto" w:fill="auto"/>
            <w:vAlign w:val="center"/>
          </w:tcPr>
          <w:p w14:paraId="03E1EB0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85</w:t>
            </w:r>
          </w:p>
        </w:tc>
        <w:tc>
          <w:tcPr>
            <w:tcW w:w="0" w:type="auto"/>
            <w:tcBorders>
              <w:tl2br w:val="nil"/>
              <w:tr2bl w:val="nil"/>
            </w:tcBorders>
            <w:shd w:val="clear" w:color="auto" w:fill="auto"/>
            <w:vAlign w:val="center"/>
          </w:tcPr>
          <w:p w14:paraId="31C0F233">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0</w:t>
            </w:r>
          </w:p>
        </w:tc>
        <w:tc>
          <w:tcPr>
            <w:tcW w:w="0" w:type="auto"/>
            <w:tcBorders>
              <w:tl2br w:val="nil"/>
              <w:tr2bl w:val="nil"/>
            </w:tcBorders>
            <w:shd w:val="clear" w:color="auto" w:fill="auto"/>
            <w:vAlign w:val="center"/>
          </w:tcPr>
          <w:p w14:paraId="2946E059">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作为漂洗工序补水</w:t>
            </w:r>
          </w:p>
        </w:tc>
      </w:tr>
      <w:tr w14:paraId="10CCA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14:paraId="2A6D6186">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25CC90A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漂洗</w:t>
            </w:r>
          </w:p>
        </w:tc>
        <w:tc>
          <w:tcPr>
            <w:tcW w:w="0" w:type="auto"/>
            <w:tcBorders>
              <w:tl2br w:val="nil"/>
              <w:tr2bl w:val="nil"/>
            </w:tcBorders>
            <w:shd w:val="clear" w:color="auto" w:fill="auto"/>
            <w:vAlign w:val="center"/>
          </w:tcPr>
          <w:p w14:paraId="2D2763A6">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85</w:t>
            </w:r>
          </w:p>
        </w:tc>
        <w:tc>
          <w:tcPr>
            <w:tcW w:w="0" w:type="auto"/>
            <w:tcBorders>
              <w:tl2br w:val="nil"/>
              <w:tr2bl w:val="nil"/>
            </w:tcBorders>
            <w:shd w:val="clear" w:color="auto" w:fill="auto"/>
            <w:noWrap/>
            <w:vAlign w:val="center"/>
          </w:tcPr>
          <w:p w14:paraId="7BD09951">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noWrap/>
            <w:vAlign w:val="center"/>
          </w:tcPr>
          <w:p w14:paraId="6E41B81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480BB4D1">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85</w:t>
            </w:r>
          </w:p>
        </w:tc>
        <w:tc>
          <w:tcPr>
            <w:tcW w:w="0" w:type="auto"/>
            <w:tcBorders>
              <w:tl2br w:val="nil"/>
              <w:tr2bl w:val="nil"/>
            </w:tcBorders>
            <w:shd w:val="clear" w:color="auto" w:fill="auto"/>
            <w:vAlign w:val="center"/>
          </w:tcPr>
          <w:p w14:paraId="2C68FE1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38863C3E">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12.75</w:t>
            </w:r>
          </w:p>
        </w:tc>
        <w:tc>
          <w:tcPr>
            <w:tcW w:w="0" w:type="auto"/>
            <w:tcBorders>
              <w:tl2br w:val="nil"/>
              <w:tr2bl w:val="nil"/>
            </w:tcBorders>
            <w:shd w:val="clear" w:color="auto" w:fill="auto"/>
            <w:vAlign w:val="center"/>
          </w:tcPr>
          <w:p w14:paraId="2901596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72.25</w:t>
            </w:r>
          </w:p>
        </w:tc>
        <w:tc>
          <w:tcPr>
            <w:tcW w:w="0" w:type="auto"/>
            <w:tcBorders>
              <w:tl2br w:val="nil"/>
              <w:tr2bl w:val="nil"/>
            </w:tcBorders>
            <w:shd w:val="clear" w:color="auto" w:fill="auto"/>
            <w:vAlign w:val="center"/>
          </w:tcPr>
          <w:p w14:paraId="4ACEF11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72.25</w:t>
            </w:r>
          </w:p>
        </w:tc>
        <w:tc>
          <w:tcPr>
            <w:tcW w:w="0" w:type="auto"/>
            <w:tcBorders>
              <w:tl2br w:val="nil"/>
              <w:tr2bl w:val="nil"/>
            </w:tcBorders>
            <w:shd w:val="clear" w:color="auto" w:fill="auto"/>
            <w:vAlign w:val="center"/>
          </w:tcPr>
          <w:p w14:paraId="1DF75A10">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w:t>
            </w:r>
          </w:p>
        </w:tc>
      </w:tr>
      <w:tr w14:paraId="2679D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14:paraId="319BE3F5">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0DDEE722">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中和</w:t>
            </w:r>
          </w:p>
        </w:tc>
        <w:tc>
          <w:tcPr>
            <w:tcW w:w="0" w:type="auto"/>
            <w:tcBorders>
              <w:tl2br w:val="nil"/>
              <w:tr2bl w:val="nil"/>
            </w:tcBorders>
            <w:shd w:val="clear" w:color="auto" w:fill="auto"/>
            <w:vAlign w:val="center"/>
          </w:tcPr>
          <w:p w14:paraId="4BB584D6">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2.8</w:t>
            </w:r>
          </w:p>
        </w:tc>
        <w:tc>
          <w:tcPr>
            <w:tcW w:w="0" w:type="auto"/>
            <w:tcBorders>
              <w:tl2br w:val="nil"/>
              <w:tr2bl w:val="nil"/>
            </w:tcBorders>
            <w:shd w:val="clear" w:color="auto" w:fill="auto"/>
            <w:vAlign w:val="center"/>
          </w:tcPr>
          <w:p w14:paraId="1CC2D80A">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2.8</w:t>
            </w:r>
          </w:p>
        </w:tc>
        <w:tc>
          <w:tcPr>
            <w:tcW w:w="0" w:type="auto"/>
            <w:tcBorders>
              <w:tl2br w:val="nil"/>
              <w:tr2bl w:val="nil"/>
            </w:tcBorders>
            <w:shd w:val="clear" w:color="auto" w:fill="auto"/>
            <w:noWrap/>
            <w:vAlign w:val="center"/>
          </w:tcPr>
          <w:p w14:paraId="33BDBB59">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4ECDDEE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66E4E04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256BEF8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1.86</w:t>
            </w:r>
          </w:p>
        </w:tc>
        <w:tc>
          <w:tcPr>
            <w:tcW w:w="0" w:type="auto"/>
            <w:tcBorders>
              <w:tl2br w:val="nil"/>
              <w:tr2bl w:val="nil"/>
            </w:tcBorders>
            <w:shd w:val="clear" w:color="auto" w:fill="auto"/>
            <w:noWrap/>
            <w:vAlign w:val="center"/>
          </w:tcPr>
          <w:p w14:paraId="1A5AAD0E">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0.94</w:t>
            </w:r>
          </w:p>
        </w:tc>
        <w:tc>
          <w:tcPr>
            <w:tcW w:w="0" w:type="auto"/>
            <w:tcBorders>
              <w:tl2br w:val="nil"/>
              <w:tr2bl w:val="nil"/>
            </w:tcBorders>
            <w:shd w:val="clear" w:color="auto" w:fill="auto"/>
            <w:noWrap/>
            <w:vAlign w:val="center"/>
          </w:tcPr>
          <w:p w14:paraId="6A41570A">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0.94</w:t>
            </w:r>
          </w:p>
        </w:tc>
        <w:tc>
          <w:tcPr>
            <w:tcW w:w="0" w:type="auto"/>
            <w:tcBorders>
              <w:tl2br w:val="nil"/>
              <w:tr2bl w:val="nil"/>
            </w:tcBorders>
            <w:shd w:val="clear" w:color="auto" w:fill="auto"/>
            <w:vAlign w:val="center"/>
          </w:tcPr>
          <w:p w14:paraId="349A167E">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w:t>
            </w:r>
          </w:p>
        </w:tc>
      </w:tr>
      <w:tr w14:paraId="62C16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14:paraId="0713CD33">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011DF2D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磷化</w:t>
            </w:r>
          </w:p>
        </w:tc>
        <w:tc>
          <w:tcPr>
            <w:tcW w:w="0" w:type="auto"/>
            <w:tcBorders>
              <w:tl2br w:val="nil"/>
              <w:tr2bl w:val="nil"/>
            </w:tcBorders>
            <w:shd w:val="clear" w:color="auto" w:fill="auto"/>
            <w:vAlign w:val="center"/>
          </w:tcPr>
          <w:p w14:paraId="697B4EE3">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19.13</w:t>
            </w:r>
          </w:p>
        </w:tc>
        <w:tc>
          <w:tcPr>
            <w:tcW w:w="0" w:type="auto"/>
            <w:tcBorders>
              <w:tl2br w:val="nil"/>
              <w:tr2bl w:val="nil"/>
            </w:tcBorders>
            <w:shd w:val="clear" w:color="auto" w:fill="auto"/>
            <w:vAlign w:val="center"/>
          </w:tcPr>
          <w:p w14:paraId="7AE08AAE">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19.13</w:t>
            </w:r>
          </w:p>
        </w:tc>
        <w:tc>
          <w:tcPr>
            <w:tcW w:w="0" w:type="auto"/>
            <w:tcBorders>
              <w:tl2br w:val="nil"/>
              <w:tr2bl w:val="nil"/>
            </w:tcBorders>
            <w:shd w:val="clear" w:color="auto" w:fill="auto"/>
            <w:noWrap/>
            <w:vAlign w:val="center"/>
          </w:tcPr>
          <w:p w14:paraId="5F5F13C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4CF47EF1">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15CC3430">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3AA80AD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5.63</w:t>
            </w:r>
          </w:p>
        </w:tc>
        <w:tc>
          <w:tcPr>
            <w:tcW w:w="0" w:type="auto"/>
            <w:tcBorders>
              <w:tl2br w:val="nil"/>
              <w:tr2bl w:val="nil"/>
            </w:tcBorders>
            <w:shd w:val="clear" w:color="auto" w:fill="auto"/>
            <w:vAlign w:val="center"/>
          </w:tcPr>
          <w:p w14:paraId="36B2527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13.5</w:t>
            </w:r>
          </w:p>
        </w:tc>
        <w:tc>
          <w:tcPr>
            <w:tcW w:w="0" w:type="auto"/>
            <w:tcBorders>
              <w:tl2br w:val="nil"/>
              <w:tr2bl w:val="nil"/>
            </w:tcBorders>
            <w:shd w:val="clear" w:color="auto" w:fill="auto"/>
            <w:vAlign w:val="center"/>
          </w:tcPr>
          <w:p w14:paraId="69B797AE">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0</w:t>
            </w:r>
          </w:p>
        </w:tc>
        <w:tc>
          <w:tcPr>
            <w:tcW w:w="0" w:type="auto"/>
            <w:tcBorders>
              <w:tl2br w:val="nil"/>
              <w:tr2bl w:val="nil"/>
            </w:tcBorders>
            <w:shd w:val="clear" w:color="auto" w:fill="auto"/>
            <w:vAlign w:val="center"/>
          </w:tcPr>
          <w:p w14:paraId="069FBA0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进入磷渣中</w:t>
            </w:r>
          </w:p>
        </w:tc>
      </w:tr>
      <w:tr w14:paraId="2B351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14:paraId="5123CE93">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7C520366">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表调</w:t>
            </w:r>
          </w:p>
        </w:tc>
        <w:tc>
          <w:tcPr>
            <w:tcW w:w="0" w:type="auto"/>
            <w:tcBorders>
              <w:tl2br w:val="nil"/>
              <w:tr2bl w:val="nil"/>
            </w:tcBorders>
            <w:shd w:val="clear" w:color="auto" w:fill="auto"/>
            <w:vAlign w:val="center"/>
          </w:tcPr>
          <w:p w14:paraId="20818E1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2.8</w:t>
            </w:r>
          </w:p>
        </w:tc>
        <w:tc>
          <w:tcPr>
            <w:tcW w:w="0" w:type="auto"/>
            <w:tcBorders>
              <w:tl2br w:val="nil"/>
              <w:tr2bl w:val="nil"/>
            </w:tcBorders>
            <w:shd w:val="clear" w:color="auto" w:fill="auto"/>
            <w:vAlign w:val="center"/>
          </w:tcPr>
          <w:p w14:paraId="72FE119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2.8</w:t>
            </w:r>
          </w:p>
        </w:tc>
        <w:tc>
          <w:tcPr>
            <w:tcW w:w="0" w:type="auto"/>
            <w:tcBorders>
              <w:tl2br w:val="nil"/>
              <w:tr2bl w:val="nil"/>
            </w:tcBorders>
            <w:shd w:val="clear" w:color="auto" w:fill="auto"/>
            <w:noWrap/>
            <w:vAlign w:val="center"/>
          </w:tcPr>
          <w:p w14:paraId="4C444E7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3A7F2BD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0122DAD2">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36E9A7A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2.8</w:t>
            </w:r>
          </w:p>
        </w:tc>
        <w:tc>
          <w:tcPr>
            <w:tcW w:w="0" w:type="auto"/>
            <w:tcBorders>
              <w:tl2br w:val="nil"/>
              <w:tr2bl w:val="nil"/>
            </w:tcBorders>
            <w:shd w:val="clear" w:color="auto" w:fill="auto"/>
            <w:vAlign w:val="center"/>
          </w:tcPr>
          <w:p w14:paraId="691C77A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0</w:t>
            </w:r>
          </w:p>
        </w:tc>
        <w:tc>
          <w:tcPr>
            <w:tcW w:w="0" w:type="auto"/>
            <w:tcBorders>
              <w:tl2br w:val="nil"/>
              <w:tr2bl w:val="nil"/>
            </w:tcBorders>
            <w:shd w:val="clear" w:color="auto" w:fill="auto"/>
            <w:vAlign w:val="center"/>
          </w:tcPr>
          <w:p w14:paraId="41DE3B32">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0</w:t>
            </w:r>
          </w:p>
        </w:tc>
        <w:tc>
          <w:tcPr>
            <w:tcW w:w="0" w:type="auto"/>
            <w:tcBorders>
              <w:tl2br w:val="nil"/>
              <w:tr2bl w:val="nil"/>
            </w:tcBorders>
            <w:shd w:val="clear" w:color="auto" w:fill="auto"/>
            <w:vAlign w:val="center"/>
          </w:tcPr>
          <w:p w14:paraId="0866F4E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r>
      <w:tr w14:paraId="06CDF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14:paraId="5FF30A35">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18CA65DB">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皂化</w:t>
            </w:r>
          </w:p>
        </w:tc>
        <w:tc>
          <w:tcPr>
            <w:tcW w:w="0" w:type="auto"/>
            <w:tcBorders>
              <w:tl2br w:val="nil"/>
              <w:tr2bl w:val="nil"/>
            </w:tcBorders>
            <w:shd w:val="clear" w:color="auto" w:fill="auto"/>
            <w:vAlign w:val="center"/>
          </w:tcPr>
          <w:p w14:paraId="6E9F1F93">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2.8</w:t>
            </w:r>
          </w:p>
        </w:tc>
        <w:tc>
          <w:tcPr>
            <w:tcW w:w="0" w:type="auto"/>
            <w:tcBorders>
              <w:tl2br w:val="nil"/>
              <w:tr2bl w:val="nil"/>
            </w:tcBorders>
            <w:shd w:val="clear" w:color="auto" w:fill="auto"/>
            <w:vAlign w:val="center"/>
          </w:tcPr>
          <w:p w14:paraId="70661641">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2.8</w:t>
            </w:r>
          </w:p>
        </w:tc>
        <w:tc>
          <w:tcPr>
            <w:tcW w:w="0" w:type="auto"/>
            <w:tcBorders>
              <w:tl2br w:val="nil"/>
              <w:tr2bl w:val="nil"/>
            </w:tcBorders>
            <w:shd w:val="clear" w:color="auto" w:fill="auto"/>
            <w:noWrap/>
            <w:vAlign w:val="center"/>
          </w:tcPr>
          <w:p w14:paraId="3DCD49A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263C5149">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5E06E45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51FF94E3">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2.8</w:t>
            </w:r>
          </w:p>
        </w:tc>
        <w:tc>
          <w:tcPr>
            <w:tcW w:w="0" w:type="auto"/>
            <w:tcBorders>
              <w:tl2br w:val="nil"/>
              <w:tr2bl w:val="nil"/>
            </w:tcBorders>
            <w:shd w:val="clear" w:color="auto" w:fill="auto"/>
            <w:vAlign w:val="center"/>
          </w:tcPr>
          <w:p w14:paraId="315A7DB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0</w:t>
            </w:r>
          </w:p>
        </w:tc>
        <w:tc>
          <w:tcPr>
            <w:tcW w:w="0" w:type="auto"/>
            <w:tcBorders>
              <w:tl2br w:val="nil"/>
              <w:tr2bl w:val="nil"/>
            </w:tcBorders>
            <w:shd w:val="clear" w:color="auto" w:fill="auto"/>
            <w:vAlign w:val="center"/>
          </w:tcPr>
          <w:p w14:paraId="1CF01EB1">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0</w:t>
            </w:r>
          </w:p>
        </w:tc>
        <w:tc>
          <w:tcPr>
            <w:tcW w:w="0" w:type="auto"/>
            <w:tcBorders>
              <w:tl2br w:val="nil"/>
              <w:tr2bl w:val="nil"/>
            </w:tcBorders>
            <w:shd w:val="clear" w:color="auto" w:fill="auto"/>
            <w:vAlign w:val="center"/>
          </w:tcPr>
          <w:p w14:paraId="444420A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r>
      <w:tr w14:paraId="25018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14:paraId="32EEACF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11322A72">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石灰</w:t>
            </w:r>
          </w:p>
        </w:tc>
        <w:tc>
          <w:tcPr>
            <w:tcW w:w="0" w:type="auto"/>
            <w:tcBorders>
              <w:tl2br w:val="nil"/>
              <w:tr2bl w:val="nil"/>
            </w:tcBorders>
            <w:shd w:val="clear" w:color="auto" w:fill="auto"/>
            <w:vAlign w:val="center"/>
          </w:tcPr>
          <w:p w14:paraId="0C750A2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2.8</w:t>
            </w:r>
          </w:p>
        </w:tc>
        <w:tc>
          <w:tcPr>
            <w:tcW w:w="0" w:type="auto"/>
            <w:tcBorders>
              <w:tl2br w:val="nil"/>
              <w:tr2bl w:val="nil"/>
            </w:tcBorders>
            <w:shd w:val="clear" w:color="auto" w:fill="auto"/>
            <w:vAlign w:val="center"/>
          </w:tcPr>
          <w:p w14:paraId="647EEDB9">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2.8</w:t>
            </w:r>
          </w:p>
        </w:tc>
        <w:tc>
          <w:tcPr>
            <w:tcW w:w="0" w:type="auto"/>
            <w:tcBorders>
              <w:tl2br w:val="nil"/>
              <w:tr2bl w:val="nil"/>
            </w:tcBorders>
            <w:shd w:val="clear" w:color="auto" w:fill="auto"/>
            <w:noWrap/>
            <w:vAlign w:val="center"/>
          </w:tcPr>
          <w:p w14:paraId="1BC7036B">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7B8FD2D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47CEE90A">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vAlign w:val="center"/>
          </w:tcPr>
          <w:p w14:paraId="66B0DDD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2.8</w:t>
            </w:r>
          </w:p>
        </w:tc>
        <w:tc>
          <w:tcPr>
            <w:tcW w:w="0" w:type="auto"/>
            <w:tcBorders>
              <w:tl2br w:val="nil"/>
              <w:tr2bl w:val="nil"/>
            </w:tcBorders>
            <w:shd w:val="clear" w:color="auto" w:fill="auto"/>
            <w:vAlign w:val="center"/>
          </w:tcPr>
          <w:p w14:paraId="598CE8B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0</w:t>
            </w:r>
          </w:p>
        </w:tc>
        <w:tc>
          <w:tcPr>
            <w:tcW w:w="0" w:type="auto"/>
            <w:tcBorders>
              <w:tl2br w:val="nil"/>
              <w:tr2bl w:val="nil"/>
            </w:tcBorders>
            <w:shd w:val="clear" w:color="auto" w:fill="auto"/>
            <w:vAlign w:val="center"/>
          </w:tcPr>
          <w:p w14:paraId="10637F6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0</w:t>
            </w:r>
          </w:p>
        </w:tc>
        <w:tc>
          <w:tcPr>
            <w:tcW w:w="0" w:type="auto"/>
            <w:tcBorders>
              <w:tl2br w:val="nil"/>
              <w:tr2bl w:val="nil"/>
            </w:tcBorders>
            <w:shd w:val="clear" w:color="auto" w:fill="auto"/>
            <w:vAlign w:val="center"/>
          </w:tcPr>
          <w:p w14:paraId="0E84B2A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r>
      <w:tr w14:paraId="324DA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gridSpan w:val="2"/>
            <w:tcBorders>
              <w:tl2br w:val="nil"/>
              <w:tr2bl w:val="nil"/>
            </w:tcBorders>
            <w:shd w:val="clear" w:color="auto" w:fill="auto"/>
            <w:vAlign w:val="center"/>
          </w:tcPr>
          <w:p w14:paraId="45306D9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小计</w:t>
            </w:r>
          </w:p>
        </w:tc>
        <w:tc>
          <w:tcPr>
            <w:tcW w:w="1014" w:type="dxa"/>
            <w:tcBorders>
              <w:tl2br w:val="nil"/>
              <w:tr2bl w:val="nil"/>
            </w:tcBorders>
            <w:shd w:val="clear" w:color="auto" w:fill="auto"/>
            <w:vAlign w:val="center"/>
          </w:tcPr>
          <w:p w14:paraId="315E218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343.04</w:t>
            </w:r>
          </w:p>
        </w:tc>
        <w:tc>
          <w:tcPr>
            <w:tcW w:w="848" w:type="dxa"/>
            <w:tcBorders>
              <w:tl2br w:val="nil"/>
              <w:tr2bl w:val="nil"/>
            </w:tcBorders>
            <w:shd w:val="clear" w:color="auto" w:fill="auto"/>
            <w:vAlign w:val="center"/>
          </w:tcPr>
          <w:p w14:paraId="74F3AF7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252.9</w:t>
            </w:r>
            <w:r>
              <w:rPr>
                <w:rFonts w:hint="default" w:ascii="Times New Roman" w:hAnsi="Times New Roman" w:cs="Times New Roman"/>
                <w:i w:val="0"/>
                <w:iCs w:val="0"/>
                <w:color w:val="auto"/>
                <w:kern w:val="0"/>
                <w:sz w:val="21"/>
                <w:szCs w:val="21"/>
                <w:u w:val="none"/>
                <w:lang w:val="en-US" w:eastAsia="zh-CN" w:bidi="ar"/>
              </w:rPr>
              <w:t>5</w:t>
            </w:r>
          </w:p>
        </w:tc>
        <w:tc>
          <w:tcPr>
            <w:tcW w:w="1903" w:type="dxa"/>
            <w:tcBorders>
              <w:tl2br w:val="nil"/>
              <w:tr2bl w:val="nil"/>
            </w:tcBorders>
            <w:shd w:val="clear" w:color="auto" w:fill="auto"/>
            <w:vAlign w:val="center"/>
          </w:tcPr>
          <w:p w14:paraId="7075D36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5.10</w:t>
            </w:r>
          </w:p>
        </w:tc>
        <w:tc>
          <w:tcPr>
            <w:tcW w:w="803" w:type="dxa"/>
            <w:tcBorders>
              <w:tl2br w:val="nil"/>
              <w:tr2bl w:val="nil"/>
            </w:tcBorders>
            <w:shd w:val="clear" w:color="auto" w:fill="auto"/>
            <w:vAlign w:val="center"/>
          </w:tcPr>
          <w:p w14:paraId="5B2B326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85.00</w:t>
            </w:r>
          </w:p>
        </w:tc>
        <w:tc>
          <w:tcPr>
            <w:tcW w:w="1014" w:type="dxa"/>
            <w:tcBorders>
              <w:tl2br w:val="nil"/>
              <w:tr2bl w:val="nil"/>
            </w:tcBorders>
            <w:shd w:val="clear" w:color="auto" w:fill="auto"/>
            <w:vAlign w:val="center"/>
          </w:tcPr>
          <w:p w14:paraId="286EBD6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0.00</w:t>
            </w:r>
          </w:p>
        </w:tc>
        <w:tc>
          <w:tcPr>
            <w:tcW w:w="803" w:type="dxa"/>
            <w:tcBorders>
              <w:tl2br w:val="nil"/>
              <w:tr2bl w:val="nil"/>
            </w:tcBorders>
            <w:shd w:val="clear" w:color="auto" w:fill="auto"/>
            <w:vAlign w:val="center"/>
          </w:tcPr>
          <w:p w14:paraId="62E338E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70.30</w:t>
            </w:r>
          </w:p>
        </w:tc>
        <w:tc>
          <w:tcPr>
            <w:tcW w:w="1092" w:type="dxa"/>
            <w:tcBorders>
              <w:tl2br w:val="nil"/>
              <w:tr2bl w:val="nil"/>
            </w:tcBorders>
            <w:shd w:val="clear" w:color="auto" w:fill="auto"/>
            <w:vAlign w:val="center"/>
          </w:tcPr>
          <w:p w14:paraId="08BE75A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272.74</w:t>
            </w:r>
          </w:p>
        </w:tc>
        <w:tc>
          <w:tcPr>
            <w:tcW w:w="0" w:type="auto"/>
            <w:tcBorders>
              <w:tl2br w:val="nil"/>
              <w:tr2bl w:val="nil"/>
            </w:tcBorders>
            <w:shd w:val="clear" w:color="auto" w:fill="auto"/>
            <w:vAlign w:val="center"/>
          </w:tcPr>
          <w:p w14:paraId="6765AE6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highlight w:val="none"/>
              </w:rPr>
              <w:t>163</w:t>
            </w:r>
          </w:p>
        </w:tc>
        <w:tc>
          <w:tcPr>
            <w:tcW w:w="0" w:type="auto"/>
            <w:tcBorders>
              <w:tl2br w:val="nil"/>
              <w:tr2bl w:val="nil"/>
            </w:tcBorders>
            <w:shd w:val="clear" w:color="auto" w:fill="auto"/>
            <w:vAlign w:val="center"/>
          </w:tcPr>
          <w:p w14:paraId="38D86E09">
            <w:pPr>
              <w:keepNext w:val="0"/>
              <w:keepLines w:val="0"/>
              <w:pageBreakBefore w:val="0"/>
              <w:widowControl/>
              <w:kinsoku/>
              <w:wordWrap/>
              <w:overflowPunct/>
              <w:topLinePunct w:val="0"/>
              <w:autoSpaceDE/>
              <w:autoSpaceDN/>
              <w:bidi w:val="0"/>
              <w:adjustRightInd w:val="0"/>
              <w:snapToGrid w:val="0"/>
              <w:jc w:val="both"/>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废水进入厂区污水处理站处理后排市政管网</w:t>
            </w:r>
          </w:p>
        </w:tc>
      </w:tr>
      <w:tr w14:paraId="038BB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gridSpan w:val="2"/>
            <w:tcBorders>
              <w:tl2br w:val="nil"/>
              <w:tr2bl w:val="nil"/>
            </w:tcBorders>
            <w:shd w:val="clear" w:color="auto" w:fill="auto"/>
            <w:noWrap/>
            <w:vAlign w:val="center"/>
          </w:tcPr>
          <w:p w14:paraId="025BE54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循环冷却水系统</w:t>
            </w:r>
          </w:p>
        </w:tc>
        <w:tc>
          <w:tcPr>
            <w:tcW w:w="1014" w:type="dxa"/>
            <w:tcBorders>
              <w:tl2br w:val="nil"/>
              <w:tr2bl w:val="nil"/>
            </w:tcBorders>
            <w:shd w:val="clear" w:color="auto" w:fill="auto"/>
            <w:vAlign w:val="center"/>
          </w:tcPr>
          <w:p w14:paraId="56342539">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22430.4</w:t>
            </w:r>
          </w:p>
        </w:tc>
        <w:tc>
          <w:tcPr>
            <w:tcW w:w="848" w:type="dxa"/>
            <w:tcBorders>
              <w:tl2br w:val="nil"/>
              <w:tr2bl w:val="nil"/>
            </w:tcBorders>
            <w:shd w:val="clear" w:color="auto" w:fill="auto"/>
            <w:noWrap/>
            <w:vAlign w:val="center"/>
          </w:tcPr>
          <w:p w14:paraId="0836493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110.4</w:t>
            </w:r>
          </w:p>
        </w:tc>
        <w:tc>
          <w:tcPr>
            <w:tcW w:w="1903" w:type="dxa"/>
            <w:tcBorders>
              <w:tl2br w:val="nil"/>
              <w:tr2bl w:val="nil"/>
            </w:tcBorders>
            <w:shd w:val="clear" w:color="auto" w:fill="auto"/>
            <w:noWrap/>
            <w:vAlign w:val="center"/>
          </w:tcPr>
          <w:p w14:paraId="21C6FCF5">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803" w:type="dxa"/>
            <w:tcBorders>
              <w:tl2br w:val="nil"/>
              <w:tr2bl w:val="nil"/>
            </w:tcBorders>
            <w:shd w:val="clear" w:color="auto" w:fill="auto"/>
            <w:noWrap/>
            <w:vAlign w:val="center"/>
          </w:tcPr>
          <w:p w14:paraId="227843B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1014" w:type="dxa"/>
            <w:tcBorders>
              <w:tl2br w:val="nil"/>
              <w:tr2bl w:val="nil"/>
            </w:tcBorders>
            <w:shd w:val="clear" w:color="auto" w:fill="auto"/>
            <w:noWrap/>
            <w:vAlign w:val="center"/>
          </w:tcPr>
          <w:p w14:paraId="673CBB9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22320</w:t>
            </w:r>
          </w:p>
        </w:tc>
        <w:tc>
          <w:tcPr>
            <w:tcW w:w="803" w:type="dxa"/>
            <w:tcBorders>
              <w:tl2br w:val="nil"/>
              <w:tr2bl w:val="nil"/>
            </w:tcBorders>
            <w:shd w:val="clear" w:color="auto" w:fill="auto"/>
            <w:noWrap/>
            <w:vAlign w:val="center"/>
          </w:tcPr>
          <w:p w14:paraId="1F4AE7C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110.4</w:t>
            </w:r>
          </w:p>
        </w:tc>
        <w:tc>
          <w:tcPr>
            <w:tcW w:w="0" w:type="auto"/>
            <w:tcBorders>
              <w:tl2br w:val="nil"/>
              <w:tr2bl w:val="nil"/>
            </w:tcBorders>
            <w:shd w:val="clear" w:color="auto" w:fill="auto"/>
            <w:noWrap/>
            <w:vAlign w:val="center"/>
          </w:tcPr>
          <w:p w14:paraId="502E5023">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0</w:t>
            </w:r>
          </w:p>
        </w:tc>
        <w:tc>
          <w:tcPr>
            <w:tcW w:w="0" w:type="auto"/>
            <w:tcBorders>
              <w:tl2br w:val="nil"/>
              <w:tr2bl w:val="nil"/>
            </w:tcBorders>
            <w:shd w:val="clear" w:color="auto" w:fill="auto"/>
            <w:noWrap/>
            <w:vAlign w:val="center"/>
          </w:tcPr>
          <w:p w14:paraId="6D4DF35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0</w:t>
            </w:r>
          </w:p>
        </w:tc>
        <w:tc>
          <w:tcPr>
            <w:tcW w:w="0" w:type="auto"/>
            <w:tcBorders>
              <w:tl2br w:val="nil"/>
              <w:tr2bl w:val="nil"/>
            </w:tcBorders>
            <w:shd w:val="clear" w:color="auto" w:fill="auto"/>
            <w:noWrap/>
            <w:vAlign w:val="center"/>
          </w:tcPr>
          <w:p w14:paraId="6832E40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r>
      <w:tr w14:paraId="439E6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gridSpan w:val="2"/>
            <w:tcBorders>
              <w:tl2br w:val="nil"/>
              <w:tr2bl w:val="nil"/>
            </w:tcBorders>
            <w:shd w:val="clear" w:color="auto" w:fill="auto"/>
            <w:vAlign w:val="center"/>
          </w:tcPr>
          <w:p w14:paraId="421C6BCA">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软水制备废水</w:t>
            </w:r>
          </w:p>
        </w:tc>
        <w:tc>
          <w:tcPr>
            <w:tcW w:w="0" w:type="auto"/>
            <w:tcBorders>
              <w:tl2br w:val="nil"/>
              <w:tr2bl w:val="nil"/>
            </w:tcBorders>
            <w:shd w:val="clear" w:color="auto" w:fill="auto"/>
            <w:vAlign w:val="center"/>
          </w:tcPr>
          <w:p w14:paraId="02FD129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21.6</w:t>
            </w:r>
          </w:p>
        </w:tc>
        <w:tc>
          <w:tcPr>
            <w:tcW w:w="0" w:type="auto"/>
            <w:tcBorders>
              <w:tl2br w:val="nil"/>
              <w:tr2bl w:val="nil"/>
            </w:tcBorders>
            <w:shd w:val="clear" w:color="auto" w:fill="auto"/>
            <w:noWrap/>
            <w:vAlign w:val="center"/>
          </w:tcPr>
          <w:p w14:paraId="040F8205">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21.6</w:t>
            </w:r>
          </w:p>
        </w:tc>
        <w:tc>
          <w:tcPr>
            <w:tcW w:w="0" w:type="auto"/>
            <w:tcBorders>
              <w:tl2br w:val="nil"/>
              <w:tr2bl w:val="nil"/>
            </w:tcBorders>
            <w:shd w:val="clear" w:color="auto" w:fill="auto"/>
            <w:noWrap/>
            <w:vAlign w:val="center"/>
          </w:tcPr>
          <w:p w14:paraId="6F04F9A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noWrap/>
            <w:vAlign w:val="center"/>
          </w:tcPr>
          <w:p w14:paraId="39B52C3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noWrap/>
            <w:vAlign w:val="center"/>
          </w:tcPr>
          <w:p w14:paraId="022DD379">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c>
          <w:tcPr>
            <w:tcW w:w="0" w:type="auto"/>
            <w:tcBorders>
              <w:tl2br w:val="nil"/>
              <w:tr2bl w:val="nil"/>
            </w:tcBorders>
            <w:shd w:val="clear" w:color="auto" w:fill="auto"/>
            <w:noWrap/>
            <w:vAlign w:val="center"/>
          </w:tcPr>
          <w:p w14:paraId="3726E12A">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9.6</w:t>
            </w:r>
          </w:p>
        </w:tc>
        <w:tc>
          <w:tcPr>
            <w:tcW w:w="0" w:type="auto"/>
            <w:tcBorders>
              <w:tl2br w:val="nil"/>
              <w:tr2bl w:val="nil"/>
            </w:tcBorders>
            <w:shd w:val="clear" w:color="auto" w:fill="auto"/>
            <w:noWrap/>
            <w:vAlign w:val="center"/>
          </w:tcPr>
          <w:p w14:paraId="2F2725F9">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12</w:t>
            </w:r>
          </w:p>
        </w:tc>
        <w:tc>
          <w:tcPr>
            <w:tcW w:w="0" w:type="auto"/>
            <w:tcBorders>
              <w:tl2br w:val="nil"/>
              <w:tr2bl w:val="nil"/>
            </w:tcBorders>
            <w:shd w:val="clear" w:color="auto" w:fill="auto"/>
            <w:noWrap/>
            <w:vAlign w:val="center"/>
          </w:tcPr>
          <w:p w14:paraId="21F18CF5">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12</w:t>
            </w:r>
          </w:p>
        </w:tc>
        <w:tc>
          <w:tcPr>
            <w:tcW w:w="0" w:type="auto"/>
            <w:tcBorders>
              <w:tl2br w:val="nil"/>
              <w:tr2bl w:val="nil"/>
            </w:tcBorders>
            <w:shd w:val="clear" w:color="auto" w:fill="auto"/>
            <w:vAlign w:val="center"/>
          </w:tcPr>
          <w:p w14:paraId="1A59C9C6">
            <w:pPr>
              <w:keepNext w:val="0"/>
              <w:keepLines w:val="0"/>
              <w:pageBreakBefore w:val="0"/>
              <w:widowControl/>
              <w:kinsoku/>
              <w:wordWrap/>
              <w:overflowPunct/>
              <w:topLinePunct w:val="0"/>
              <w:autoSpaceDE/>
              <w:autoSpaceDN/>
              <w:bidi w:val="0"/>
              <w:adjustRightInd w:val="0"/>
              <w:snapToGrid w:val="0"/>
              <w:jc w:val="both"/>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废水进入厂区污水处理站处理后排市政管网</w:t>
            </w:r>
          </w:p>
        </w:tc>
      </w:tr>
      <w:tr w14:paraId="2A372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gridSpan w:val="2"/>
            <w:tcBorders>
              <w:tl2br w:val="nil"/>
              <w:tr2bl w:val="nil"/>
            </w:tcBorders>
            <w:shd w:val="clear" w:color="auto" w:fill="auto"/>
            <w:vAlign w:val="center"/>
          </w:tcPr>
          <w:p w14:paraId="7EE39D2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生活污水</w:t>
            </w:r>
          </w:p>
        </w:tc>
        <w:tc>
          <w:tcPr>
            <w:tcW w:w="0" w:type="auto"/>
            <w:tcBorders>
              <w:tl2br w:val="nil"/>
              <w:tr2bl w:val="nil"/>
            </w:tcBorders>
            <w:shd w:val="clear" w:color="auto" w:fill="auto"/>
            <w:vAlign w:val="center"/>
          </w:tcPr>
          <w:p w14:paraId="31513E79">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0.9</w:t>
            </w:r>
          </w:p>
        </w:tc>
        <w:tc>
          <w:tcPr>
            <w:tcW w:w="0" w:type="auto"/>
            <w:tcBorders>
              <w:tl2br w:val="nil"/>
              <w:tr2bl w:val="nil"/>
            </w:tcBorders>
            <w:shd w:val="clear" w:color="auto" w:fill="auto"/>
            <w:noWrap/>
            <w:vAlign w:val="center"/>
          </w:tcPr>
          <w:p w14:paraId="6688996E">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0.9</w:t>
            </w:r>
          </w:p>
        </w:tc>
        <w:tc>
          <w:tcPr>
            <w:tcW w:w="0" w:type="auto"/>
            <w:tcBorders>
              <w:tl2br w:val="nil"/>
              <w:tr2bl w:val="nil"/>
            </w:tcBorders>
            <w:shd w:val="clear" w:color="auto" w:fill="auto"/>
            <w:noWrap/>
            <w:vAlign w:val="center"/>
          </w:tcPr>
          <w:p w14:paraId="71167F8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highlight w:val="none"/>
              </w:rPr>
            </w:pPr>
          </w:p>
        </w:tc>
        <w:tc>
          <w:tcPr>
            <w:tcW w:w="0" w:type="auto"/>
            <w:tcBorders>
              <w:tl2br w:val="nil"/>
              <w:tr2bl w:val="nil"/>
            </w:tcBorders>
            <w:shd w:val="clear" w:color="auto" w:fill="auto"/>
            <w:noWrap/>
            <w:vAlign w:val="center"/>
          </w:tcPr>
          <w:p w14:paraId="540E57BE">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highlight w:val="none"/>
              </w:rPr>
            </w:pPr>
          </w:p>
        </w:tc>
        <w:tc>
          <w:tcPr>
            <w:tcW w:w="0" w:type="auto"/>
            <w:tcBorders>
              <w:tl2br w:val="nil"/>
              <w:tr2bl w:val="nil"/>
            </w:tcBorders>
            <w:shd w:val="clear" w:color="auto" w:fill="auto"/>
            <w:noWrap/>
            <w:vAlign w:val="center"/>
          </w:tcPr>
          <w:p w14:paraId="64FA81E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highlight w:val="none"/>
              </w:rPr>
            </w:pPr>
          </w:p>
        </w:tc>
        <w:tc>
          <w:tcPr>
            <w:tcW w:w="0" w:type="auto"/>
            <w:tcBorders>
              <w:tl2br w:val="nil"/>
              <w:tr2bl w:val="nil"/>
            </w:tcBorders>
            <w:shd w:val="clear" w:color="auto" w:fill="auto"/>
            <w:noWrap/>
            <w:vAlign w:val="center"/>
          </w:tcPr>
          <w:p w14:paraId="6CD5F5D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0.13</w:t>
            </w:r>
          </w:p>
        </w:tc>
        <w:tc>
          <w:tcPr>
            <w:tcW w:w="0" w:type="auto"/>
            <w:tcBorders>
              <w:tl2br w:val="nil"/>
              <w:tr2bl w:val="nil"/>
            </w:tcBorders>
            <w:shd w:val="clear" w:color="auto" w:fill="auto"/>
            <w:noWrap/>
            <w:vAlign w:val="center"/>
          </w:tcPr>
          <w:p w14:paraId="781BF1F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eastAsiaTheme="minorEastAsia"/>
                <w:color w:val="auto"/>
                <w:kern w:val="0"/>
                <w:sz w:val="21"/>
                <w:szCs w:val="21"/>
                <w:highlight w:val="none"/>
              </w:rPr>
              <w:t>0.7</w:t>
            </w:r>
            <w:r>
              <w:rPr>
                <w:rFonts w:hint="default" w:ascii="Times New Roman" w:hAnsi="Times New Roman" w:cs="Times New Roman" w:eastAsiaTheme="minorEastAsia"/>
                <w:color w:val="auto"/>
                <w:kern w:val="0"/>
                <w:sz w:val="21"/>
                <w:szCs w:val="21"/>
                <w:highlight w:val="none"/>
                <w:lang w:val="en-US" w:eastAsia="zh-CN"/>
              </w:rPr>
              <w:t>7</w:t>
            </w:r>
          </w:p>
        </w:tc>
        <w:tc>
          <w:tcPr>
            <w:tcW w:w="0" w:type="auto"/>
            <w:tcBorders>
              <w:tl2br w:val="nil"/>
              <w:tr2bl w:val="nil"/>
            </w:tcBorders>
            <w:shd w:val="clear" w:color="auto" w:fill="auto"/>
            <w:noWrap/>
            <w:vAlign w:val="center"/>
          </w:tcPr>
          <w:p w14:paraId="0B62FD4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eastAsiaTheme="minorEastAsia"/>
                <w:color w:val="auto"/>
                <w:kern w:val="0"/>
                <w:sz w:val="21"/>
                <w:szCs w:val="21"/>
                <w:highlight w:val="none"/>
              </w:rPr>
              <w:t>0.7</w:t>
            </w:r>
            <w:r>
              <w:rPr>
                <w:rFonts w:hint="default" w:ascii="Times New Roman" w:hAnsi="Times New Roman" w:cs="Times New Roman" w:eastAsiaTheme="minorEastAsia"/>
                <w:color w:val="auto"/>
                <w:kern w:val="0"/>
                <w:sz w:val="21"/>
                <w:szCs w:val="21"/>
                <w:highlight w:val="none"/>
                <w:lang w:val="en-US" w:eastAsia="zh-CN"/>
              </w:rPr>
              <w:t>7</w:t>
            </w:r>
          </w:p>
        </w:tc>
        <w:tc>
          <w:tcPr>
            <w:tcW w:w="0" w:type="auto"/>
            <w:tcBorders>
              <w:tl2br w:val="nil"/>
              <w:tr2bl w:val="nil"/>
            </w:tcBorders>
            <w:shd w:val="clear" w:color="auto" w:fill="auto"/>
            <w:noWrap/>
            <w:vAlign w:val="center"/>
          </w:tcPr>
          <w:p w14:paraId="619B3D89">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市政管网</w:t>
            </w:r>
          </w:p>
        </w:tc>
      </w:tr>
      <w:tr w14:paraId="01F21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gridSpan w:val="2"/>
            <w:tcBorders>
              <w:tl2br w:val="nil"/>
              <w:tr2bl w:val="nil"/>
            </w:tcBorders>
            <w:shd w:val="clear" w:color="auto" w:fill="auto"/>
            <w:noWrap/>
            <w:vAlign w:val="center"/>
          </w:tcPr>
          <w:p w14:paraId="54E7682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合计</w:t>
            </w:r>
          </w:p>
        </w:tc>
        <w:tc>
          <w:tcPr>
            <w:tcW w:w="1014" w:type="dxa"/>
            <w:tcBorders>
              <w:tl2br w:val="nil"/>
              <w:tr2bl w:val="nil"/>
            </w:tcBorders>
            <w:shd w:val="clear" w:color="auto" w:fill="auto"/>
            <w:noWrap/>
            <w:vAlign w:val="center"/>
          </w:tcPr>
          <w:p w14:paraId="5C129D8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22795.94</w:t>
            </w:r>
          </w:p>
        </w:tc>
        <w:tc>
          <w:tcPr>
            <w:tcW w:w="848" w:type="dxa"/>
            <w:tcBorders>
              <w:tl2br w:val="nil"/>
              <w:tr2bl w:val="nil"/>
            </w:tcBorders>
            <w:shd w:val="clear" w:color="auto" w:fill="auto"/>
            <w:noWrap/>
            <w:vAlign w:val="center"/>
          </w:tcPr>
          <w:p w14:paraId="00F30B9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385.85</w:t>
            </w:r>
          </w:p>
        </w:tc>
        <w:tc>
          <w:tcPr>
            <w:tcW w:w="1903" w:type="dxa"/>
            <w:tcBorders>
              <w:tl2br w:val="nil"/>
              <w:tr2bl w:val="nil"/>
            </w:tcBorders>
            <w:shd w:val="clear" w:color="auto" w:fill="auto"/>
            <w:noWrap/>
            <w:vAlign w:val="center"/>
          </w:tcPr>
          <w:p w14:paraId="34B45B2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5.10</w:t>
            </w:r>
          </w:p>
        </w:tc>
        <w:tc>
          <w:tcPr>
            <w:tcW w:w="803" w:type="dxa"/>
            <w:tcBorders>
              <w:tl2br w:val="nil"/>
              <w:tr2bl w:val="nil"/>
            </w:tcBorders>
            <w:shd w:val="clear" w:color="auto" w:fill="auto"/>
            <w:noWrap/>
            <w:vAlign w:val="center"/>
          </w:tcPr>
          <w:p w14:paraId="6097FFA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85.00</w:t>
            </w:r>
          </w:p>
        </w:tc>
        <w:tc>
          <w:tcPr>
            <w:tcW w:w="1014" w:type="dxa"/>
            <w:tcBorders>
              <w:tl2br w:val="nil"/>
              <w:tr2bl w:val="nil"/>
            </w:tcBorders>
            <w:shd w:val="clear" w:color="auto" w:fill="auto"/>
            <w:noWrap/>
            <w:vAlign w:val="center"/>
          </w:tcPr>
          <w:p w14:paraId="6EE6684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22320</w:t>
            </w:r>
          </w:p>
        </w:tc>
        <w:tc>
          <w:tcPr>
            <w:tcW w:w="803" w:type="dxa"/>
            <w:tcBorders>
              <w:tl2br w:val="nil"/>
              <w:tr2bl w:val="nil"/>
            </w:tcBorders>
            <w:shd w:val="clear" w:color="auto" w:fill="auto"/>
            <w:noWrap/>
            <w:vAlign w:val="center"/>
          </w:tcPr>
          <w:p w14:paraId="1953EFA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190.43</w:t>
            </w:r>
          </w:p>
        </w:tc>
        <w:tc>
          <w:tcPr>
            <w:tcW w:w="1092" w:type="dxa"/>
            <w:tcBorders>
              <w:tl2br w:val="nil"/>
              <w:tr2bl w:val="nil"/>
            </w:tcBorders>
            <w:shd w:val="clear" w:color="auto" w:fill="auto"/>
            <w:noWrap/>
            <w:vAlign w:val="center"/>
          </w:tcPr>
          <w:p w14:paraId="0634B07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285.50</w:t>
            </w:r>
          </w:p>
        </w:tc>
        <w:tc>
          <w:tcPr>
            <w:tcW w:w="1092" w:type="dxa"/>
            <w:tcBorders>
              <w:tl2br w:val="nil"/>
              <w:tr2bl w:val="nil"/>
            </w:tcBorders>
            <w:shd w:val="clear" w:color="auto" w:fill="auto"/>
            <w:noWrap/>
            <w:vAlign w:val="center"/>
          </w:tcPr>
          <w:p w14:paraId="1FEBDB4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175.77</w:t>
            </w:r>
          </w:p>
        </w:tc>
        <w:tc>
          <w:tcPr>
            <w:tcW w:w="0" w:type="auto"/>
            <w:tcBorders>
              <w:tl2br w:val="nil"/>
              <w:tr2bl w:val="nil"/>
            </w:tcBorders>
            <w:shd w:val="clear" w:color="auto" w:fill="auto"/>
            <w:noWrap/>
            <w:vAlign w:val="center"/>
          </w:tcPr>
          <w:p w14:paraId="1AA018F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kern w:val="0"/>
                <w:sz w:val="21"/>
                <w:szCs w:val="21"/>
              </w:rPr>
            </w:pPr>
          </w:p>
        </w:tc>
      </w:tr>
    </w:tbl>
    <w:p w14:paraId="1B5DB9D0">
      <w:pPr>
        <w:bidi w:val="0"/>
        <w:rPr>
          <w:rFonts w:hint="default"/>
          <w:color w:val="auto"/>
        </w:rPr>
        <w:sectPr>
          <w:pgSz w:w="16838" w:h="11905" w:orient="landscape"/>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p w14:paraId="44D49B6B">
      <w:pPr>
        <w:bidi w:val="0"/>
        <w:jc w:val="center"/>
        <w:rPr>
          <w:rFonts w:hint="default"/>
          <w:color w:val="auto"/>
        </w:rPr>
      </w:pPr>
      <w:r>
        <w:rPr>
          <w:rFonts w:hint="default"/>
          <w:color w:val="auto"/>
        </w:rPr>
        <w:drawing>
          <wp:inline distT="0" distB="0" distL="114300" distR="114300">
            <wp:extent cx="6144260" cy="6123940"/>
            <wp:effectExtent l="0" t="0" r="0" b="0"/>
            <wp:docPr id="65" name="ECB019B1-382A-4266-B25C-5B523AA43C14-1"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ECB019B1-382A-4266-B25C-5B523AA43C14-1" descr="wps"/>
                    <pic:cNvPicPr>
                      <a:picLocks noChangeAspect="1"/>
                    </pic:cNvPicPr>
                  </pic:nvPicPr>
                  <pic:blipFill>
                    <a:blip r:embed="rId16"/>
                    <a:stretch>
                      <a:fillRect/>
                    </a:stretch>
                  </pic:blipFill>
                  <pic:spPr>
                    <a:xfrm>
                      <a:off x="0" y="0"/>
                      <a:ext cx="6144260" cy="6123940"/>
                    </a:xfrm>
                    <a:prstGeom prst="rect">
                      <a:avLst/>
                    </a:prstGeom>
                  </pic:spPr>
                </pic:pic>
              </a:graphicData>
            </a:graphic>
          </wp:inline>
        </w:drawing>
      </w:r>
    </w:p>
    <w:p w14:paraId="014A068B">
      <w:pPr>
        <w:bidi w:val="0"/>
        <w:jc w:val="center"/>
        <w:rPr>
          <w:rFonts w:hint="default"/>
          <w:color w:val="auto"/>
        </w:rPr>
      </w:pPr>
    </w:p>
    <w:p w14:paraId="683CF0AD">
      <w:pPr>
        <w:bidi w:val="0"/>
        <w:jc w:val="center"/>
        <w:rPr>
          <w:rFonts w:hint="default"/>
          <w:color w:val="auto"/>
        </w:rPr>
      </w:pPr>
    </w:p>
    <w:p w14:paraId="0BB2B875">
      <w:pPr>
        <w:keepNext/>
        <w:adjustRightInd w:val="0"/>
        <w:snapToGrid w:val="0"/>
        <w:spacing w:after="302" w:afterLines="80"/>
        <w:jc w:val="center"/>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t>图2.2-1  本项目水平衡图（单位t/d）</w:t>
      </w:r>
    </w:p>
    <w:p w14:paraId="2D1F6C5F">
      <w:pPr>
        <w:pStyle w:val="30"/>
        <w:widowControl w:val="0"/>
        <w:adjustRightInd w:val="0"/>
        <w:spacing w:before="0" w:beforeAutospacing="0" w:after="0" w:afterAutospacing="0"/>
        <w:jc w:val="center"/>
        <w:rPr>
          <w:rFonts w:hint="default" w:ascii="Times New Roman" w:hAnsi="Times New Roman" w:cs="Times New Roman"/>
          <w:color w:val="auto"/>
        </w:rPr>
      </w:pPr>
    </w:p>
    <w:p w14:paraId="5ED649E6">
      <w:pPr>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002530" cy="4668520"/>
            <wp:effectExtent l="0" t="0" r="0" b="0"/>
            <wp:docPr id="116" name="ECB019B1-382A-4266-B25C-5B523AA43C14-2" descr="C:/Users/Administrator/AppData/Local/Temp/wps.YjuuGP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ECB019B1-382A-4266-B25C-5B523AA43C14-2" descr="C:/Users/Administrator/AppData/Local/Temp/wps.YjuuGPwps"/>
                    <pic:cNvPicPr>
                      <a:picLocks noChangeAspect="1"/>
                    </pic:cNvPicPr>
                  </pic:nvPicPr>
                  <pic:blipFill>
                    <a:blip r:embed="rId17"/>
                    <a:stretch>
                      <a:fillRect/>
                    </a:stretch>
                  </pic:blipFill>
                  <pic:spPr>
                    <a:xfrm>
                      <a:off x="0" y="0"/>
                      <a:ext cx="5002530" cy="4668520"/>
                    </a:xfrm>
                    <a:prstGeom prst="rect">
                      <a:avLst/>
                    </a:prstGeom>
                  </pic:spPr>
                </pic:pic>
              </a:graphicData>
            </a:graphic>
          </wp:inline>
        </w:drawing>
      </w:r>
    </w:p>
    <w:p w14:paraId="27934F33">
      <w:pPr>
        <w:bidi w:val="0"/>
        <w:jc w:val="center"/>
        <w:rPr>
          <w:rFonts w:hint="default"/>
          <w:color w:val="auto"/>
        </w:rPr>
      </w:pPr>
    </w:p>
    <w:p w14:paraId="773BC3F2">
      <w:pPr>
        <w:bidi w:val="0"/>
        <w:jc w:val="center"/>
        <w:rPr>
          <w:rFonts w:hint="default"/>
          <w:color w:val="auto"/>
        </w:rPr>
      </w:pPr>
    </w:p>
    <w:p w14:paraId="1635A62F">
      <w:pPr>
        <w:jc w:val="center"/>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t>图2.2-2</w:t>
      </w:r>
      <w:r>
        <w:rPr>
          <w:rFonts w:hint="eastAsia" w:ascii="Times New Roman" w:hAnsi="Times New Roman" w:eastAsia="黑体" w:cs="Times New Roman"/>
          <w:color w:val="auto"/>
          <w:sz w:val="24"/>
          <w:szCs w:val="24"/>
          <w:lang w:val="en-US" w:eastAsia="zh-CN"/>
        </w:rPr>
        <w:t xml:space="preserve">  </w:t>
      </w:r>
      <w:r>
        <w:rPr>
          <w:rFonts w:hint="default" w:ascii="Times New Roman" w:hAnsi="Times New Roman" w:eastAsia="黑体" w:cs="Times New Roman"/>
          <w:color w:val="auto"/>
          <w:sz w:val="24"/>
          <w:szCs w:val="24"/>
        </w:rPr>
        <w:t>项目建成后全厂水平衡图（单位t/d）</w:t>
      </w:r>
    </w:p>
    <w:p w14:paraId="3F220FD8">
      <w:pPr>
        <w:pStyle w:val="30"/>
        <w:widowControl w:val="0"/>
        <w:adjustRightInd w:val="0"/>
        <w:spacing w:before="0" w:beforeAutospacing="0" w:after="0" w:afterAutospacing="0"/>
        <w:jc w:val="center"/>
        <w:rPr>
          <w:rFonts w:hint="default" w:ascii="Times New Roman" w:hAnsi="Times New Roman" w:eastAsia="黑体" w:cs="Times New Roman"/>
          <w:color w:val="auto"/>
          <w:sz w:val="24"/>
          <w:szCs w:val="24"/>
        </w:rPr>
        <w:sectPr>
          <w:pgSz w:w="11905" w:h="16838"/>
          <w:pgMar w:top="1440" w:right="1080" w:bottom="1440" w:left="1080" w:header="964" w:footer="964" w:gutter="0"/>
          <w:pgBorders>
            <w:top w:val="none" w:sz="0" w:space="0"/>
            <w:left w:val="none" w:sz="0" w:space="0"/>
            <w:bottom w:val="none" w:sz="0" w:space="0"/>
            <w:right w:val="none" w:sz="0" w:space="0"/>
          </w:pgBorders>
          <w:cols w:space="720" w:num="1"/>
          <w:docGrid w:type="lines" w:linePitch="378" w:charSpace="0"/>
        </w:sectPr>
      </w:pPr>
    </w:p>
    <w:tbl>
      <w:tblPr>
        <w:tblStyle w:val="3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06"/>
        <w:gridCol w:w="8881"/>
      </w:tblGrid>
      <w:tr w14:paraId="7DC5E7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31" w:hRule="atLeast"/>
          <w:jc w:val="center"/>
        </w:trPr>
        <w:tc>
          <w:tcPr>
            <w:tcW w:w="197" w:type="pct"/>
            <w:vAlign w:val="center"/>
          </w:tcPr>
          <w:p w14:paraId="6D3D058F">
            <w:pPr>
              <w:pStyle w:val="30"/>
              <w:widowControl w:val="0"/>
              <w:adjustRightInd w:val="0"/>
              <w:spacing w:before="0" w:beforeAutospacing="0" w:after="0" w:afterAutospacing="0"/>
              <w:jc w:val="center"/>
              <w:rPr>
                <w:rFonts w:hint="default" w:ascii="Times New Roman" w:hAnsi="Times New Roman" w:cs="Times New Roman"/>
                <w:color w:val="auto"/>
                <w:sz w:val="21"/>
                <w:szCs w:val="21"/>
              </w:rPr>
            </w:pPr>
          </w:p>
        </w:tc>
        <w:tc>
          <w:tcPr>
            <w:tcW w:w="4802" w:type="pct"/>
          </w:tcPr>
          <w:p w14:paraId="537E9D91">
            <w:pPr>
              <w:pStyle w:val="6"/>
              <w:keepNext/>
              <w:keepLines/>
              <w:pageBreakBefore w:val="0"/>
              <w:widowControl w:val="0"/>
              <w:kinsoku/>
              <w:wordWrap/>
              <w:overflowPunct/>
              <w:topLinePunct w:val="0"/>
              <w:autoSpaceDE/>
              <w:autoSpaceDN/>
              <w:bidi w:val="0"/>
              <w:adjustRightInd w:val="0"/>
              <w:snapToGrid w:val="0"/>
              <w:spacing w:before="115" w:beforeLines="30"/>
              <w:textAlignment w:val="auto"/>
              <w:rPr>
                <w:rFonts w:hint="default" w:ascii="Times New Roman" w:hAnsi="Times New Roman" w:cs="Times New Roman"/>
                <w:color w:val="auto"/>
              </w:rPr>
            </w:pPr>
            <w:r>
              <w:rPr>
                <w:rFonts w:hint="default" w:ascii="Times New Roman" w:hAnsi="Times New Roman" w:cs="Times New Roman"/>
                <w:color w:val="auto"/>
              </w:rPr>
              <w:t>2.2.8.2物料平衡</w:t>
            </w:r>
          </w:p>
          <w:p w14:paraId="51D2C0B3">
            <w:pPr>
              <w:keepNext w:val="0"/>
              <w:keepLines w:val="0"/>
              <w:pageBreakBefore w:val="0"/>
              <w:widowControl w:val="0"/>
              <w:numPr>
                <w:ilvl w:val="255"/>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（1）HCl元素平衡</w:t>
            </w:r>
          </w:p>
          <w:p w14:paraId="101DCD67">
            <w:pPr>
              <w:keepNext w:val="0"/>
              <w:keepLines w:val="0"/>
              <w:pageBreakBefore w:val="0"/>
              <w:widowControl w:val="0"/>
              <w:numPr>
                <w:ilvl w:val="255"/>
                <w:numId w:val="0"/>
              </w:numPr>
              <w:kinsoku/>
              <w:wordWrap/>
              <w:overflowPunct/>
              <w:topLinePunct w:val="0"/>
              <w:autoSpaceDE/>
              <w:autoSpaceDN/>
              <w:bidi w:val="0"/>
              <w:adjustRightInd/>
              <w:snapToGrid/>
              <w:jc w:val="center"/>
              <w:textAlignment w:val="auto"/>
              <w:rPr>
                <w:rFonts w:hint="default" w:ascii="Times New Roman" w:hAnsi="Times New Roman" w:eastAsia="黑体" w:cs="Times New Roman"/>
                <w:color w:val="auto"/>
                <w:sz w:val="24"/>
                <w:szCs w:val="24"/>
                <w:lang w:val="en-US" w:eastAsia="zh-CN"/>
              </w:rPr>
            </w:pPr>
            <w:r>
              <w:rPr>
                <w:rFonts w:hint="default" w:ascii="Times New Roman" w:hAnsi="Times New Roman" w:eastAsia="黑体" w:cs="Times New Roman"/>
                <w:color w:val="auto"/>
                <w:sz w:val="24"/>
                <w:szCs w:val="24"/>
                <w:lang w:val="en-US" w:eastAsia="zh-CN"/>
              </w:rPr>
              <w:t>表2.2-12  HCl元素平衡表</w:t>
            </w:r>
          </w:p>
          <w:tbl>
            <w:tblPr>
              <w:tblStyle w:val="34"/>
              <w:tblW w:w="866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11"/>
              <w:gridCol w:w="1105"/>
              <w:gridCol w:w="1272"/>
              <w:gridCol w:w="1226"/>
              <w:gridCol w:w="611"/>
              <w:gridCol w:w="1742"/>
              <w:gridCol w:w="1018"/>
              <w:gridCol w:w="1075"/>
            </w:tblGrid>
            <w:tr w14:paraId="256432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0" w:type="auto"/>
                  <w:gridSpan w:val="4"/>
                  <w:tcBorders>
                    <w:top w:val="single" w:color="auto" w:sz="4" w:space="0"/>
                    <w:left w:val="single" w:color="auto" w:sz="4" w:space="0"/>
                    <w:bottom w:val="single" w:color="auto" w:sz="4" w:space="0"/>
                    <w:right w:val="single" w:color="auto" w:sz="4" w:space="0"/>
                  </w:tcBorders>
                  <w:shd w:val="clear" w:color="auto" w:fill="auto"/>
                  <w:vAlign w:val="center"/>
                </w:tcPr>
                <w:p w14:paraId="6338979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输入</w:t>
                  </w:r>
                </w:p>
              </w:tc>
              <w:tc>
                <w:tcPr>
                  <w:tcW w:w="0" w:type="auto"/>
                  <w:gridSpan w:val="4"/>
                  <w:tcBorders>
                    <w:top w:val="single" w:color="auto" w:sz="4" w:space="0"/>
                    <w:left w:val="nil"/>
                    <w:bottom w:val="single" w:color="auto" w:sz="4" w:space="0"/>
                    <w:right w:val="single" w:color="auto" w:sz="4" w:space="0"/>
                  </w:tcBorders>
                  <w:shd w:val="clear" w:color="auto" w:fill="auto"/>
                  <w:vAlign w:val="center"/>
                </w:tcPr>
                <w:p w14:paraId="73615D4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输出</w:t>
                  </w:r>
                </w:p>
              </w:tc>
            </w:tr>
            <w:tr w14:paraId="1CFD69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0" w:type="auto"/>
                  <w:tcBorders>
                    <w:top w:val="nil"/>
                    <w:left w:val="single" w:color="auto" w:sz="4" w:space="0"/>
                    <w:bottom w:val="single" w:color="auto" w:sz="4" w:space="0"/>
                    <w:right w:val="single" w:color="auto" w:sz="4" w:space="0"/>
                  </w:tcBorders>
                  <w:shd w:val="clear" w:color="auto" w:fill="auto"/>
                  <w:vAlign w:val="center"/>
                </w:tcPr>
                <w:p w14:paraId="6353CA6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序号</w:t>
                  </w:r>
                </w:p>
              </w:tc>
              <w:tc>
                <w:tcPr>
                  <w:tcW w:w="1105" w:type="dxa"/>
                  <w:tcBorders>
                    <w:top w:val="nil"/>
                    <w:left w:val="nil"/>
                    <w:bottom w:val="single" w:color="auto" w:sz="4" w:space="0"/>
                    <w:right w:val="single" w:color="auto" w:sz="4" w:space="0"/>
                  </w:tcBorders>
                  <w:shd w:val="clear" w:color="auto" w:fill="auto"/>
                  <w:vAlign w:val="center"/>
                </w:tcPr>
                <w:p w14:paraId="0BA220B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项目</w:t>
                  </w:r>
                </w:p>
              </w:tc>
              <w:tc>
                <w:tcPr>
                  <w:tcW w:w="1272" w:type="dxa"/>
                  <w:tcBorders>
                    <w:top w:val="nil"/>
                    <w:left w:val="nil"/>
                    <w:bottom w:val="single" w:color="auto" w:sz="4" w:space="0"/>
                    <w:right w:val="single" w:color="auto" w:sz="4" w:space="0"/>
                  </w:tcBorders>
                  <w:shd w:val="clear" w:color="auto" w:fill="auto"/>
                  <w:vAlign w:val="center"/>
                </w:tcPr>
                <w:p w14:paraId="0ECA5BA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原料用量</w:t>
                  </w:r>
                </w:p>
              </w:tc>
              <w:tc>
                <w:tcPr>
                  <w:tcW w:w="0" w:type="auto"/>
                  <w:tcBorders>
                    <w:top w:val="nil"/>
                    <w:left w:val="nil"/>
                    <w:bottom w:val="single" w:color="auto" w:sz="4" w:space="0"/>
                    <w:right w:val="single" w:color="auto" w:sz="4" w:space="0"/>
                  </w:tcBorders>
                  <w:shd w:val="clear" w:color="auto" w:fill="auto"/>
                  <w:vAlign w:val="center"/>
                </w:tcPr>
                <w:p w14:paraId="0CB5282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HCl含量t/d</w:t>
                  </w:r>
                </w:p>
              </w:tc>
              <w:tc>
                <w:tcPr>
                  <w:tcW w:w="0" w:type="auto"/>
                  <w:tcBorders>
                    <w:top w:val="nil"/>
                    <w:left w:val="nil"/>
                    <w:bottom w:val="single" w:color="auto" w:sz="4" w:space="0"/>
                    <w:right w:val="single" w:color="auto" w:sz="4" w:space="0"/>
                  </w:tcBorders>
                  <w:shd w:val="clear" w:color="auto" w:fill="auto"/>
                  <w:vAlign w:val="center"/>
                </w:tcPr>
                <w:p w14:paraId="16492EE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序号</w:t>
                  </w:r>
                </w:p>
              </w:tc>
              <w:tc>
                <w:tcPr>
                  <w:tcW w:w="0" w:type="auto"/>
                  <w:tcBorders>
                    <w:top w:val="nil"/>
                    <w:left w:val="nil"/>
                    <w:bottom w:val="single" w:color="auto" w:sz="4" w:space="0"/>
                    <w:right w:val="single" w:color="auto" w:sz="4" w:space="0"/>
                  </w:tcBorders>
                  <w:shd w:val="clear" w:color="auto" w:fill="auto"/>
                  <w:vAlign w:val="center"/>
                </w:tcPr>
                <w:p w14:paraId="0589C30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项目</w:t>
                  </w:r>
                </w:p>
              </w:tc>
              <w:tc>
                <w:tcPr>
                  <w:tcW w:w="1018" w:type="dxa"/>
                  <w:tcBorders>
                    <w:top w:val="nil"/>
                    <w:left w:val="nil"/>
                    <w:bottom w:val="single" w:color="auto" w:sz="4" w:space="0"/>
                    <w:right w:val="single" w:color="auto" w:sz="4" w:space="0"/>
                  </w:tcBorders>
                  <w:shd w:val="clear" w:color="auto" w:fill="auto"/>
                  <w:vAlign w:val="center"/>
                </w:tcPr>
                <w:p w14:paraId="57EF2F2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排放量</w:t>
                  </w:r>
                </w:p>
              </w:tc>
              <w:tc>
                <w:tcPr>
                  <w:tcW w:w="1075" w:type="dxa"/>
                  <w:tcBorders>
                    <w:top w:val="nil"/>
                    <w:left w:val="nil"/>
                    <w:bottom w:val="single" w:color="auto" w:sz="4" w:space="0"/>
                    <w:right w:val="single" w:color="auto" w:sz="4" w:space="0"/>
                  </w:tcBorders>
                  <w:shd w:val="clear" w:color="auto" w:fill="auto"/>
                  <w:vAlign w:val="center"/>
                </w:tcPr>
                <w:p w14:paraId="7BCCFC7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HCl含量t/d</w:t>
                  </w:r>
                </w:p>
              </w:tc>
            </w:tr>
            <w:tr w14:paraId="65DFE5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0" w:type="auto"/>
                  <w:tcBorders>
                    <w:top w:val="nil"/>
                    <w:left w:val="single" w:color="auto" w:sz="4" w:space="0"/>
                    <w:bottom w:val="single" w:color="auto" w:sz="4" w:space="0"/>
                    <w:right w:val="single" w:color="auto" w:sz="4" w:space="0"/>
                  </w:tcBorders>
                  <w:shd w:val="clear" w:color="auto" w:fill="auto"/>
                  <w:vAlign w:val="center"/>
                </w:tcPr>
                <w:p w14:paraId="417ED9C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1</w:t>
                  </w:r>
                </w:p>
              </w:tc>
              <w:tc>
                <w:tcPr>
                  <w:tcW w:w="1105" w:type="dxa"/>
                  <w:tcBorders>
                    <w:top w:val="nil"/>
                    <w:left w:val="nil"/>
                    <w:bottom w:val="single" w:color="auto" w:sz="4" w:space="0"/>
                    <w:right w:val="single" w:color="auto" w:sz="4" w:space="0"/>
                  </w:tcBorders>
                  <w:shd w:val="clear" w:color="auto" w:fill="auto"/>
                  <w:vAlign w:val="center"/>
                </w:tcPr>
                <w:p w14:paraId="1521D7B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原料32%盐酸</w:t>
                  </w:r>
                </w:p>
              </w:tc>
              <w:tc>
                <w:tcPr>
                  <w:tcW w:w="1272" w:type="dxa"/>
                  <w:tcBorders>
                    <w:top w:val="nil"/>
                    <w:left w:val="nil"/>
                    <w:bottom w:val="single" w:color="auto" w:sz="4" w:space="0"/>
                    <w:right w:val="single" w:color="auto" w:sz="4" w:space="0"/>
                  </w:tcBorders>
                  <w:shd w:val="clear" w:color="auto" w:fill="auto"/>
                  <w:vAlign w:val="center"/>
                </w:tcPr>
                <w:p w14:paraId="4E7EB56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lang w:val="en-US"/>
                    </w:rPr>
                  </w:pPr>
                  <w:r>
                    <w:rPr>
                      <w:rFonts w:hint="default" w:ascii="Times New Roman" w:hAnsi="Times New Roman" w:eastAsia="宋体" w:cs="Times New Roman"/>
                      <w:b w:val="0"/>
                      <w:bCs w:val="0"/>
                      <w:i w:val="0"/>
                      <w:iCs w:val="0"/>
                      <w:color w:val="auto"/>
                      <w:kern w:val="0"/>
                      <w:sz w:val="21"/>
                      <w:szCs w:val="21"/>
                      <w:u w:val="none"/>
                      <w:lang w:val="en-US" w:eastAsia="zh-CN" w:bidi="ar"/>
                    </w:rPr>
                    <w:t>7.5</w:t>
                  </w:r>
                </w:p>
              </w:tc>
              <w:tc>
                <w:tcPr>
                  <w:tcW w:w="0" w:type="auto"/>
                  <w:tcBorders>
                    <w:top w:val="nil"/>
                    <w:left w:val="nil"/>
                    <w:bottom w:val="single" w:color="auto" w:sz="4" w:space="0"/>
                    <w:right w:val="single" w:color="auto" w:sz="4" w:space="0"/>
                  </w:tcBorders>
                  <w:shd w:val="clear" w:color="auto" w:fill="auto"/>
                  <w:vAlign w:val="center"/>
                </w:tcPr>
                <w:p w14:paraId="414629C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2.</w:t>
                  </w:r>
                  <w:r>
                    <w:rPr>
                      <w:rFonts w:hint="default" w:ascii="Times New Roman" w:hAnsi="Times New Roman" w:cs="Times New Roman"/>
                      <w:b w:val="0"/>
                      <w:bCs w:val="0"/>
                      <w:i w:val="0"/>
                      <w:iCs w:val="0"/>
                      <w:color w:val="auto"/>
                      <w:kern w:val="0"/>
                      <w:sz w:val="21"/>
                      <w:szCs w:val="21"/>
                      <w:u w:val="none"/>
                      <w:lang w:val="en-US" w:eastAsia="zh-CN" w:bidi="ar"/>
                    </w:rPr>
                    <w:t>4</w:t>
                  </w:r>
                </w:p>
              </w:tc>
              <w:tc>
                <w:tcPr>
                  <w:tcW w:w="0" w:type="auto"/>
                  <w:tcBorders>
                    <w:top w:val="nil"/>
                    <w:left w:val="nil"/>
                    <w:bottom w:val="single" w:color="auto" w:sz="4" w:space="0"/>
                    <w:right w:val="single" w:color="auto" w:sz="4" w:space="0"/>
                  </w:tcBorders>
                  <w:shd w:val="clear" w:color="auto" w:fill="auto"/>
                  <w:vAlign w:val="center"/>
                </w:tcPr>
                <w:p w14:paraId="383E480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1</w:t>
                  </w:r>
                </w:p>
              </w:tc>
              <w:tc>
                <w:tcPr>
                  <w:tcW w:w="0" w:type="auto"/>
                  <w:tcBorders>
                    <w:top w:val="nil"/>
                    <w:left w:val="nil"/>
                    <w:bottom w:val="single" w:color="auto" w:sz="4" w:space="0"/>
                    <w:right w:val="single" w:color="auto" w:sz="4" w:space="0"/>
                  </w:tcBorders>
                  <w:shd w:val="clear" w:color="auto" w:fill="auto"/>
                  <w:vAlign w:val="center"/>
                </w:tcPr>
                <w:p w14:paraId="077A3D9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废盐酸（8%计）</w:t>
                  </w:r>
                </w:p>
              </w:tc>
              <w:tc>
                <w:tcPr>
                  <w:tcW w:w="1018" w:type="dxa"/>
                  <w:tcBorders>
                    <w:top w:val="nil"/>
                    <w:left w:val="nil"/>
                    <w:bottom w:val="single" w:color="auto" w:sz="4" w:space="0"/>
                    <w:right w:val="single" w:color="auto" w:sz="4" w:space="0"/>
                  </w:tcBorders>
                  <w:shd w:val="clear" w:color="auto" w:fill="auto"/>
                  <w:vAlign w:val="center"/>
                </w:tcPr>
                <w:p w14:paraId="0D8C064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11.25</w:t>
                  </w:r>
                </w:p>
              </w:tc>
              <w:tc>
                <w:tcPr>
                  <w:tcW w:w="1075" w:type="dxa"/>
                  <w:tcBorders>
                    <w:top w:val="nil"/>
                    <w:left w:val="nil"/>
                    <w:bottom w:val="single" w:color="auto" w:sz="4" w:space="0"/>
                    <w:right w:val="single" w:color="auto" w:sz="4" w:space="0"/>
                  </w:tcBorders>
                  <w:shd w:val="clear" w:color="auto" w:fill="auto"/>
                  <w:vAlign w:val="center"/>
                </w:tcPr>
                <w:p w14:paraId="15EA6B6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0.9</w:t>
                  </w:r>
                </w:p>
              </w:tc>
            </w:tr>
            <w:tr w14:paraId="42A98D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0" w:type="auto"/>
                  <w:tcBorders>
                    <w:top w:val="nil"/>
                    <w:left w:val="single" w:color="auto" w:sz="4" w:space="0"/>
                    <w:bottom w:val="single" w:color="auto" w:sz="4" w:space="0"/>
                    <w:right w:val="single" w:color="auto" w:sz="4" w:space="0"/>
                  </w:tcBorders>
                  <w:shd w:val="clear" w:color="auto" w:fill="auto"/>
                  <w:vAlign w:val="center"/>
                </w:tcPr>
                <w:p w14:paraId="09A5424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p>
              </w:tc>
              <w:tc>
                <w:tcPr>
                  <w:tcW w:w="1105" w:type="dxa"/>
                  <w:tcBorders>
                    <w:top w:val="nil"/>
                    <w:left w:val="nil"/>
                    <w:bottom w:val="single" w:color="auto" w:sz="4" w:space="0"/>
                    <w:right w:val="single" w:color="auto" w:sz="4" w:space="0"/>
                  </w:tcBorders>
                  <w:shd w:val="clear" w:color="auto" w:fill="auto"/>
                  <w:vAlign w:val="center"/>
                </w:tcPr>
                <w:p w14:paraId="6B3DB7F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p>
              </w:tc>
              <w:tc>
                <w:tcPr>
                  <w:tcW w:w="1272" w:type="dxa"/>
                  <w:tcBorders>
                    <w:top w:val="nil"/>
                    <w:left w:val="nil"/>
                    <w:bottom w:val="single" w:color="auto" w:sz="4" w:space="0"/>
                    <w:right w:val="single" w:color="auto" w:sz="4" w:space="0"/>
                  </w:tcBorders>
                  <w:shd w:val="clear" w:color="auto" w:fill="auto"/>
                  <w:vAlign w:val="center"/>
                </w:tcPr>
                <w:p w14:paraId="21B8E7B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p>
              </w:tc>
              <w:tc>
                <w:tcPr>
                  <w:tcW w:w="0" w:type="auto"/>
                  <w:tcBorders>
                    <w:top w:val="nil"/>
                    <w:left w:val="nil"/>
                    <w:bottom w:val="single" w:color="auto" w:sz="4" w:space="0"/>
                    <w:right w:val="single" w:color="auto" w:sz="4" w:space="0"/>
                  </w:tcBorders>
                  <w:shd w:val="clear" w:color="auto" w:fill="auto"/>
                  <w:vAlign w:val="center"/>
                </w:tcPr>
                <w:p w14:paraId="77FCB76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p>
              </w:tc>
              <w:tc>
                <w:tcPr>
                  <w:tcW w:w="0" w:type="auto"/>
                  <w:tcBorders>
                    <w:top w:val="nil"/>
                    <w:left w:val="nil"/>
                    <w:bottom w:val="single" w:color="auto" w:sz="4" w:space="0"/>
                    <w:right w:val="single" w:color="auto" w:sz="4" w:space="0"/>
                  </w:tcBorders>
                  <w:shd w:val="clear" w:color="auto" w:fill="auto"/>
                  <w:vAlign w:val="center"/>
                </w:tcPr>
                <w:p w14:paraId="1E8F85B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2</w:t>
                  </w:r>
                </w:p>
              </w:tc>
              <w:tc>
                <w:tcPr>
                  <w:tcW w:w="0" w:type="auto"/>
                  <w:tcBorders>
                    <w:top w:val="nil"/>
                    <w:left w:val="nil"/>
                    <w:bottom w:val="single" w:color="auto" w:sz="4" w:space="0"/>
                    <w:right w:val="single" w:color="auto" w:sz="4" w:space="0"/>
                  </w:tcBorders>
                  <w:shd w:val="clear" w:color="auto" w:fill="auto"/>
                  <w:vAlign w:val="center"/>
                </w:tcPr>
                <w:p w14:paraId="2597E98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酸洗废气HCl</w:t>
                  </w:r>
                </w:p>
              </w:tc>
              <w:tc>
                <w:tcPr>
                  <w:tcW w:w="1018" w:type="dxa"/>
                  <w:tcBorders>
                    <w:top w:val="nil"/>
                    <w:left w:val="nil"/>
                    <w:bottom w:val="single" w:color="auto" w:sz="4" w:space="0"/>
                    <w:right w:val="single" w:color="auto" w:sz="4" w:space="0"/>
                  </w:tcBorders>
                  <w:shd w:val="clear" w:color="auto" w:fill="auto"/>
                  <w:vAlign w:val="center"/>
                </w:tcPr>
                <w:p w14:paraId="7D586A9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p>
              </w:tc>
              <w:tc>
                <w:tcPr>
                  <w:tcW w:w="1075" w:type="dxa"/>
                  <w:tcBorders>
                    <w:top w:val="nil"/>
                    <w:left w:val="nil"/>
                    <w:bottom w:val="single" w:color="auto" w:sz="4" w:space="0"/>
                    <w:right w:val="single" w:color="auto" w:sz="4" w:space="0"/>
                  </w:tcBorders>
                  <w:shd w:val="clear" w:color="auto" w:fill="auto"/>
                  <w:vAlign w:val="center"/>
                </w:tcPr>
                <w:p w14:paraId="469875C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0.02</w:t>
                  </w:r>
                </w:p>
              </w:tc>
            </w:tr>
            <w:tr w14:paraId="382AE1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0" w:type="auto"/>
                  <w:tcBorders>
                    <w:top w:val="nil"/>
                    <w:left w:val="single" w:color="auto" w:sz="4" w:space="0"/>
                    <w:bottom w:val="single" w:color="auto" w:sz="4" w:space="0"/>
                    <w:right w:val="single" w:color="auto" w:sz="4" w:space="0"/>
                  </w:tcBorders>
                  <w:shd w:val="clear" w:color="auto" w:fill="auto"/>
                  <w:vAlign w:val="center"/>
                </w:tcPr>
                <w:p w14:paraId="06BD5EE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0"/>
                      <w:sz w:val="21"/>
                      <w:szCs w:val="21"/>
                      <w:u w:val="none"/>
                      <w:lang w:val="en-US" w:eastAsia="zh-CN" w:bidi="ar"/>
                    </w:rPr>
                  </w:pPr>
                </w:p>
              </w:tc>
              <w:tc>
                <w:tcPr>
                  <w:tcW w:w="1105" w:type="dxa"/>
                  <w:tcBorders>
                    <w:top w:val="nil"/>
                    <w:left w:val="nil"/>
                    <w:bottom w:val="single" w:color="auto" w:sz="4" w:space="0"/>
                    <w:right w:val="single" w:color="auto" w:sz="4" w:space="0"/>
                  </w:tcBorders>
                  <w:shd w:val="clear" w:color="auto" w:fill="auto"/>
                  <w:vAlign w:val="center"/>
                </w:tcPr>
                <w:p w14:paraId="3C9342A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0"/>
                      <w:sz w:val="21"/>
                      <w:szCs w:val="21"/>
                      <w:u w:val="none"/>
                      <w:lang w:val="en-US" w:eastAsia="zh-CN" w:bidi="ar"/>
                    </w:rPr>
                  </w:pPr>
                </w:p>
              </w:tc>
              <w:tc>
                <w:tcPr>
                  <w:tcW w:w="1272" w:type="dxa"/>
                  <w:tcBorders>
                    <w:top w:val="nil"/>
                    <w:left w:val="nil"/>
                    <w:bottom w:val="single" w:color="auto" w:sz="4" w:space="0"/>
                    <w:right w:val="single" w:color="auto" w:sz="4" w:space="0"/>
                  </w:tcBorders>
                  <w:shd w:val="clear" w:color="auto" w:fill="auto"/>
                  <w:vAlign w:val="center"/>
                </w:tcPr>
                <w:p w14:paraId="100C9D5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0"/>
                      <w:sz w:val="21"/>
                      <w:szCs w:val="21"/>
                      <w:u w:val="none"/>
                      <w:lang w:val="en-US" w:eastAsia="zh-CN" w:bidi="ar"/>
                    </w:rPr>
                  </w:pPr>
                </w:p>
              </w:tc>
              <w:tc>
                <w:tcPr>
                  <w:tcW w:w="0" w:type="auto"/>
                  <w:tcBorders>
                    <w:top w:val="nil"/>
                    <w:left w:val="nil"/>
                    <w:bottom w:val="single" w:color="auto" w:sz="4" w:space="0"/>
                    <w:right w:val="single" w:color="auto" w:sz="4" w:space="0"/>
                  </w:tcBorders>
                  <w:shd w:val="clear" w:color="auto" w:fill="auto"/>
                  <w:vAlign w:val="center"/>
                </w:tcPr>
                <w:p w14:paraId="12C8780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0"/>
                      <w:sz w:val="21"/>
                      <w:szCs w:val="21"/>
                      <w:u w:val="none"/>
                      <w:lang w:val="en-US" w:eastAsia="zh-CN" w:bidi="ar"/>
                    </w:rPr>
                  </w:pPr>
                </w:p>
              </w:tc>
              <w:tc>
                <w:tcPr>
                  <w:tcW w:w="0" w:type="auto"/>
                  <w:tcBorders>
                    <w:top w:val="nil"/>
                    <w:left w:val="nil"/>
                    <w:bottom w:val="single" w:color="auto" w:sz="4" w:space="0"/>
                    <w:right w:val="single" w:color="auto" w:sz="4" w:space="0"/>
                  </w:tcBorders>
                  <w:shd w:val="clear" w:color="auto" w:fill="auto"/>
                  <w:vAlign w:val="center"/>
                </w:tcPr>
                <w:p w14:paraId="5FB54EF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0"/>
                      <w:sz w:val="21"/>
                      <w:szCs w:val="21"/>
                      <w:u w:val="none"/>
                      <w:lang w:val="en-US" w:eastAsia="zh-CN" w:bidi="ar"/>
                    </w:rPr>
                  </w:pPr>
                  <w:r>
                    <w:rPr>
                      <w:rFonts w:hint="default" w:ascii="Times New Roman" w:hAnsi="Times New Roman" w:cs="Times New Roman"/>
                      <w:b w:val="0"/>
                      <w:bCs w:val="0"/>
                      <w:i w:val="0"/>
                      <w:iCs w:val="0"/>
                      <w:color w:val="auto"/>
                      <w:kern w:val="0"/>
                      <w:sz w:val="21"/>
                      <w:szCs w:val="21"/>
                      <w:u w:val="none"/>
                      <w:lang w:val="en-US" w:eastAsia="zh-CN" w:bidi="ar"/>
                    </w:rPr>
                    <w:t>3</w:t>
                  </w:r>
                </w:p>
              </w:tc>
              <w:tc>
                <w:tcPr>
                  <w:tcW w:w="0" w:type="auto"/>
                  <w:tcBorders>
                    <w:top w:val="nil"/>
                    <w:left w:val="nil"/>
                    <w:bottom w:val="single" w:color="auto" w:sz="4" w:space="0"/>
                    <w:right w:val="single" w:color="auto" w:sz="4" w:space="0"/>
                  </w:tcBorders>
                  <w:shd w:val="clear" w:color="auto" w:fill="auto"/>
                  <w:vAlign w:val="center"/>
                </w:tcPr>
                <w:p w14:paraId="4CB9436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0"/>
                      <w:sz w:val="21"/>
                      <w:szCs w:val="21"/>
                      <w:u w:val="none"/>
                      <w:lang w:val="en-US" w:eastAsia="zh-CN" w:bidi="ar"/>
                    </w:rPr>
                  </w:pPr>
                  <w:r>
                    <w:rPr>
                      <w:rFonts w:hint="default" w:ascii="Times New Roman" w:hAnsi="Times New Roman" w:cs="Times New Roman"/>
                      <w:b w:val="0"/>
                      <w:bCs w:val="0"/>
                      <w:i w:val="0"/>
                      <w:iCs w:val="0"/>
                      <w:color w:val="auto"/>
                      <w:kern w:val="0"/>
                      <w:sz w:val="21"/>
                      <w:szCs w:val="21"/>
                      <w:u w:val="none"/>
                      <w:lang w:val="en-US" w:eastAsia="zh-CN" w:bidi="ar"/>
                    </w:rPr>
                    <w:t>冲</w:t>
                  </w:r>
                  <w:r>
                    <w:rPr>
                      <w:rFonts w:hint="default" w:ascii="Times New Roman" w:hAnsi="Times New Roman" w:eastAsia="宋体" w:cs="Times New Roman"/>
                      <w:b w:val="0"/>
                      <w:bCs w:val="0"/>
                      <w:i w:val="0"/>
                      <w:iCs w:val="0"/>
                      <w:color w:val="auto"/>
                      <w:kern w:val="0"/>
                      <w:sz w:val="21"/>
                      <w:szCs w:val="21"/>
                      <w:u w:val="none"/>
                      <w:lang w:val="en-US" w:eastAsia="zh-CN" w:bidi="ar"/>
                    </w:rPr>
                    <w:t>洗废</w:t>
                  </w:r>
                  <w:r>
                    <w:rPr>
                      <w:rFonts w:hint="default" w:ascii="Times New Roman" w:hAnsi="Times New Roman" w:cs="Times New Roman"/>
                      <w:b w:val="0"/>
                      <w:bCs w:val="0"/>
                      <w:i w:val="0"/>
                      <w:iCs w:val="0"/>
                      <w:color w:val="auto"/>
                      <w:kern w:val="0"/>
                      <w:sz w:val="21"/>
                      <w:szCs w:val="21"/>
                      <w:u w:val="none"/>
                      <w:lang w:val="en-US" w:eastAsia="zh-CN" w:bidi="ar"/>
                    </w:rPr>
                    <w:t>水</w:t>
                  </w:r>
                  <w:r>
                    <w:rPr>
                      <w:rFonts w:hint="default" w:ascii="Times New Roman" w:hAnsi="Times New Roman" w:eastAsia="宋体" w:cs="Times New Roman"/>
                      <w:b w:val="0"/>
                      <w:bCs w:val="0"/>
                      <w:i w:val="0"/>
                      <w:iCs w:val="0"/>
                      <w:color w:val="auto"/>
                      <w:kern w:val="0"/>
                      <w:sz w:val="21"/>
                      <w:szCs w:val="21"/>
                      <w:u w:val="none"/>
                      <w:lang w:val="en-US" w:eastAsia="zh-CN" w:bidi="ar"/>
                    </w:rPr>
                    <w:t>HCl</w:t>
                  </w:r>
                </w:p>
              </w:tc>
              <w:tc>
                <w:tcPr>
                  <w:tcW w:w="1018" w:type="dxa"/>
                  <w:tcBorders>
                    <w:top w:val="nil"/>
                    <w:left w:val="nil"/>
                    <w:bottom w:val="single" w:color="auto" w:sz="4" w:space="0"/>
                    <w:right w:val="single" w:color="auto" w:sz="4" w:space="0"/>
                  </w:tcBorders>
                  <w:shd w:val="clear" w:color="auto" w:fill="auto"/>
                  <w:vAlign w:val="center"/>
                </w:tcPr>
                <w:p w14:paraId="09C2B20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0"/>
                      <w:sz w:val="21"/>
                      <w:szCs w:val="21"/>
                      <w:u w:val="none"/>
                      <w:lang w:val="en-US" w:eastAsia="zh-CN" w:bidi="ar"/>
                    </w:rPr>
                  </w:pPr>
                </w:p>
              </w:tc>
              <w:tc>
                <w:tcPr>
                  <w:tcW w:w="1075" w:type="dxa"/>
                  <w:tcBorders>
                    <w:top w:val="nil"/>
                    <w:left w:val="nil"/>
                    <w:bottom w:val="single" w:color="auto" w:sz="4" w:space="0"/>
                    <w:right w:val="single" w:color="auto" w:sz="4" w:space="0"/>
                  </w:tcBorders>
                  <w:shd w:val="clear" w:color="auto" w:fill="auto"/>
                  <w:vAlign w:val="center"/>
                </w:tcPr>
                <w:p w14:paraId="79D5B93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kern w:val="0"/>
                      <w:sz w:val="21"/>
                      <w:szCs w:val="21"/>
                      <w:u w:val="none"/>
                      <w:lang w:val="en-US" w:eastAsia="zh-CN" w:bidi="ar"/>
                    </w:rPr>
                  </w:pPr>
                  <w:r>
                    <w:rPr>
                      <w:rFonts w:hint="default" w:ascii="Times New Roman" w:hAnsi="Times New Roman" w:eastAsia="宋体" w:cs="Times New Roman"/>
                      <w:b w:val="0"/>
                      <w:bCs w:val="0"/>
                      <w:i w:val="0"/>
                      <w:iCs w:val="0"/>
                      <w:color w:val="auto"/>
                      <w:kern w:val="0"/>
                      <w:sz w:val="21"/>
                      <w:szCs w:val="21"/>
                      <w:u w:val="none"/>
                      <w:lang w:val="en-US" w:eastAsia="zh-CN" w:bidi="ar"/>
                    </w:rPr>
                    <w:t>0.00063</w:t>
                  </w:r>
                </w:p>
              </w:tc>
            </w:tr>
            <w:tr w14:paraId="6DDDC2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0" w:type="auto"/>
                  <w:tcBorders>
                    <w:top w:val="nil"/>
                    <w:left w:val="single" w:color="auto" w:sz="4" w:space="0"/>
                    <w:bottom w:val="single" w:color="auto" w:sz="4" w:space="0"/>
                    <w:right w:val="single" w:color="auto" w:sz="4" w:space="0"/>
                  </w:tcBorders>
                  <w:shd w:val="clear" w:color="auto" w:fill="auto"/>
                  <w:vAlign w:val="center"/>
                </w:tcPr>
                <w:p w14:paraId="757A11F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p>
              </w:tc>
              <w:tc>
                <w:tcPr>
                  <w:tcW w:w="1105" w:type="dxa"/>
                  <w:tcBorders>
                    <w:top w:val="nil"/>
                    <w:left w:val="nil"/>
                    <w:bottom w:val="single" w:color="auto" w:sz="4" w:space="0"/>
                    <w:right w:val="single" w:color="auto" w:sz="4" w:space="0"/>
                  </w:tcBorders>
                  <w:shd w:val="clear" w:color="auto" w:fill="auto"/>
                  <w:vAlign w:val="center"/>
                </w:tcPr>
                <w:p w14:paraId="4B7AC3D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p>
              </w:tc>
              <w:tc>
                <w:tcPr>
                  <w:tcW w:w="1272" w:type="dxa"/>
                  <w:tcBorders>
                    <w:top w:val="nil"/>
                    <w:left w:val="nil"/>
                    <w:bottom w:val="single" w:color="auto" w:sz="4" w:space="0"/>
                    <w:right w:val="single" w:color="auto" w:sz="4" w:space="0"/>
                  </w:tcBorders>
                  <w:shd w:val="clear" w:color="auto" w:fill="auto"/>
                  <w:vAlign w:val="center"/>
                </w:tcPr>
                <w:p w14:paraId="776C286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p>
              </w:tc>
              <w:tc>
                <w:tcPr>
                  <w:tcW w:w="0" w:type="auto"/>
                  <w:tcBorders>
                    <w:top w:val="nil"/>
                    <w:left w:val="nil"/>
                    <w:bottom w:val="single" w:color="auto" w:sz="4" w:space="0"/>
                    <w:right w:val="single" w:color="auto" w:sz="4" w:space="0"/>
                  </w:tcBorders>
                  <w:shd w:val="clear" w:color="auto" w:fill="auto"/>
                  <w:vAlign w:val="center"/>
                </w:tcPr>
                <w:p w14:paraId="643481B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p>
              </w:tc>
              <w:tc>
                <w:tcPr>
                  <w:tcW w:w="0" w:type="auto"/>
                  <w:tcBorders>
                    <w:top w:val="nil"/>
                    <w:left w:val="nil"/>
                    <w:bottom w:val="single" w:color="auto" w:sz="4" w:space="0"/>
                    <w:right w:val="single" w:color="auto" w:sz="4" w:space="0"/>
                  </w:tcBorders>
                  <w:shd w:val="clear" w:color="auto" w:fill="auto"/>
                  <w:vAlign w:val="center"/>
                </w:tcPr>
                <w:p w14:paraId="0B2CA7C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cs="Times New Roman"/>
                      <w:b w:val="0"/>
                      <w:bCs w:val="0"/>
                      <w:i w:val="0"/>
                      <w:iCs w:val="0"/>
                      <w:color w:val="auto"/>
                      <w:kern w:val="0"/>
                      <w:sz w:val="21"/>
                      <w:szCs w:val="21"/>
                      <w:u w:val="none"/>
                      <w:lang w:val="en-US" w:eastAsia="zh-CN" w:bidi="ar"/>
                    </w:rPr>
                    <w:t>4</w:t>
                  </w:r>
                </w:p>
              </w:tc>
              <w:tc>
                <w:tcPr>
                  <w:tcW w:w="0" w:type="auto"/>
                  <w:tcBorders>
                    <w:top w:val="nil"/>
                    <w:left w:val="nil"/>
                    <w:bottom w:val="single" w:color="auto" w:sz="4" w:space="0"/>
                    <w:right w:val="single" w:color="auto" w:sz="4" w:space="0"/>
                  </w:tcBorders>
                  <w:shd w:val="clear" w:color="auto" w:fill="auto"/>
                  <w:vAlign w:val="center"/>
                </w:tcPr>
                <w:p w14:paraId="39F3AEA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与铁锈反应的HCl</w:t>
                  </w:r>
                </w:p>
              </w:tc>
              <w:tc>
                <w:tcPr>
                  <w:tcW w:w="1018" w:type="dxa"/>
                  <w:tcBorders>
                    <w:top w:val="nil"/>
                    <w:left w:val="nil"/>
                    <w:bottom w:val="single" w:color="auto" w:sz="4" w:space="0"/>
                    <w:right w:val="single" w:color="auto" w:sz="4" w:space="0"/>
                  </w:tcBorders>
                  <w:shd w:val="clear" w:color="auto" w:fill="auto"/>
                  <w:vAlign w:val="center"/>
                </w:tcPr>
                <w:p w14:paraId="0E1DF41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p>
              </w:tc>
              <w:tc>
                <w:tcPr>
                  <w:tcW w:w="1075" w:type="dxa"/>
                  <w:tcBorders>
                    <w:top w:val="nil"/>
                    <w:left w:val="nil"/>
                    <w:bottom w:val="single" w:color="auto" w:sz="4" w:space="0"/>
                    <w:right w:val="single" w:color="auto" w:sz="4" w:space="0"/>
                  </w:tcBorders>
                  <w:shd w:val="clear" w:color="auto" w:fill="auto"/>
                  <w:vAlign w:val="center"/>
                </w:tcPr>
                <w:p w14:paraId="6F2260B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1.</w:t>
                  </w:r>
                  <w:r>
                    <w:rPr>
                      <w:rFonts w:hint="default" w:ascii="Times New Roman" w:hAnsi="Times New Roman" w:cs="Times New Roman"/>
                      <w:b w:val="0"/>
                      <w:bCs w:val="0"/>
                      <w:i w:val="0"/>
                      <w:iCs w:val="0"/>
                      <w:color w:val="auto"/>
                      <w:kern w:val="0"/>
                      <w:sz w:val="21"/>
                      <w:szCs w:val="21"/>
                      <w:u w:val="none"/>
                      <w:lang w:val="en-US" w:eastAsia="zh-CN" w:bidi="ar"/>
                    </w:rPr>
                    <w:t>48</w:t>
                  </w:r>
                </w:p>
              </w:tc>
            </w:tr>
            <w:tr w14:paraId="421ECA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71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DDBF29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合计</w:t>
                  </w:r>
                </w:p>
              </w:tc>
              <w:tc>
                <w:tcPr>
                  <w:tcW w:w="1272" w:type="dxa"/>
                  <w:tcBorders>
                    <w:top w:val="nil"/>
                    <w:left w:val="nil"/>
                    <w:bottom w:val="single" w:color="auto" w:sz="4" w:space="0"/>
                    <w:right w:val="single" w:color="auto" w:sz="4" w:space="0"/>
                  </w:tcBorders>
                  <w:shd w:val="clear" w:color="auto" w:fill="auto"/>
                  <w:vAlign w:val="center"/>
                </w:tcPr>
                <w:p w14:paraId="62DEC9B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p>
              </w:tc>
              <w:tc>
                <w:tcPr>
                  <w:tcW w:w="0" w:type="auto"/>
                  <w:tcBorders>
                    <w:top w:val="nil"/>
                    <w:left w:val="nil"/>
                    <w:bottom w:val="single" w:color="auto" w:sz="4" w:space="0"/>
                    <w:right w:val="single" w:color="auto" w:sz="4" w:space="0"/>
                  </w:tcBorders>
                  <w:shd w:val="clear" w:color="auto" w:fill="auto"/>
                  <w:vAlign w:val="center"/>
                </w:tcPr>
                <w:p w14:paraId="3C05E19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2.</w:t>
                  </w:r>
                  <w:r>
                    <w:rPr>
                      <w:rFonts w:hint="default" w:ascii="Times New Roman" w:hAnsi="Times New Roman" w:cs="Times New Roman"/>
                      <w:b w:val="0"/>
                      <w:bCs w:val="0"/>
                      <w:i w:val="0"/>
                      <w:iCs w:val="0"/>
                      <w:color w:val="auto"/>
                      <w:kern w:val="0"/>
                      <w:sz w:val="21"/>
                      <w:szCs w:val="21"/>
                      <w:u w:val="none"/>
                      <w:lang w:val="en-US" w:eastAsia="zh-CN" w:bidi="ar"/>
                    </w:rPr>
                    <w:t>4</w:t>
                  </w:r>
                </w:p>
              </w:tc>
              <w:tc>
                <w:tcPr>
                  <w:tcW w:w="0" w:type="auto"/>
                  <w:gridSpan w:val="2"/>
                  <w:tcBorders>
                    <w:top w:val="single" w:color="auto" w:sz="4" w:space="0"/>
                    <w:left w:val="nil"/>
                    <w:bottom w:val="single" w:color="auto" w:sz="4" w:space="0"/>
                    <w:right w:val="single" w:color="auto" w:sz="4" w:space="0"/>
                  </w:tcBorders>
                  <w:shd w:val="clear" w:color="auto" w:fill="auto"/>
                  <w:vAlign w:val="center"/>
                </w:tcPr>
                <w:p w14:paraId="54BA1BE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合计</w:t>
                  </w:r>
                </w:p>
              </w:tc>
              <w:tc>
                <w:tcPr>
                  <w:tcW w:w="1018" w:type="dxa"/>
                  <w:tcBorders>
                    <w:top w:val="nil"/>
                    <w:left w:val="nil"/>
                    <w:bottom w:val="single" w:color="auto" w:sz="4" w:space="0"/>
                    <w:right w:val="single" w:color="auto" w:sz="4" w:space="0"/>
                  </w:tcBorders>
                  <w:shd w:val="clear" w:color="auto" w:fill="auto"/>
                  <w:vAlign w:val="center"/>
                </w:tcPr>
                <w:p w14:paraId="33EFA15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p>
              </w:tc>
              <w:tc>
                <w:tcPr>
                  <w:tcW w:w="1075" w:type="dxa"/>
                  <w:tcBorders>
                    <w:top w:val="nil"/>
                    <w:left w:val="nil"/>
                    <w:bottom w:val="single" w:color="auto" w:sz="4" w:space="0"/>
                    <w:right w:val="single" w:color="auto" w:sz="4" w:space="0"/>
                  </w:tcBorders>
                  <w:shd w:val="clear" w:color="auto" w:fill="auto"/>
                  <w:vAlign w:val="center"/>
                </w:tcPr>
                <w:p w14:paraId="1916E37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2.</w:t>
                  </w:r>
                  <w:r>
                    <w:rPr>
                      <w:rFonts w:hint="default" w:ascii="Times New Roman" w:hAnsi="Times New Roman" w:cs="Times New Roman"/>
                      <w:b w:val="0"/>
                      <w:bCs w:val="0"/>
                      <w:i w:val="0"/>
                      <w:iCs w:val="0"/>
                      <w:color w:val="auto"/>
                      <w:kern w:val="0"/>
                      <w:sz w:val="21"/>
                      <w:szCs w:val="21"/>
                      <w:u w:val="none"/>
                      <w:lang w:val="en-US" w:eastAsia="zh-CN" w:bidi="ar"/>
                    </w:rPr>
                    <w:t>4</w:t>
                  </w:r>
                </w:p>
              </w:tc>
            </w:tr>
          </w:tbl>
          <w:p w14:paraId="491FA3D1">
            <w:pPr>
              <w:pStyle w:val="10"/>
              <w:keepNext w:val="0"/>
              <w:keepLines w:val="0"/>
              <w:pageBreakBefore w:val="0"/>
              <w:widowControl w:val="0"/>
              <w:kinsoku/>
              <w:wordWrap/>
              <w:overflowPunct/>
              <w:topLinePunct w:val="0"/>
              <w:autoSpaceDE/>
              <w:autoSpaceDN/>
              <w:bidi w:val="0"/>
              <w:adjustRightInd w:val="0"/>
              <w:snapToGrid w:val="0"/>
              <w:spacing w:before="190" w:beforeLines="50"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（2）磷平衡</w:t>
            </w:r>
          </w:p>
          <w:p w14:paraId="0A3E4179">
            <w:pPr>
              <w:keepNext w:val="0"/>
              <w:keepLines w:val="0"/>
              <w:pageBreakBefore w:val="0"/>
              <w:widowControl w:val="0"/>
              <w:numPr>
                <w:ilvl w:val="255"/>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采用锌磷化液，磷酸30~40%，本次评价取中间值即磷酸35%。磷化后清洗工段所清洗下的磷化液约占磷化液总用量的2%~5%，本次评价以2.5%计。污水处理站磷处理效率以85%计，则项目废水污染物中磷平衡情况见下表。</w:t>
            </w:r>
          </w:p>
          <w:p w14:paraId="4310F0BE">
            <w:pPr>
              <w:keepNext w:val="0"/>
              <w:keepLines w:val="0"/>
              <w:pageBreakBefore w:val="0"/>
              <w:widowControl w:val="0"/>
              <w:numPr>
                <w:ilvl w:val="255"/>
                <w:numId w:val="0"/>
              </w:numPr>
              <w:kinsoku/>
              <w:wordWrap/>
              <w:overflowPunct/>
              <w:topLinePunct w:val="0"/>
              <w:autoSpaceDE/>
              <w:autoSpaceDN/>
              <w:bidi w:val="0"/>
              <w:adjustRightInd/>
              <w:snapToGrid w:val="0"/>
              <w:spacing w:before="77" w:beforeLines="20" w:after="77" w:afterLines="20"/>
              <w:jc w:val="center"/>
              <w:textAlignment w:val="auto"/>
              <w:rPr>
                <w:rFonts w:hint="default" w:ascii="Times New Roman" w:hAnsi="Times New Roman" w:eastAsia="黑体" w:cs="Times New Roman"/>
                <w:color w:val="auto"/>
                <w:sz w:val="24"/>
                <w:szCs w:val="24"/>
                <w:lang w:val="en-US" w:eastAsia="zh-CN"/>
              </w:rPr>
            </w:pPr>
            <w:r>
              <w:rPr>
                <w:rFonts w:hint="default" w:ascii="Times New Roman" w:hAnsi="Times New Roman" w:eastAsia="黑体" w:cs="Times New Roman"/>
                <w:color w:val="auto"/>
                <w:sz w:val="24"/>
                <w:szCs w:val="24"/>
                <w:lang w:val="en-US" w:eastAsia="zh-CN"/>
              </w:rPr>
              <w:t xml:space="preserve">表2.2-13 </w:t>
            </w:r>
            <w:r>
              <w:rPr>
                <w:rFonts w:hint="eastAsia" w:eastAsia="黑体" w:cs="Times New Roman"/>
                <w:color w:val="auto"/>
                <w:sz w:val="24"/>
                <w:szCs w:val="24"/>
                <w:lang w:val="en-US" w:eastAsia="zh-CN"/>
              </w:rPr>
              <w:t xml:space="preserve"> </w:t>
            </w:r>
            <w:r>
              <w:rPr>
                <w:rFonts w:hint="default" w:ascii="Times New Roman" w:hAnsi="Times New Roman" w:eastAsia="黑体" w:cs="Times New Roman"/>
                <w:color w:val="auto"/>
                <w:sz w:val="24"/>
                <w:szCs w:val="24"/>
                <w:lang w:val="en-US" w:eastAsia="zh-CN"/>
              </w:rPr>
              <w:t>磷元素平衡表</w:t>
            </w:r>
          </w:p>
          <w:tbl>
            <w:tblPr>
              <w:tblStyle w:val="34"/>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56"/>
              <w:gridCol w:w="1118"/>
              <w:gridCol w:w="1383"/>
              <w:gridCol w:w="1348"/>
              <w:gridCol w:w="707"/>
              <w:gridCol w:w="1903"/>
              <w:gridCol w:w="1548"/>
            </w:tblGrid>
            <w:tr w14:paraId="10C16D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600" w:type="pct"/>
                  <w:gridSpan w:val="4"/>
                  <w:tcBorders>
                    <w:top w:val="single" w:color="auto" w:sz="4" w:space="0"/>
                    <w:left w:val="single" w:color="auto" w:sz="4" w:space="0"/>
                    <w:bottom w:val="single" w:color="auto" w:sz="4" w:space="0"/>
                    <w:right w:val="single" w:color="000000" w:sz="4" w:space="0"/>
                  </w:tcBorders>
                  <w:shd w:val="clear" w:color="auto" w:fill="auto"/>
                  <w:noWrap/>
                  <w:vAlign w:val="center"/>
                </w:tcPr>
                <w:p w14:paraId="32AC3BBF">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输入</w:t>
                  </w:r>
                </w:p>
              </w:tc>
              <w:tc>
                <w:tcPr>
                  <w:tcW w:w="2399" w:type="pct"/>
                  <w:gridSpan w:val="3"/>
                  <w:tcBorders>
                    <w:top w:val="single" w:color="auto" w:sz="4" w:space="0"/>
                    <w:left w:val="nil"/>
                    <w:bottom w:val="single" w:color="auto" w:sz="4" w:space="0"/>
                    <w:right w:val="single" w:color="000000" w:sz="4" w:space="0"/>
                  </w:tcBorders>
                  <w:shd w:val="clear" w:color="auto" w:fill="auto"/>
                  <w:noWrap/>
                  <w:vAlign w:val="center"/>
                </w:tcPr>
                <w:p w14:paraId="03F0BE1F">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输出</w:t>
                  </w:r>
                </w:p>
              </w:tc>
            </w:tr>
            <w:tr w14:paraId="211490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379" w:type="pct"/>
                  <w:tcBorders>
                    <w:top w:val="nil"/>
                    <w:left w:val="single" w:color="auto" w:sz="4" w:space="0"/>
                    <w:bottom w:val="single" w:color="auto" w:sz="4" w:space="0"/>
                    <w:right w:val="single" w:color="auto" w:sz="4" w:space="0"/>
                  </w:tcBorders>
                  <w:shd w:val="clear" w:color="auto" w:fill="auto"/>
                  <w:vAlign w:val="center"/>
                </w:tcPr>
                <w:p w14:paraId="53BE5DCD">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序号</w:t>
                  </w:r>
                </w:p>
              </w:tc>
              <w:tc>
                <w:tcPr>
                  <w:tcW w:w="645" w:type="pct"/>
                  <w:tcBorders>
                    <w:top w:val="nil"/>
                    <w:left w:val="nil"/>
                    <w:bottom w:val="single" w:color="auto" w:sz="4" w:space="0"/>
                    <w:right w:val="single" w:color="auto" w:sz="4" w:space="0"/>
                  </w:tcBorders>
                  <w:shd w:val="clear" w:color="auto" w:fill="auto"/>
                  <w:vAlign w:val="center"/>
                </w:tcPr>
                <w:p w14:paraId="327B255C">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项目</w:t>
                  </w:r>
                </w:p>
              </w:tc>
              <w:tc>
                <w:tcPr>
                  <w:tcW w:w="798" w:type="pct"/>
                  <w:tcBorders>
                    <w:top w:val="nil"/>
                    <w:left w:val="nil"/>
                    <w:bottom w:val="single" w:color="auto" w:sz="4" w:space="0"/>
                    <w:right w:val="single" w:color="auto" w:sz="4" w:space="0"/>
                  </w:tcBorders>
                  <w:shd w:val="clear" w:color="auto" w:fill="auto"/>
                  <w:vAlign w:val="center"/>
                </w:tcPr>
                <w:p w14:paraId="2BD019ED">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原料用量t/d</w:t>
                  </w:r>
                </w:p>
              </w:tc>
              <w:tc>
                <w:tcPr>
                  <w:tcW w:w="777" w:type="pct"/>
                  <w:tcBorders>
                    <w:top w:val="nil"/>
                    <w:left w:val="nil"/>
                    <w:bottom w:val="single" w:color="auto" w:sz="4" w:space="0"/>
                    <w:right w:val="single" w:color="auto" w:sz="4" w:space="0"/>
                  </w:tcBorders>
                  <w:shd w:val="clear" w:color="auto" w:fill="auto"/>
                  <w:noWrap/>
                  <w:vAlign w:val="center"/>
                </w:tcPr>
                <w:p w14:paraId="1689B799">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磷含量t/d</w:t>
                  </w:r>
                </w:p>
              </w:tc>
              <w:tc>
                <w:tcPr>
                  <w:tcW w:w="408" w:type="pct"/>
                  <w:tcBorders>
                    <w:top w:val="nil"/>
                    <w:left w:val="nil"/>
                    <w:bottom w:val="single" w:color="auto" w:sz="4" w:space="0"/>
                    <w:right w:val="single" w:color="auto" w:sz="4" w:space="0"/>
                  </w:tcBorders>
                  <w:shd w:val="clear" w:color="auto" w:fill="auto"/>
                  <w:vAlign w:val="center"/>
                </w:tcPr>
                <w:p w14:paraId="3401A986">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序号</w:t>
                  </w:r>
                </w:p>
              </w:tc>
              <w:tc>
                <w:tcPr>
                  <w:tcW w:w="1097" w:type="pct"/>
                  <w:tcBorders>
                    <w:top w:val="nil"/>
                    <w:left w:val="nil"/>
                    <w:bottom w:val="single" w:color="auto" w:sz="4" w:space="0"/>
                    <w:right w:val="single" w:color="auto" w:sz="4" w:space="0"/>
                  </w:tcBorders>
                  <w:shd w:val="clear" w:color="auto" w:fill="auto"/>
                  <w:vAlign w:val="center"/>
                </w:tcPr>
                <w:p w14:paraId="284AD889">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项目</w:t>
                  </w:r>
                </w:p>
              </w:tc>
              <w:tc>
                <w:tcPr>
                  <w:tcW w:w="893" w:type="pct"/>
                  <w:tcBorders>
                    <w:top w:val="nil"/>
                    <w:left w:val="nil"/>
                    <w:bottom w:val="single" w:color="auto" w:sz="4" w:space="0"/>
                    <w:right w:val="single" w:color="auto" w:sz="4" w:space="0"/>
                  </w:tcBorders>
                  <w:shd w:val="clear" w:color="auto" w:fill="auto"/>
                  <w:noWrap/>
                  <w:vAlign w:val="center"/>
                </w:tcPr>
                <w:p w14:paraId="2A113878">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磷含量t/d</w:t>
                  </w:r>
                </w:p>
              </w:tc>
            </w:tr>
            <w:tr w14:paraId="03E19C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379" w:type="pct"/>
                  <w:tcBorders>
                    <w:top w:val="nil"/>
                    <w:left w:val="single" w:color="auto" w:sz="4" w:space="0"/>
                    <w:bottom w:val="single" w:color="auto" w:sz="4" w:space="0"/>
                    <w:right w:val="single" w:color="auto" w:sz="4" w:space="0"/>
                  </w:tcBorders>
                  <w:shd w:val="clear" w:color="auto" w:fill="auto"/>
                  <w:noWrap/>
                  <w:vAlign w:val="center"/>
                </w:tcPr>
                <w:p w14:paraId="25832609">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645" w:type="pct"/>
                  <w:tcBorders>
                    <w:top w:val="nil"/>
                    <w:left w:val="nil"/>
                    <w:bottom w:val="single" w:color="auto" w:sz="4" w:space="0"/>
                    <w:right w:val="single" w:color="auto" w:sz="4" w:space="0"/>
                  </w:tcBorders>
                  <w:shd w:val="clear" w:color="auto" w:fill="auto"/>
                  <w:noWrap/>
                  <w:vAlign w:val="center"/>
                </w:tcPr>
                <w:p w14:paraId="6869F233">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磷化液</w:t>
                  </w:r>
                </w:p>
              </w:tc>
              <w:tc>
                <w:tcPr>
                  <w:tcW w:w="798" w:type="pct"/>
                  <w:tcBorders>
                    <w:top w:val="nil"/>
                    <w:left w:val="nil"/>
                    <w:bottom w:val="single" w:color="auto" w:sz="4" w:space="0"/>
                    <w:right w:val="single" w:color="auto" w:sz="4" w:space="0"/>
                  </w:tcBorders>
                  <w:shd w:val="clear" w:color="auto" w:fill="auto"/>
                  <w:noWrap/>
                  <w:vAlign w:val="center"/>
                </w:tcPr>
                <w:p w14:paraId="551A8D43">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600</w:t>
                  </w:r>
                </w:p>
              </w:tc>
              <w:tc>
                <w:tcPr>
                  <w:tcW w:w="777" w:type="pct"/>
                  <w:tcBorders>
                    <w:top w:val="nil"/>
                    <w:left w:val="nil"/>
                    <w:bottom w:val="single" w:color="auto" w:sz="4" w:space="0"/>
                    <w:right w:val="single" w:color="auto" w:sz="4" w:space="0"/>
                  </w:tcBorders>
                  <w:shd w:val="clear" w:color="auto" w:fill="auto"/>
                  <w:noWrap/>
                  <w:vAlign w:val="center"/>
                </w:tcPr>
                <w:p w14:paraId="7E70450F">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66.43</w:t>
                  </w:r>
                </w:p>
              </w:tc>
              <w:tc>
                <w:tcPr>
                  <w:tcW w:w="408" w:type="pct"/>
                  <w:tcBorders>
                    <w:top w:val="nil"/>
                    <w:left w:val="nil"/>
                    <w:bottom w:val="single" w:color="auto" w:sz="4" w:space="0"/>
                    <w:right w:val="single" w:color="auto" w:sz="4" w:space="0"/>
                  </w:tcBorders>
                  <w:shd w:val="clear" w:color="auto" w:fill="auto"/>
                  <w:noWrap/>
                  <w:vAlign w:val="center"/>
                </w:tcPr>
                <w:p w14:paraId="54544972">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1097" w:type="pct"/>
                  <w:tcBorders>
                    <w:top w:val="nil"/>
                    <w:left w:val="nil"/>
                    <w:bottom w:val="single" w:color="auto" w:sz="4" w:space="0"/>
                    <w:right w:val="single" w:color="auto" w:sz="4" w:space="0"/>
                  </w:tcBorders>
                  <w:shd w:val="clear" w:color="auto" w:fill="auto"/>
                  <w:noWrap/>
                  <w:vAlign w:val="center"/>
                </w:tcPr>
                <w:p w14:paraId="36077F0C">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废水中磷</w:t>
                  </w:r>
                </w:p>
              </w:tc>
              <w:tc>
                <w:tcPr>
                  <w:tcW w:w="893" w:type="pct"/>
                  <w:tcBorders>
                    <w:top w:val="nil"/>
                    <w:left w:val="nil"/>
                    <w:bottom w:val="single" w:color="auto" w:sz="4" w:space="0"/>
                    <w:right w:val="single" w:color="auto" w:sz="4" w:space="0"/>
                  </w:tcBorders>
                  <w:shd w:val="clear" w:color="auto" w:fill="auto"/>
                  <w:noWrap/>
                  <w:vAlign w:val="center"/>
                </w:tcPr>
                <w:p w14:paraId="3C9B8F08">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0.25</w:t>
                  </w:r>
                </w:p>
              </w:tc>
            </w:tr>
            <w:tr w14:paraId="415C22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379" w:type="pct"/>
                  <w:tcBorders>
                    <w:top w:val="nil"/>
                    <w:left w:val="single" w:color="auto" w:sz="4" w:space="0"/>
                    <w:bottom w:val="single" w:color="auto" w:sz="4" w:space="0"/>
                    <w:right w:val="single" w:color="auto" w:sz="4" w:space="0"/>
                  </w:tcBorders>
                  <w:shd w:val="clear" w:color="auto" w:fill="auto"/>
                  <w:noWrap/>
                  <w:vAlign w:val="center"/>
                </w:tcPr>
                <w:p w14:paraId="307F348F">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p>
              </w:tc>
              <w:tc>
                <w:tcPr>
                  <w:tcW w:w="645" w:type="pct"/>
                  <w:tcBorders>
                    <w:top w:val="nil"/>
                    <w:left w:val="nil"/>
                    <w:bottom w:val="single" w:color="auto" w:sz="4" w:space="0"/>
                    <w:right w:val="single" w:color="auto" w:sz="4" w:space="0"/>
                  </w:tcBorders>
                  <w:shd w:val="clear" w:color="auto" w:fill="auto"/>
                  <w:noWrap/>
                  <w:vAlign w:val="center"/>
                </w:tcPr>
                <w:p w14:paraId="771F0F14">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p>
              </w:tc>
              <w:tc>
                <w:tcPr>
                  <w:tcW w:w="798" w:type="pct"/>
                  <w:tcBorders>
                    <w:top w:val="nil"/>
                    <w:left w:val="nil"/>
                    <w:bottom w:val="single" w:color="auto" w:sz="4" w:space="0"/>
                    <w:right w:val="single" w:color="auto" w:sz="4" w:space="0"/>
                  </w:tcBorders>
                  <w:shd w:val="clear" w:color="auto" w:fill="auto"/>
                  <w:noWrap/>
                  <w:vAlign w:val="center"/>
                </w:tcPr>
                <w:p w14:paraId="4F041373">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p>
              </w:tc>
              <w:tc>
                <w:tcPr>
                  <w:tcW w:w="777" w:type="pct"/>
                  <w:tcBorders>
                    <w:top w:val="nil"/>
                    <w:left w:val="nil"/>
                    <w:bottom w:val="single" w:color="auto" w:sz="4" w:space="0"/>
                    <w:right w:val="single" w:color="auto" w:sz="4" w:space="0"/>
                  </w:tcBorders>
                  <w:shd w:val="clear" w:color="auto" w:fill="auto"/>
                  <w:noWrap/>
                  <w:vAlign w:val="center"/>
                </w:tcPr>
                <w:p w14:paraId="5F8E625A">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p>
              </w:tc>
              <w:tc>
                <w:tcPr>
                  <w:tcW w:w="408" w:type="pct"/>
                  <w:tcBorders>
                    <w:top w:val="nil"/>
                    <w:left w:val="nil"/>
                    <w:bottom w:val="single" w:color="auto" w:sz="4" w:space="0"/>
                    <w:right w:val="single" w:color="auto" w:sz="4" w:space="0"/>
                  </w:tcBorders>
                  <w:shd w:val="clear" w:color="auto" w:fill="auto"/>
                  <w:noWrap/>
                  <w:vAlign w:val="center"/>
                </w:tcPr>
                <w:p w14:paraId="7FC5053C">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1097" w:type="pct"/>
                  <w:tcBorders>
                    <w:top w:val="nil"/>
                    <w:left w:val="nil"/>
                    <w:bottom w:val="single" w:color="auto" w:sz="4" w:space="0"/>
                    <w:right w:val="single" w:color="auto" w:sz="4" w:space="0"/>
                  </w:tcBorders>
                  <w:shd w:val="clear" w:color="auto" w:fill="auto"/>
                  <w:noWrap/>
                  <w:vAlign w:val="center"/>
                </w:tcPr>
                <w:p w14:paraId="6A0BFA13">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污泥含磷</w:t>
                  </w:r>
                </w:p>
              </w:tc>
              <w:tc>
                <w:tcPr>
                  <w:tcW w:w="893" w:type="pct"/>
                  <w:tcBorders>
                    <w:top w:val="nil"/>
                    <w:left w:val="nil"/>
                    <w:bottom w:val="single" w:color="auto" w:sz="4" w:space="0"/>
                    <w:right w:val="single" w:color="auto" w:sz="4" w:space="0"/>
                  </w:tcBorders>
                  <w:shd w:val="clear" w:color="auto" w:fill="auto"/>
                  <w:noWrap/>
                  <w:vAlign w:val="center"/>
                </w:tcPr>
                <w:p w14:paraId="0B3AE7CB">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1.41</w:t>
                  </w:r>
                </w:p>
              </w:tc>
            </w:tr>
            <w:tr w14:paraId="0024D9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379" w:type="pct"/>
                  <w:tcBorders>
                    <w:top w:val="nil"/>
                    <w:left w:val="single" w:color="auto" w:sz="4" w:space="0"/>
                    <w:bottom w:val="single" w:color="auto" w:sz="4" w:space="0"/>
                    <w:right w:val="single" w:color="auto" w:sz="4" w:space="0"/>
                  </w:tcBorders>
                  <w:shd w:val="clear" w:color="auto" w:fill="auto"/>
                  <w:noWrap/>
                  <w:vAlign w:val="center"/>
                </w:tcPr>
                <w:p w14:paraId="3ECE9603">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p>
              </w:tc>
              <w:tc>
                <w:tcPr>
                  <w:tcW w:w="645" w:type="pct"/>
                  <w:tcBorders>
                    <w:top w:val="nil"/>
                    <w:left w:val="nil"/>
                    <w:bottom w:val="single" w:color="auto" w:sz="4" w:space="0"/>
                    <w:right w:val="single" w:color="auto" w:sz="4" w:space="0"/>
                  </w:tcBorders>
                  <w:shd w:val="clear" w:color="auto" w:fill="auto"/>
                  <w:noWrap/>
                  <w:vAlign w:val="center"/>
                </w:tcPr>
                <w:p w14:paraId="30CD4A7B">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p>
              </w:tc>
              <w:tc>
                <w:tcPr>
                  <w:tcW w:w="798" w:type="pct"/>
                  <w:tcBorders>
                    <w:top w:val="nil"/>
                    <w:left w:val="nil"/>
                    <w:bottom w:val="single" w:color="auto" w:sz="4" w:space="0"/>
                    <w:right w:val="single" w:color="auto" w:sz="4" w:space="0"/>
                  </w:tcBorders>
                  <w:shd w:val="clear" w:color="auto" w:fill="auto"/>
                  <w:noWrap/>
                  <w:vAlign w:val="center"/>
                </w:tcPr>
                <w:p w14:paraId="6A96C34A">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p>
              </w:tc>
              <w:tc>
                <w:tcPr>
                  <w:tcW w:w="777" w:type="pct"/>
                  <w:tcBorders>
                    <w:top w:val="nil"/>
                    <w:left w:val="nil"/>
                    <w:bottom w:val="single" w:color="auto" w:sz="4" w:space="0"/>
                    <w:right w:val="single" w:color="auto" w:sz="4" w:space="0"/>
                  </w:tcBorders>
                  <w:shd w:val="clear" w:color="auto" w:fill="auto"/>
                  <w:noWrap/>
                  <w:vAlign w:val="center"/>
                </w:tcPr>
                <w:p w14:paraId="4D88ECE1">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p>
              </w:tc>
              <w:tc>
                <w:tcPr>
                  <w:tcW w:w="408" w:type="pct"/>
                  <w:tcBorders>
                    <w:top w:val="nil"/>
                    <w:left w:val="nil"/>
                    <w:bottom w:val="single" w:color="auto" w:sz="4" w:space="0"/>
                    <w:right w:val="single" w:color="auto" w:sz="4" w:space="0"/>
                  </w:tcBorders>
                  <w:shd w:val="clear" w:color="auto" w:fill="auto"/>
                  <w:noWrap/>
                  <w:vAlign w:val="center"/>
                </w:tcPr>
                <w:p w14:paraId="046D4AA5">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1097" w:type="pct"/>
                  <w:tcBorders>
                    <w:top w:val="nil"/>
                    <w:left w:val="nil"/>
                    <w:bottom w:val="single" w:color="auto" w:sz="4" w:space="0"/>
                    <w:right w:val="single" w:color="auto" w:sz="4" w:space="0"/>
                  </w:tcBorders>
                  <w:shd w:val="clear" w:color="auto" w:fill="auto"/>
                  <w:vAlign w:val="center"/>
                </w:tcPr>
                <w:p w14:paraId="5C151734">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工件</w:t>
                  </w:r>
                  <w:r>
                    <w:rPr>
                      <w:rFonts w:hint="default" w:ascii="Times New Roman" w:hAnsi="Times New Roman" w:eastAsia="Segoe UI"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磷渣带出磷</w:t>
                  </w:r>
                </w:p>
              </w:tc>
              <w:tc>
                <w:tcPr>
                  <w:tcW w:w="893" w:type="pct"/>
                  <w:tcBorders>
                    <w:top w:val="nil"/>
                    <w:left w:val="nil"/>
                    <w:bottom w:val="single" w:color="auto" w:sz="4" w:space="0"/>
                    <w:right w:val="single" w:color="auto" w:sz="4" w:space="0"/>
                  </w:tcBorders>
                  <w:shd w:val="clear" w:color="auto" w:fill="auto"/>
                  <w:noWrap/>
                  <w:vAlign w:val="center"/>
                </w:tcPr>
                <w:p w14:paraId="3B21F7A8">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64.77</w:t>
                  </w:r>
                </w:p>
              </w:tc>
            </w:tr>
            <w:tr w14:paraId="2A87DA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1024"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055BB2BB">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合计</w:t>
                  </w:r>
                </w:p>
              </w:tc>
              <w:tc>
                <w:tcPr>
                  <w:tcW w:w="798" w:type="pct"/>
                  <w:tcBorders>
                    <w:top w:val="nil"/>
                    <w:left w:val="nil"/>
                    <w:bottom w:val="single" w:color="auto" w:sz="4" w:space="0"/>
                    <w:right w:val="single" w:color="auto" w:sz="4" w:space="0"/>
                  </w:tcBorders>
                  <w:shd w:val="clear" w:color="auto" w:fill="auto"/>
                  <w:noWrap/>
                  <w:vAlign w:val="center"/>
                </w:tcPr>
                <w:p w14:paraId="6FB88E30">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p>
              </w:tc>
              <w:tc>
                <w:tcPr>
                  <w:tcW w:w="777" w:type="pct"/>
                  <w:tcBorders>
                    <w:top w:val="nil"/>
                    <w:left w:val="nil"/>
                    <w:bottom w:val="single" w:color="auto" w:sz="4" w:space="0"/>
                    <w:right w:val="single" w:color="auto" w:sz="4" w:space="0"/>
                  </w:tcBorders>
                  <w:shd w:val="clear" w:color="auto" w:fill="auto"/>
                  <w:noWrap/>
                  <w:vAlign w:val="center"/>
                </w:tcPr>
                <w:p w14:paraId="69B777DE">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66.43</w:t>
                  </w:r>
                </w:p>
              </w:tc>
              <w:tc>
                <w:tcPr>
                  <w:tcW w:w="1506" w:type="pct"/>
                  <w:gridSpan w:val="2"/>
                  <w:tcBorders>
                    <w:top w:val="nil"/>
                    <w:left w:val="nil"/>
                    <w:bottom w:val="single" w:color="auto" w:sz="4" w:space="0"/>
                    <w:right w:val="single" w:color="auto" w:sz="4" w:space="0"/>
                  </w:tcBorders>
                  <w:shd w:val="clear" w:color="auto" w:fill="auto"/>
                  <w:noWrap/>
                  <w:vAlign w:val="center"/>
                </w:tcPr>
                <w:p w14:paraId="4DCE288D">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合计</w:t>
                  </w:r>
                </w:p>
              </w:tc>
              <w:tc>
                <w:tcPr>
                  <w:tcW w:w="893" w:type="pct"/>
                  <w:tcBorders>
                    <w:top w:val="nil"/>
                    <w:left w:val="nil"/>
                    <w:bottom w:val="single" w:color="auto" w:sz="4" w:space="0"/>
                    <w:right w:val="single" w:color="auto" w:sz="4" w:space="0"/>
                  </w:tcBorders>
                  <w:shd w:val="clear" w:color="auto" w:fill="auto"/>
                  <w:noWrap/>
                  <w:vAlign w:val="center"/>
                </w:tcPr>
                <w:p w14:paraId="1BF9F897">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66.43</w:t>
                  </w:r>
                </w:p>
              </w:tc>
            </w:tr>
          </w:tbl>
          <w:p w14:paraId="48F6202B">
            <w:pPr>
              <w:keepNext w:val="0"/>
              <w:keepLines w:val="0"/>
              <w:pageBreakBefore w:val="0"/>
              <w:widowControl w:val="0"/>
              <w:numPr>
                <w:ilvl w:val="255"/>
                <w:numId w:val="0"/>
              </w:numPr>
              <w:kinsoku/>
              <w:wordWrap/>
              <w:overflowPunct/>
              <w:topLinePunct w:val="0"/>
              <w:autoSpaceDE/>
              <w:autoSpaceDN/>
              <w:bidi w:val="0"/>
              <w:adjustRightInd w:val="0"/>
              <w:snapToGrid w:val="0"/>
              <w:spacing w:before="190" w:beforeLines="50"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（3）锌平衡</w:t>
            </w:r>
          </w:p>
          <w:p w14:paraId="653F3BD2">
            <w:pPr>
              <w:keepNext w:val="0"/>
              <w:keepLines w:val="0"/>
              <w:pageBreakBefore w:val="0"/>
              <w:widowControl w:val="0"/>
              <w:numPr>
                <w:ilvl w:val="255"/>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采用锌磷化液，氧化锌13~17%，本次评价取中间值氧化锌15%。磷化后清洗工段所清洗下的磷化液约占磷化液总用量的2%~5%，本次评价以2.5%计。污水处理站锌处理效率以98%计，则项目废水污染物中锌平衡情况见下表。</w:t>
            </w:r>
          </w:p>
          <w:p w14:paraId="6D4EE674">
            <w:pPr>
              <w:keepNext w:val="0"/>
              <w:keepLines w:val="0"/>
              <w:pageBreakBefore w:val="0"/>
              <w:widowControl w:val="0"/>
              <w:numPr>
                <w:ilvl w:val="255"/>
                <w:numId w:val="0"/>
              </w:numPr>
              <w:kinsoku/>
              <w:wordWrap/>
              <w:overflowPunct/>
              <w:topLinePunct w:val="0"/>
              <w:autoSpaceDE/>
              <w:autoSpaceDN/>
              <w:bidi w:val="0"/>
              <w:adjustRightInd/>
              <w:snapToGrid w:val="0"/>
              <w:spacing w:before="77" w:beforeLines="20" w:after="77" w:afterLines="20"/>
              <w:jc w:val="center"/>
              <w:textAlignment w:val="auto"/>
              <w:rPr>
                <w:rFonts w:hint="default" w:ascii="Times New Roman" w:hAnsi="Times New Roman" w:eastAsia="黑体" w:cs="Times New Roman"/>
                <w:color w:val="auto"/>
                <w:sz w:val="24"/>
                <w:szCs w:val="24"/>
                <w:lang w:val="en-US" w:eastAsia="zh-CN"/>
              </w:rPr>
            </w:pPr>
            <w:r>
              <w:rPr>
                <w:rFonts w:hint="default" w:ascii="Times New Roman" w:hAnsi="Times New Roman" w:eastAsia="黑体" w:cs="Times New Roman"/>
                <w:color w:val="auto"/>
                <w:sz w:val="24"/>
                <w:szCs w:val="24"/>
                <w:lang w:val="en-US" w:eastAsia="zh-CN"/>
              </w:rPr>
              <w:t xml:space="preserve">表2.2-14 </w:t>
            </w:r>
            <w:r>
              <w:rPr>
                <w:rFonts w:hint="eastAsia" w:ascii="Times New Roman" w:hAnsi="Times New Roman" w:eastAsia="黑体" w:cs="Times New Roman"/>
                <w:color w:val="auto"/>
                <w:sz w:val="24"/>
                <w:szCs w:val="24"/>
                <w:lang w:val="en-US" w:eastAsia="zh-CN"/>
              </w:rPr>
              <w:t xml:space="preserve"> </w:t>
            </w:r>
            <w:r>
              <w:rPr>
                <w:rFonts w:hint="default" w:ascii="Times New Roman" w:hAnsi="Times New Roman" w:eastAsia="黑体" w:cs="Times New Roman"/>
                <w:color w:val="auto"/>
                <w:sz w:val="24"/>
                <w:szCs w:val="24"/>
                <w:lang w:val="en-US" w:eastAsia="zh-CN"/>
              </w:rPr>
              <w:t>锌元素平衡表</w:t>
            </w:r>
          </w:p>
          <w:tbl>
            <w:tblPr>
              <w:tblStyle w:val="3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795"/>
              <w:gridCol w:w="1046"/>
              <w:gridCol w:w="1471"/>
              <w:gridCol w:w="1376"/>
              <w:gridCol w:w="711"/>
              <w:gridCol w:w="1861"/>
              <w:gridCol w:w="1393"/>
            </w:tblGrid>
            <w:tr w14:paraId="398E2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2708" w:type="pct"/>
                  <w:gridSpan w:val="4"/>
                  <w:tcBorders>
                    <w:tl2br w:val="nil"/>
                    <w:tr2bl w:val="nil"/>
                  </w:tcBorders>
                  <w:shd w:val="clear" w:color="auto" w:fill="auto"/>
                  <w:noWrap/>
                  <w:vAlign w:val="center"/>
                </w:tcPr>
                <w:p w14:paraId="404B273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输入</w:t>
                  </w:r>
                </w:p>
              </w:tc>
              <w:tc>
                <w:tcPr>
                  <w:tcW w:w="2291" w:type="pct"/>
                  <w:gridSpan w:val="3"/>
                  <w:tcBorders>
                    <w:tl2br w:val="nil"/>
                    <w:tr2bl w:val="nil"/>
                  </w:tcBorders>
                  <w:shd w:val="clear" w:color="auto" w:fill="auto"/>
                  <w:noWrap/>
                  <w:vAlign w:val="center"/>
                </w:tcPr>
                <w:p w14:paraId="08AA70B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输出</w:t>
                  </w:r>
                </w:p>
              </w:tc>
            </w:tr>
            <w:tr w14:paraId="5588E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459" w:type="pct"/>
                  <w:tcBorders>
                    <w:tl2br w:val="nil"/>
                    <w:tr2bl w:val="nil"/>
                  </w:tcBorders>
                  <w:shd w:val="clear" w:color="auto" w:fill="auto"/>
                  <w:vAlign w:val="center"/>
                </w:tcPr>
                <w:p w14:paraId="1C392FA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序号</w:t>
                  </w:r>
                </w:p>
              </w:tc>
              <w:tc>
                <w:tcPr>
                  <w:tcW w:w="603" w:type="pct"/>
                  <w:tcBorders>
                    <w:tl2br w:val="nil"/>
                    <w:tr2bl w:val="nil"/>
                  </w:tcBorders>
                  <w:shd w:val="clear" w:color="auto" w:fill="auto"/>
                  <w:vAlign w:val="center"/>
                </w:tcPr>
                <w:p w14:paraId="28B6725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项目</w:t>
                  </w:r>
                </w:p>
              </w:tc>
              <w:tc>
                <w:tcPr>
                  <w:tcW w:w="850" w:type="pct"/>
                  <w:tcBorders>
                    <w:tl2br w:val="nil"/>
                    <w:tr2bl w:val="nil"/>
                  </w:tcBorders>
                  <w:shd w:val="clear" w:color="auto" w:fill="auto"/>
                  <w:vAlign w:val="center"/>
                </w:tcPr>
                <w:p w14:paraId="61E03C6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原料用量t/d</w:t>
                  </w:r>
                </w:p>
              </w:tc>
              <w:tc>
                <w:tcPr>
                  <w:tcW w:w="795" w:type="pct"/>
                  <w:tcBorders>
                    <w:tl2br w:val="nil"/>
                    <w:tr2bl w:val="nil"/>
                  </w:tcBorders>
                  <w:shd w:val="clear" w:color="auto" w:fill="auto"/>
                  <w:noWrap/>
                  <w:vAlign w:val="center"/>
                </w:tcPr>
                <w:p w14:paraId="383BE6E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锌含量t/d</w:t>
                  </w:r>
                </w:p>
              </w:tc>
              <w:tc>
                <w:tcPr>
                  <w:tcW w:w="411" w:type="pct"/>
                  <w:tcBorders>
                    <w:tl2br w:val="nil"/>
                    <w:tr2bl w:val="nil"/>
                  </w:tcBorders>
                  <w:shd w:val="clear" w:color="auto" w:fill="auto"/>
                  <w:vAlign w:val="center"/>
                </w:tcPr>
                <w:p w14:paraId="4CCE16A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序号</w:t>
                  </w:r>
                </w:p>
              </w:tc>
              <w:tc>
                <w:tcPr>
                  <w:tcW w:w="1074" w:type="pct"/>
                  <w:tcBorders>
                    <w:tl2br w:val="nil"/>
                    <w:tr2bl w:val="nil"/>
                  </w:tcBorders>
                  <w:shd w:val="clear" w:color="auto" w:fill="auto"/>
                  <w:vAlign w:val="center"/>
                </w:tcPr>
                <w:p w14:paraId="50DCF86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项目</w:t>
                  </w:r>
                </w:p>
              </w:tc>
              <w:tc>
                <w:tcPr>
                  <w:tcW w:w="805" w:type="pct"/>
                  <w:tcBorders>
                    <w:tl2br w:val="nil"/>
                    <w:tr2bl w:val="nil"/>
                  </w:tcBorders>
                  <w:shd w:val="clear" w:color="auto" w:fill="auto"/>
                  <w:noWrap/>
                  <w:vAlign w:val="center"/>
                </w:tcPr>
                <w:p w14:paraId="321F43C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锌含量t/d</w:t>
                  </w:r>
                </w:p>
              </w:tc>
            </w:tr>
            <w:tr w14:paraId="5D405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459" w:type="pct"/>
                  <w:tcBorders>
                    <w:tl2br w:val="nil"/>
                    <w:tr2bl w:val="nil"/>
                  </w:tcBorders>
                  <w:shd w:val="clear" w:color="auto" w:fill="auto"/>
                  <w:noWrap/>
                  <w:vAlign w:val="center"/>
                </w:tcPr>
                <w:p w14:paraId="5705B15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603" w:type="pct"/>
                  <w:tcBorders>
                    <w:tl2br w:val="nil"/>
                    <w:tr2bl w:val="nil"/>
                  </w:tcBorders>
                  <w:shd w:val="clear" w:color="auto" w:fill="auto"/>
                  <w:noWrap/>
                  <w:vAlign w:val="center"/>
                </w:tcPr>
                <w:p w14:paraId="598DDEE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磷化液</w:t>
                  </w:r>
                </w:p>
              </w:tc>
              <w:tc>
                <w:tcPr>
                  <w:tcW w:w="850" w:type="pct"/>
                  <w:tcBorders>
                    <w:tl2br w:val="nil"/>
                    <w:tr2bl w:val="nil"/>
                  </w:tcBorders>
                  <w:shd w:val="clear" w:color="auto" w:fill="auto"/>
                  <w:noWrap/>
                  <w:vAlign w:val="center"/>
                </w:tcPr>
                <w:p w14:paraId="0AF7F17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600</w:t>
                  </w:r>
                </w:p>
              </w:tc>
              <w:tc>
                <w:tcPr>
                  <w:tcW w:w="795" w:type="pct"/>
                  <w:tcBorders>
                    <w:tl2br w:val="nil"/>
                    <w:tr2bl w:val="nil"/>
                  </w:tcBorders>
                  <w:shd w:val="clear" w:color="auto" w:fill="auto"/>
                  <w:noWrap/>
                  <w:vAlign w:val="center"/>
                </w:tcPr>
                <w:p w14:paraId="20DE832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72.32</w:t>
                  </w:r>
                </w:p>
              </w:tc>
              <w:tc>
                <w:tcPr>
                  <w:tcW w:w="411" w:type="pct"/>
                  <w:tcBorders>
                    <w:tl2br w:val="nil"/>
                    <w:tr2bl w:val="nil"/>
                  </w:tcBorders>
                  <w:shd w:val="clear" w:color="auto" w:fill="auto"/>
                  <w:noWrap/>
                  <w:vAlign w:val="center"/>
                </w:tcPr>
                <w:p w14:paraId="07F9A75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1074" w:type="pct"/>
                  <w:tcBorders>
                    <w:tl2br w:val="nil"/>
                    <w:tr2bl w:val="nil"/>
                  </w:tcBorders>
                  <w:shd w:val="clear" w:color="auto" w:fill="auto"/>
                  <w:noWrap/>
                  <w:vAlign w:val="center"/>
                </w:tcPr>
                <w:p w14:paraId="29CE654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废水中锌</w:t>
                  </w:r>
                </w:p>
              </w:tc>
              <w:tc>
                <w:tcPr>
                  <w:tcW w:w="805" w:type="pct"/>
                  <w:tcBorders>
                    <w:tl2br w:val="nil"/>
                    <w:tr2bl w:val="nil"/>
                  </w:tcBorders>
                  <w:shd w:val="clear" w:color="auto" w:fill="auto"/>
                  <w:noWrap/>
                  <w:vAlign w:val="center"/>
                </w:tcPr>
                <w:p w14:paraId="26FBF12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0.04</w:t>
                  </w:r>
                </w:p>
              </w:tc>
            </w:tr>
            <w:tr w14:paraId="72023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9" w:type="pct"/>
                  <w:tcBorders>
                    <w:tl2br w:val="nil"/>
                    <w:tr2bl w:val="nil"/>
                  </w:tcBorders>
                  <w:shd w:val="clear" w:color="auto" w:fill="auto"/>
                  <w:noWrap/>
                  <w:vAlign w:val="center"/>
                </w:tcPr>
                <w:p w14:paraId="5DE9C01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603" w:type="pct"/>
                  <w:tcBorders>
                    <w:tl2br w:val="nil"/>
                    <w:tr2bl w:val="nil"/>
                  </w:tcBorders>
                  <w:shd w:val="clear" w:color="auto" w:fill="auto"/>
                  <w:noWrap/>
                  <w:vAlign w:val="center"/>
                </w:tcPr>
                <w:p w14:paraId="5CDA21A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850" w:type="pct"/>
                  <w:tcBorders>
                    <w:tl2br w:val="nil"/>
                    <w:tr2bl w:val="nil"/>
                  </w:tcBorders>
                  <w:shd w:val="clear" w:color="auto" w:fill="auto"/>
                  <w:noWrap/>
                  <w:vAlign w:val="center"/>
                </w:tcPr>
                <w:p w14:paraId="5206F16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795" w:type="pct"/>
                  <w:tcBorders>
                    <w:tl2br w:val="nil"/>
                    <w:tr2bl w:val="nil"/>
                  </w:tcBorders>
                  <w:shd w:val="clear" w:color="auto" w:fill="auto"/>
                  <w:noWrap/>
                  <w:vAlign w:val="center"/>
                </w:tcPr>
                <w:p w14:paraId="5544E80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411" w:type="pct"/>
                  <w:tcBorders>
                    <w:tl2br w:val="nil"/>
                    <w:tr2bl w:val="nil"/>
                  </w:tcBorders>
                  <w:shd w:val="clear" w:color="auto" w:fill="auto"/>
                  <w:noWrap/>
                  <w:vAlign w:val="center"/>
                </w:tcPr>
                <w:p w14:paraId="3791F39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1074" w:type="pct"/>
                  <w:tcBorders>
                    <w:tl2br w:val="nil"/>
                    <w:tr2bl w:val="nil"/>
                  </w:tcBorders>
                  <w:shd w:val="clear" w:color="auto" w:fill="auto"/>
                  <w:noWrap/>
                  <w:vAlign w:val="center"/>
                </w:tcPr>
                <w:p w14:paraId="4E704DA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污泥含锌</w:t>
                  </w:r>
                </w:p>
              </w:tc>
              <w:tc>
                <w:tcPr>
                  <w:tcW w:w="805" w:type="pct"/>
                  <w:tcBorders>
                    <w:tl2br w:val="nil"/>
                    <w:tr2bl w:val="nil"/>
                  </w:tcBorders>
                  <w:shd w:val="clear" w:color="auto" w:fill="auto"/>
                  <w:noWrap/>
                  <w:vAlign w:val="center"/>
                </w:tcPr>
                <w:p w14:paraId="1A31B49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1.77</w:t>
                  </w:r>
                </w:p>
              </w:tc>
            </w:tr>
            <w:tr w14:paraId="4D1D1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459" w:type="pct"/>
                  <w:tcBorders>
                    <w:tl2br w:val="nil"/>
                    <w:tr2bl w:val="nil"/>
                  </w:tcBorders>
                  <w:shd w:val="clear" w:color="auto" w:fill="auto"/>
                  <w:noWrap/>
                  <w:vAlign w:val="center"/>
                </w:tcPr>
                <w:p w14:paraId="4BC0151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603" w:type="pct"/>
                  <w:tcBorders>
                    <w:tl2br w:val="nil"/>
                    <w:tr2bl w:val="nil"/>
                  </w:tcBorders>
                  <w:shd w:val="clear" w:color="auto" w:fill="auto"/>
                  <w:noWrap/>
                  <w:vAlign w:val="center"/>
                </w:tcPr>
                <w:p w14:paraId="1E4EDA7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850" w:type="pct"/>
                  <w:tcBorders>
                    <w:tl2br w:val="nil"/>
                    <w:tr2bl w:val="nil"/>
                  </w:tcBorders>
                  <w:shd w:val="clear" w:color="auto" w:fill="auto"/>
                  <w:noWrap/>
                  <w:vAlign w:val="center"/>
                </w:tcPr>
                <w:p w14:paraId="4CCBDDF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795" w:type="pct"/>
                  <w:tcBorders>
                    <w:tl2br w:val="nil"/>
                    <w:tr2bl w:val="nil"/>
                  </w:tcBorders>
                  <w:shd w:val="clear" w:color="auto" w:fill="auto"/>
                  <w:noWrap/>
                  <w:vAlign w:val="center"/>
                </w:tcPr>
                <w:p w14:paraId="5819E0B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411" w:type="pct"/>
                  <w:tcBorders>
                    <w:tl2br w:val="nil"/>
                    <w:tr2bl w:val="nil"/>
                  </w:tcBorders>
                  <w:shd w:val="clear" w:color="auto" w:fill="auto"/>
                  <w:noWrap/>
                  <w:vAlign w:val="center"/>
                </w:tcPr>
                <w:p w14:paraId="5CB78A9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1074" w:type="pct"/>
                  <w:tcBorders>
                    <w:tl2br w:val="nil"/>
                    <w:tr2bl w:val="nil"/>
                  </w:tcBorders>
                  <w:shd w:val="clear" w:color="auto" w:fill="auto"/>
                  <w:vAlign w:val="center"/>
                </w:tcPr>
                <w:p w14:paraId="0869E22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工件</w:t>
                  </w:r>
                  <w:r>
                    <w:rPr>
                      <w:rFonts w:hint="default" w:ascii="Times New Roman" w:hAnsi="Times New Roman" w:eastAsia="Segoe UI"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磷渣带出锌</w:t>
                  </w:r>
                </w:p>
              </w:tc>
              <w:tc>
                <w:tcPr>
                  <w:tcW w:w="805" w:type="pct"/>
                  <w:tcBorders>
                    <w:tl2br w:val="nil"/>
                    <w:tr2bl w:val="nil"/>
                  </w:tcBorders>
                  <w:shd w:val="clear" w:color="auto" w:fill="auto"/>
                  <w:noWrap/>
                  <w:vAlign w:val="center"/>
                </w:tcPr>
                <w:p w14:paraId="4738D0F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70.51</w:t>
                  </w:r>
                </w:p>
              </w:tc>
            </w:tr>
            <w:tr w14:paraId="1855C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1063" w:type="pct"/>
                  <w:gridSpan w:val="2"/>
                  <w:tcBorders>
                    <w:tl2br w:val="nil"/>
                    <w:tr2bl w:val="nil"/>
                  </w:tcBorders>
                  <w:shd w:val="clear" w:color="auto" w:fill="auto"/>
                  <w:vAlign w:val="center"/>
                </w:tcPr>
                <w:p w14:paraId="3200CF8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合计</w:t>
                  </w:r>
                </w:p>
              </w:tc>
              <w:tc>
                <w:tcPr>
                  <w:tcW w:w="850" w:type="pct"/>
                  <w:tcBorders>
                    <w:tl2br w:val="nil"/>
                    <w:tr2bl w:val="nil"/>
                  </w:tcBorders>
                  <w:shd w:val="clear" w:color="auto" w:fill="auto"/>
                  <w:noWrap/>
                  <w:vAlign w:val="center"/>
                </w:tcPr>
                <w:p w14:paraId="4C640D3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795" w:type="pct"/>
                  <w:tcBorders>
                    <w:tl2br w:val="nil"/>
                    <w:tr2bl w:val="nil"/>
                  </w:tcBorders>
                  <w:shd w:val="clear" w:color="auto" w:fill="auto"/>
                  <w:noWrap/>
                  <w:vAlign w:val="center"/>
                </w:tcPr>
                <w:p w14:paraId="33A7193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72.32</w:t>
                  </w:r>
                </w:p>
              </w:tc>
              <w:tc>
                <w:tcPr>
                  <w:tcW w:w="1486" w:type="pct"/>
                  <w:gridSpan w:val="2"/>
                  <w:tcBorders>
                    <w:tl2br w:val="nil"/>
                    <w:tr2bl w:val="nil"/>
                  </w:tcBorders>
                  <w:shd w:val="clear" w:color="auto" w:fill="auto"/>
                  <w:noWrap/>
                  <w:vAlign w:val="center"/>
                </w:tcPr>
                <w:p w14:paraId="5FFB3E3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合计</w:t>
                  </w:r>
                </w:p>
              </w:tc>
              <w:tc>
                <w:tcPr>
                  <w:tcW w:w="805" w:type="pct"/>
                  <w:tcBorders>
                    <w:tl2br w:val="nil"/>
                    <w:tr2bl w:val="nil"/>
                  </w:tcBorders>
                  <w:shd w:val="clear" w:color="auto" w:fill="auto"/>
                  <w:noWrap/>
                  <w:vAlign w:val="center"/>
                </w:tcPr>
                <w:p w14:paraId="3F3B0AF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72.32</w:t>
                  </w:r>
                </w:p>
              </w:tc>
            </w:tr>
          </w:tbl>
          <w:p w14:paraId="43DE84AC">
            <w:pPr>
              <w:pStyle w:val="5"/>
              <w:keepNext w:val="0"/>
              <w:keepLines w:val="0"/>
              <w:pageBreakBefore w:val="0"/>
              <w:widowControl w:val="0"/>
              <w:kinsoku/>
              <w:wordWrap/>
              <w:overflowPunct/>
              <w:topLinePunct w:val="0"/>
              <w:autoSpaceDE/>
              <w:autoSpaceDN/>
              <w:bidi w:val="0"/>
              <w:adjustRightInd w:val="0"/>
              <w:snapToGrid w:val="0"/>
              <w:spacing w:before="115" w:beforeLines="30" w:after="189" w:afterLines="50" w:afterAutospacing="0" w:line="240" w:lineRule="auto"/>
              <w:textAlignment w:val="auto"/>
              <w:rPr>
                <w:rFonts w:hint="default" w:ascii="Times New Roman" w:hAnsi="Times New Roman" w:cs="Times New Roman"/>
                <w:color w:val="auto"/>
              </w:rPr>
            </w:pPr>
            <w:r>
              <w:rPr>
                <w:rFonts w:hint="default" w:ascii="Times New Roman" w:hAnsi="Times New Roman" w:cs="Times New Roman"/>
                <w:color w:val="auto"/>
              </w:rPr>
              <w:t>2.2.9总平布置</w:t>
            </w:r>
          </w:p>
          <w:p w14:paraId="1D99F286">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本项目建设于福建省明光新型材料有限公司厂区红线范围内，利用现有4#生产车间厂房</w:t>
            </w:r>
            <w:r>
              <w:rPr>
                <w:rFonts w:hint="default" w:ascii="Times New Roman" w:hAnsi="Times New Roman" w:cs="Times New Roman"/>
                <w:bCs/>
                <w:color w:val="auto"/>
                <w:sz w:val="24"/>
              </w:rPr>
              <w:t>进行改扩建</w:t>
            </w:r>
            <w:r>
              <w:rPr>
                <w:rFonts w:hint="default" w:ascii="Times New Roman" w:hAnsi="Times New Roman" w:cs="Times New Roman"/>
                <w:color w:val="auto"/>
                <w:sz w:val="24"/>
              </w:rPr>
              <w:t>，并将4#生产车间往南侧</w:t>
            </w:r>
            <w:r>
              <w:rPr>
                <w:rFonts w:hint="default" w:ascii="Times New Roman" w:hAnsi="Times New Roman" w:cs="Times New Roman"/>
                <w:bCs/>
                <w:color w:val="auto"/>
                <w:sz w:val="24"/>
              </w:rPr>
              <w:t>扩</w:t>
            </w:r>
            <w:r>
              <w:rPr>
                <w:rFonts w:hint="default" w:ascii="Times New Roman" w:hAnsi="Times New Roman" w:cs="Times New Roman"/>
                <w:color w:val="auto"/>
                <w:sz w:val="24"/>
              </w:rPr>
              <w:t>建厂房</w:t>
            </w:r>
            <w:r>
              <w:rPr>
                <w:rFonts w:hint="default" w:ascii="Times New Roman" w:hAnsi="Times New Roman" w:cs="Times New Roman"/>
                <w:bCs/>
                <w:color w:val="auto"/>
                <w:sz w:val="24"/>
              </w:rPr>
              <w:t>。依据工艺技术路线及便于物流转运进行工艺设备布置；供配电设施、蒸汽发生器、酸罐设施、污水处理设施、酸雾净化等靠近使用设备设施就近布置。</w:t>
            </w:r>
          </w:p>
          <w:p w14:paraId="5B23AE52">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现有厂区道路围绕主要建构筑物呈环状布置，其结构形式采用城市型混凝土路面，道路路面宽度为9m，道路转弯半径为9m，可以满足不同运输车辆行驶的性能要求。</w:t>
            </w:r>
          </w:p>
          <w:p w14:paraId="2A308EA4">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项目总平布置满足工艺生产流程要求，符合运输、消防、卫生、施工等规范或规定，全面地将所有生产装置、建构筑物、运输道路、管线等进行合理布置。</w:t>
            </w:r>
          </w:p>
          <w:p w14:paraId="06D51EA1">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rPr>
              <w:t>厂区地理位置具体见附图一，雨污管网走向及全厂总平布置见</w:t>
            </w:r>
            <w:r>
              <w:rPr>
                <w:rFonts w:hint="default" w:ascii="Times New Roman" w:hAnsi="Times New Roman" w:cs="Times New Roman"/>
                <w:color w:val="auto"/>
                <w:sz w:val="24"/>
                <w:highlight w:val="none"/>
              </w:rPr>
              <w:t>附图</w:t>
            </w:r>
            <w:r>
              <w:rPr>
                <w:rFonts w:hint="default" w:ascii="Times New Roman" w:hAnsi="Times New Roman" w:cs="Times New Roman"/>
                <w:color w:val="auto"/>
                <w:sz w:val="24"/>
                <w:highlight w:val="none"/>
                <w:lang w:val="en-US" w:eastAsia="zh-CN"/>
              </w:rPr>
              <w:t>七</w:t>
            </w:r>
            <w:r>
              <w:rPr>
                <w:rFonts w:hint="default" w:ascii="Times New Roman" w:hAnsi="Times New Roman" w:cs="Times New Roman"/>
                <w:color w:val="auto"/>
                <w:sz w:val="24"/>
                <w:highlight w:val="none"/>
              </w:rPr>
              <w:t>，周边环境及厂区现状和周边敏感目标分布见附图</w:t>
            </w:r>
            <w:r>
              <w:rPr>
                <w:rFonts w:hint="default" w:ascii="Times New Roman" w:hAnsi="Times New Roman" w:cs="Times New Roman"/>
                <w:color w:val="auto"/>
                <w:sz w:val="24"/>
                <w:highlight w:val="none"/>
                <w:lang w:val="en-US" w:eastAsia="zh-CN"/>
              </w:rPr>
              <w:t>九</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十</w:t>
            </w:r>
            <w:r>
              <w:rPr>
                <w:rFonts w:hint="default" w:ascii="Times New Roman" w:hAnsi="Times New Roman" w:cs="Times New Roman"/>
                <w:color w:val="auto"/>
                <w:sz w:val="24"/>
                <w:highlight w:val="none"/>
              </w:rPr>
              <w:t>。</w:t>
            </w:r>
          </w:p>
          <w:p w14:paraId="6373B1BC">
            <w:pPr>
              <w:bidi w:val="0"/>
              <w:rPr>
                <w:rFonts w:hint="default"/>
                <w:color w:val="auto"/>
              </w:rPr>
            </w:pPr>
          </w:p>
        </w:tc>
      </w:tr>
      <w:tr w14:paraId="251903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56" w:hRule="atLeast"/>
          <w:jc w:val="center"/>
        </w:trPr>
        <w:tc>
          <w:tcPr>
            <w:tcW w:w="197" w:type="pct"/>
            <w:vAlign w:val="center"/>
          </w:tcPr>
          <w:p w14:paraId="26C5A5CD">
            <w:pPr>
              <w:pStyle w:val="30"/>
              <w:widowControl w:val="0"/>
              <w:adjustRightInd w:val="0"/>
              <w:spacing w:before="0" w:beforeAutospacing="0" w:after="0" w:afterAutospacing="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工艺流程和产排污环节</w:t>
            </w:r>
          </w:p>
        </w:tc>
        <w:tc>
          <w:tcPr>
            <w:tcW w:w="4802" w:type="pct"/>
          </w:tcPr>
          <w:p w14:paraId="60EE96BA">
            <w:pPr>
              <w:pStyle w:val="4"/>
              <w:keepNext/>
              <w:keepLines w:val="0"/>
              <w:pageBreakBefore w:val="0"/>
              <w:widowControl w:val="0"/>
              <w:kinsoku/>
              <w:wordWrap/>
              <w:overflowPunct/>
              <w:topLinePunct w:val="0"/>
              <w:autoSpaceDE/>
              <w:autoSpaceDN/>
              <w:bidi w:val="0"/>
              <w:adjustRightInd w:val="0"/>
              <w:snapToGrid w:val="0"/>
              <w:spacing w:before="190" w:beforeLines="50" w:after="264" w:afterLines="70"/>
              <w:textAlignment w:val="auto"/>
              <w:rPr>
                <w:rFonts w:hint="default" w:ascii="Times New Roman" w:hAnsi="Times New Roman" w:cs="Times New Roman"/>
                <w:snapToGrid/>
                <w:color w:val="auto"/>
                <w:szCs w:val="30"/>
              </w:rPr>
            </w:pPr>
            <w:bookmarkStart w:id="99" w:name="_Toc9039"/>
            <w:bookmarkStart w:id="100" w:name="_Toc9741"/>
            <w:bookmarkStart w:id="101" w:name="_Toc8379"/>
            <w:bookmarkStart w:id="102" w:name="_Toc22815"/>
            <w:bookmarkStart w:id="103" w:name="_Toc1698"/>
            <w:bookmarkStart w:id="104" w:name="_Toc1722"/>
            <w:bookmarkStart w:id="105" w:name="_Toc28031"/>
            <w:bookmarkStart w:id="106" w:name="_Toc3593"/>
            <w:bookmarkStart w:id="107" w:name="_Toc17223"/>
            <w:bookmarkStart w:id="108" w:name="_Toc5776"/>
            <w:bookmarkStart w:id="109" w:name="_Toc2082"/>
            <w:bookmarkStart w:id="110" w:name="_Toc26879"/>
            <w:r>
              <w:rPr>
                <w:rFonts w:hint="default" w:ascii="Times New Roman" w:hAnsi="Times New Roman" w:cs="Times New Roman"/>
                <w:snapToGrid/>
                <w:color w:val="auto"/>
                <w:szCs w:val="30"/>
              </w:rPr>
              <w:t>2.3生产工艺及产污环节</w:t>
            </w:r>
            <w:bookmarkEnd w:id="99"/>
            <w:bookmarkEnd w:id="100"/>
            <w:bookmarkEnd w:id="101"/>
            <w:bookmarkEnd w:id="102"/>
            <w:bookmarkEnd w:id="103"/>
            <w:bookmarkEnd w:id="104"/>
            <w:bookmarkEnd w:id="105"/>
          </w:p>
          <w:p w14:paraId="508009B2">
            <w:pPr>
              <w:pStyle w:val="5"/>
              <w:spacing w:beforeLines="0" w:after="0" w:afterAutospacing="0"/>
              <w:ind w:firstLine="480" w:firstLineChars="200"/>
              <w:rPr>
                <w:rFonts w:hint="default" w:ascii="Times New Roman" w:hAnsi="Times New Roman" w:eastAsia="宋体" w:cs="Times New Roman"/>
                <w:snapToGrid/>
                <w:color w:val="auto"/>
                <w:sz w:val="24"/>
              </w:rPr>
            </w:pPr>
            <w:r>
              <w:rPr>
                <w:rFonts w:hint="default" w:ascii="Times New Roman" w:hAnsi="Times New Roman" w:eastAsia="宋体" w:cs="Times New Roman"/>
                <w:snapToGrid/>
                <w:color w:val="auto"/>
                <w:sz w:val="24"/>
              </w:rPr>
              <w:t>本工艺以热轧线材/盘条为原料，进厂的原料由汽车直接拉到原料库内存放，本项目根据订单要求进行生产，通过两条并行生产线（表面处理为主生产线、机械加工为备用线）完成线材生产，最终产出合格成品并包装入库。两条生产线均服务于后续拉拔工序，其中表面处理生产线以酸洗磷化为核心，备用线以机械除锈+打磨为核心。</w:t>
            </w:r>
          </w:p>
          <w:p w14:paraId="686BEF92">
            <w:pPr>
              <w:pStyle w:val="5"/>
              <w:spacing w:before="189" w:after="189" w:afterLines="50" w:afterAutospacing="0" w:line="240" w:lineRule="auto"/>
              <w:rPr>
                <w:rFonts w:hint="default" w:ascii="Times New Roman" w:hAnsi="Times New Roman" w:cs="Times New Roman"/>
                <w:color w:val="auto"/>
              </w:rPr>
            </w:pPr>
            <w:r>
              <w:rPr>
                <w:rFonts w:hint="default" w:ascii="Times New Roman" w:hAnsi="Times New Roman" w:cs="Times New Roman"/>
                <w:color w:val="auto"/>
              </w:rPr>
              <w:t>2.3.1主体生产工艺流程</w:t>
            </w:r>
          </w:p>
          <w:p w14:paraId="4F87B8BF">
            <w:pPr>
              <w:numPr>
                <w:ilvl w:val="0"/>
                <w:numId w:val="13"/>
              </w:num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原料准备阶段：外购热轧线材/盘条通过旋转放线装置开卷，同时完成规格、外观质量验收，确认原料符合生产要求。</w:t>
            </w:r>
          </w:p>
          <w:p w14:paraId="306DB8EC">
            <w:pPr>
              <w:numPr>
                <w:ilvl w:val="0"/>
                <w:numId w:val="13"/>
              </w:num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机械加工（备用线）：经检验合格的原料用行车吊到放线架上，进入机械除锈、打磨设备，通过机械方式去除线材表面氧化铁皮，优化表面粗糙度。</w:t>
            </w:r>
          </w:p>
          <w:p w14:paraId="4AF4576D">
            <w:pPr>
              <w:numPr>
                <w:ilvl w:val="0"/>
                <w:numId w:val="13"/>
              </w:num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拉拔成型：经表面处理或机械去锈、打磨后的线材，加入拉丝润滑粉进入定径机，进行拉拔减径，按工艺要求，其压缩率小于25％，在拉拔过程中，润滑粉在高压和高温下，会在钢丝表面形成一层极薄的、致密的固体润滑膜，附着于产品表面，最终使线材达到目标直径和力学性能要求。</w:t>
            </w:r>
          </w:p>
          <w:p w14:paraId="6A5C8F25">
            <w:pPr>
              <w:adjustRightInd w:val="0"/>
              <w:snapToGrid w:val="0"/>
              <w:spacing w:line="360" w:lineRule="auto"/>
              <w:ind w:firstLine="480" w:firstLineChars="200"/>
              <w:rPr>
                <w:rFonts w:hint="default" w:ascii="Times New Roman" w:hAnsi="Times New Roman" w:cs="Times New Roman"/>
                <w:b/>
                <w:bCs/>
                <w:color w:val="auto"/>
                <w:sz w:val="24"/>
              </w:rPr>
            </w:pPr>
            <w:r>
              <w:rPr>
                <w:rFonts w:hint="default" w:ascii="Times New Roman" w:hAnsi="Times New Roman" w:cs="Times New Roman"/>
                <w:color w:val="auto"/>
                <w:sz w:val="24"/>
              </w:rPr>
              <w:t>（4）成品检验与入库：根据用户要求，收成合适大小及重量的盘卷，然后通过打捆机架和打捆机进行打捆，最后经检验、称重、标牌、包装，入库待发。</w:t>
            </w:r>
          </w:p>
          <w:p w14:paraId="47E8A75F">
            <w:pPr>
              <w:pStyle w:val="15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rPr>
            </w:pPr>
            <w:r>
              <w:rPr>
                <w:rFonts w:hint="default" w:ascii="Times New Roman" w:hAnsi="Times New Roman" w:cs="Times New Roman"/>
                <w:color w:val="auto"/>
              </w:rPr>
              <w:t>项目的生产工艺及产污环节见图</w:t>
            </w:r>
            <w:r>
              <w:rPr>
                <w:rFonts w:hint="default" w:ascii="Times New Roman" w:hAnsi="Times New Roman" w:cs="Times New Roman"/>
                <w:color w:val="auto"/>
                <w:szCs w:val="24"/>
              </w:rPr>
              <w:t>2.3-1</w:t>
            </w:r>
            <w:r>
              <w:rPr>
                <w:rFonts w:hint="default" w:ascii="Times New Roman" w:hAnsi="Times New Roman" w:cs="Times New Roman"/>
                <w:color w:val="auto"/>
              </w:rPr>
              <w:t>。</w:t>
            </w:r>
          </w:p>
          <w:p w14:paraId="04ECF7DC">
            <w:pPr>
              <w:pStyle w:val="156"/>
              <w:ind w:firstLine="0" w:firstLineChars="0"/>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502910" cy="4427855"/>
                  <wp:effectExtent l="0" t="0" r="0" b="0"/>
                  <wp:docPr id="178" name="ECB019B1-382A-4266-B25C-5B523AA43C14-3" descr="C:/Users/Administrator/AppData/Local/Temp/wps.eVILfl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ECB019B1-382A-4266-B25C-5B523AA43C14-3" descr="C:/Users/Administrator/AppData/Local/Temp/wps.eVILflwps"/>
                          <pic:cNvPicPr>
                            <a:picLocks noChangeAspect="1"/>
                          </pic:cNvPicPr>
                        </pic:nvPicPr>
                        <pic:blipFill>
                          <a:blip r:embed="rId18"/>
                          <a:stretch>
                            <a:fillRect/>
                          </a:stretch>
                        </pic:blipFill>
                        <pic:spPr>
                          <a:xfrm>
                            <a:off x="0" y="0"/>
                            <a:ext cx="5502910" cy="4427855"/>
                          </a:xfrm>
                          <a:prstGeom prst="rect">
                            <a:avLst/>
                          </a:prstGeom>
                        </pic:spPr>
                      </pic:pic>
                    </a:graphicData>
                  </a:graphic>
                </wp:inline>
              </w:drawing>
            </w:r>
          </w:p>
          <w:p w14:paraId="19EE2F4B">
            <w:pPr>
              <w:pStyle w:val="129"/>
              <w:keepNext w:val="0"/>
              <w:keepLines w:val="0"/>
              <w:pageBreakBefore w:val="0"/>
              <w:widowControl w:val="0"/>
              <w:kinsoku/>
              <w:wordWrap/>
              <w:overflowPunct/>
              <w:topLinePunct w:val="0"/>
              <w:autoSpaceDE/>
              <w:autoSpaceDN/>
              <w:bidi w:val="0"/>
              <w:adjustRightInd/>
              <w:snapToGrid/>
              <w:spacing w:before="190" w:beforeLines="50" w:after="304" w:afterLines="80"/>
              <w:textAlignment w:val="auto"/>
              <w:rPr>
                <w:rFonts w:hint="default" w:ascii="Times New Roman" w:hAnsi="Times New Roman" w:eastAsia="黑体" w:cs="Times New Roman"/>
                <w:b w:val="0"/>
                <w:color w:val="auto"/>
                <w:kern w:val="2"/>
                <w:sz w:val="24"/>
                <w:szCs w:val="24"/>
                <w:lang w:val="en-US" w:eastAsia="zh-CN" w:bidi="ar-SA"/>
              </w:rPr>
            </w:pPr>
            <w:r>
              <w:rPr>
                <w:rFonts w:hint="default" w:ascii="Times New Roman" w:hAnsi="Times New Roman" w:eastAsia="黑体" w:cs="Times New Roman"/>
                <w:b w:val="0"/>
                <w:color w:val="auto"/>
                <w:kern w:val="2"/>
                <w:sz w:val="24"/>
                <w:szCs w:val="24"/>
                <w:lang w:val="en-US" w:eastAsia="zh-CN" w:bidi="ar-SA"/>
              </w:rPr>
              <w:t>图2.3-1  生产工艺流程及产污环节图</w:t>
            </w:r>
          </w:p>
          <w:p w14:paraId="5D93892F">
            <w:pPr>
              <w:pStyle w:val="129"/>
              <w:keepNext w:val="0"/>
              <w:keepLines w:val="0"/>
              <w:pageBreakBefore w:val="0"/>
              <w:widowControl w:val="0"/>
              <w:kinsoku/>
              <w:wordWrap/>
              <w:overflowPunct/>
              <w:topLinePunct w:val="0"/>
              <w:autoSpaceDE/>
              <w:autoSpaceDN/>
              <w:bidi w:val="0"/>
              <w:adjustRightInd/>
              <w:snapToGrid w:val="0"/>
              <w:spacing w:before="190" w:beforeLines="50" w:after="190" w:afterLines="50"/>
              <w:jc w:val="both"/>
              <w:textAlignment w:val="auto"/>
              <w:outlineLvl w:val="2"/>
              <w:rPr>
                <w:rFonts w:hint="default" w:ascii="Times New Roman" w:hAnsi="Times New Roman" w:eastAsia="黑体" w:cs="Times New Roman"/>
                <w:b w:val="0"/>
                <w:snapToGrid w:val="0"/>
                <w:color w:val="auto"/>
                <w:sz w:val="28"/>
                <w:szCs w:val="24"/>
              </w:rPr>
            </w:pPr>
            <w:r>
              <w:rPr>
                <w:rFonts w:hint="default" w:ascii="Times New Roman" w:hAnsi="Times New Roman" w:eastAsia="黑体" w:cs="Times New Roman"/>
                <w:b w:val="0"/>
                <w:snapToGrid w:val="0"/>
                <w:color w:val="auto"/>
                <w:sz w:val="28"/>
                <w:szCs w:val="24"/>
              </w:rPr>
              <w:t>2.3.2表面处理生产工艺流程</w:t>
            </w:r>
          </w:p>
          <w:p w14:paraId="6EBEE80D">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项目建设1条全封闭环保节能型表面处理生产线，</w:t>
            </w:r>
            <w:r>
              <w:rPr>
                <w:rFonts w:hint="default" w:ascii="Times New Roman" w:hAnsi="Times New Roman" w:cs="Times New Roman"/>
                <w:color w:val="auto"/>
                <w:sz w:val="24"/>
                <w:szCs w:val="24"/>
              </w:rPr>
              <w:t>操作工将吊钩穿入盘条即提起，剪切包装带，装入上料车，启动夹紧装置夹紧盘条，上料车自动送入上料位，机械手自动吊起盘条逐一送到水密封槽、酸洗1、酸洗2、酸洗3、酸洗4、酸洗5、酸洗6、漂洗、冲洗1、表调、磷化、冲洗2、中和、皂化（石灰）、烘干、下料</w:t>
            </w:r>
            <w:r>
              <w:rPr>
                <w:rFonts w:hint="default" w:ascii="Times New Roman" w:hAnsi="Times New Roman" w:cs="Times New Roman" w:eastAsiaTheme="minorEastAsia"/>
                <w:color w:val="auto"/>
                <w:sz w:val="24"/>
                <w:szCs w:val="24"/>
              </w:rPr>
              <w:t>等工序，完成表面处理全过程。</w:t>
            </w:r>
          </w:p>
          <w:p w14:paraId="6DC7CD8E">
            <w:pPr>
              <w:pStyle w:val="10"/>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工艺说明：</w:t>
            </w:r>
          </w:p>
          <w:p w14:paraId="2D3BFEB9">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（1）水密封清洗</w:t>
            </w:r>
          </w:p>
          <w:p w14:paraId="1E71FDC3">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项目原料盘条首先进入水密封清洗槽进行浸洗，以去除盘条表面的杂质，同时可阻止后续酸洗工序的酸雾外逸。浸洗时间约18s，水密封清洗槽底部为斜面，侧面配有排污阀，清洗废水定期外排。</w:t>
            </w:r>
          </w:p>
          <w:p w14:paraId="3D408526">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rPr>
              <w:t>产污分析：该过程会产生清洗废水W2，</w:t>
            </w:r>
            <w:r>
              <w:rPr>
                <w:rFonts w:hint="default" w:ascii="Times New Roman" w:hAnsi="Times New Roman" w:cs="Times New Roman" w:eastAsiaTheme="minorEastAsia"/>
                <w:color w:val="auto"/>
                <w:sz w:val="24"/>
                <w:szCs w:val="24"/>
                <w:highlight w:val="none"/>
              </w:rPr>
              <w:t>排入厂区污水处理站处理。</w:t>
            </w:r>
          </w:p>
          <w:p w14:paraId="67DEA5C6">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（2）酸洗</w:t>
            </w:r>
          </w:p>
          <w:p w14:paraId="59E1655B">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rPr>
              <w:t>酸洗段依靠盐酸的腐蚀作用去除盘条表面氧化层。本项目采用多个不同酸浓度的酸洗槽顺序酸洗，设6个串联且独立的酸洗槽，每个酸洗槽尺寸相同</w:t>
            </w:r>
            <w:r>
              <w:rPr>
                <w:rFonts w:hint="default" w:ascii="Times New Roman" w:hAnsi="Times New Roman" w:cs="Times New Roman" w:eastAsiaTheme="minorEastAsia"/>
                <w:color w:val="auto"/>
                <w:sz w:val="24"/>
                <w:szCs w:val="24"/>
                <w:highlight w:val="none"/>
              </w:rPr>
              <w:t>（</w:t>
            </w:r>
            <w:r>
              <w:rPr>
                <w:rFonts w:hint="default" w:ascii="Times New Roman" w:hAnsi="Times New Roman" w:cs="Times New Roman"/>
                <w:color w:val="auto"/>
                <w:sz w:val="24"/>
                <w:szCs w:val="24"/>
                <w:highlight w:val="none"/>
              </w:rPr>
              <w:t>5m×2.5m×2.5m</w:t>
            </w:r>
            <w:r>
              <w:rPr>
                <w:rFonts w:hint="default" w:ascii="Times New Roman" w:hAnsi="Times New Roman" w:cs="Times New Roman" w:eastAsiaTheme="minorEastAsia"/>
                <w:color w:val="auto"/>
                <w:sz w:val="24"/>
                <w:szCs w:val="24"/>
                <w:highlight w:val="none"/>
              </w:rPr>
              <w:t>），槽内酸液高度约2.2</w:t>
            </w:r>
            <w:r>
              <w:rPr>
                <w:rStyle w:val="159"/>
                <w:rFonts w:hint="default" w:ascii="Times New Roman" w:hAnsi="Times New Roman" w:cs="Times New Roman" w:eastAsiaTheme="minorEastAsia"/>
                <w:color w:val="auto"/>
                <w:sz w:val="24"/>
                <w:szCs w:val="24"/>
                <w:highlight w:val="none"/>
              </w:rPr>
              <w:t>m</w:t>
            </w:r>
            <w:r>
              <w:rPr>
                <w:rFonts w:hint="default" w:ascii="Times New Roman" w:hAnsi="Times New Roman" w:cs="Times New Roman" w:eastAsiaTheme="minorEastAsia"/>
                <w:color w:val="auto"/>
                <w:sz w:val="24"/>
                <w:szCs w:val="24"/>
                <w:highlight w:val="none"/>
              </w:rPr>
              <w:t>。</w:t>
            </w:r>
          </w:p>
          <w:p w14:paraId="20603B85">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为提高表面处理效果，并减少盐酸的使用，项目拟设置分段式酸洗，生产时盘条在悬挂式移动车沿轨道依次通过酸洗槽，盘条浸没在酸液中，基体表面的锈蚀物（金属氧化物）与盐酸发生化学反应而被去除。各酸洗槽工艺参数见下表。</w:t>
            </w:r>
          </w:p>
          <w:p w14:paraId="64FEE555">
            <w:pPr>
              <w:pStyle w:val="10"/>
              <w:keepNext w:val="0"/>
              <w:keepLines w:val="0"/>
              <w:pageBreakBefore w:val="0"/>
              <w:widowControl w:val="0"/>
              <w:kinsoku/>
              <w:wordWrap/>
              <w:overflowPunct/>
              <w:topLinePunct w:val="0"/>
              <w:autoSpaceDE/>
              <w:autoSpaceDN/>
              <w:bidi w:val="0"/>
              <w:adjustRightInd/>
              <w:snapToGrid w:val="0"/>
              <w:spacing w:before="115" w:beforeLines="30" w:after="115" w:afterLines="30" w:line="240" w:lineRule="auto"/>
              <w:ind w:firstLine="567"/>
              <w:jc w:val="center"/>
              <w:textAlignment w:val="auto"/>
              <w:rPr>
                <w:rFonts w:hint="default" w:ascii="Times New Roman" w:hAnsi="Times New Roman" w:eastAsia="黑体" w:cs="Times New Roman"/>
                <w:color w:val="auto"/>
                <w:kern w:val="2"/>
                <w:sz w:val="24"/>
                <w:szCs w:val="24"/>
                <w:lang w:val="en-US" w:eastAsia="zh-CN" w:bidi="ar-SA"/>
              </w:rPr>
            </w:pPr>
            <w:r>
              <w:rPr>
                <w:rFonts w:hint="default" w:ascii="Times New Roman" w:hAnsi="Times New Roman" w:eastAsia="黑体" w:cs="Times New Roman"/>
                <w:color w:val="auto"/>
                <w:kern w:val="2"/>
                <w:sz w:val="24"/>
                <w:szCs w:val="24"/>
                <w:lang w:val="en-US" w:eastAsia="zh-CN" w:bidi="ar-SA"/>
              </w:rPr>
              <w:t>表2.3-1  各酸洗槽工艺参数一览表</w:t>
            </w:r>
          </w:p>
          <w:tbl>
            <w:tblPr>
              <w:tblStyle w:val="35"/>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04"/>
              <w:gridCol w:w="2419"/>
              <w:gridCol w:w="2163"/>
              <w:gridCol w:w="2164"/>
            </w:tblGrid>
            <w:tr w14:paraId="71151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00" w:type="pct"/>
                  <w:tcBorders>
                    <w:tl2br w:val="nil"/>
                    <w:tr2bl w:val="nil"/>
                  </w:tcBorders>
                  <w:tcMar>
                    <w:top w:w="0" w:type="dxa"/>
                    <w:left w:w="28" w:type="dxa"/>
                    <w:bottom w:w="0" w:type="dxa"/>
                    <w:right w:w="28" w:type="dxa"/>
                  </w:tcMar>
                  <w:vAlign w:val="center"/>
                </w:tcPr>
                <w:p w14:paraId="2E69F92C">
                  <w:pPr>
                    <w:pStyle w:val="10"/>
                    <w:spacing w:line="240" w:lineRule="exact"/>
                    <w:ind w:firstLine="0"/>
                    <w:jc w:val="center"/>
                    <w:rPr>
                      <w:rFonts w:hint="default" w:ascii="Times New Roman" w:hAnsi="Times New Roman" w:cs="Times New Roman" w:eastAsiaTheme="minorEastAsia"/>
                      <w:b w:val="0"/>
                      <w:bCs w:val="0"/>
                      <w:color w:val="auto"/>
                      <w:szCs w:val="21"/>
                    </w:rPr>
                  </w:pPr>
                  <w:r>
                    <w:rPr>
                      <w:rFonts w:hint="default" w:ascii="Times New Roman" w:hAnsi="Times New Roman" w:cs="Times New Roman" w:eastAsiaTheme="minorEastAsia"/>
                      <w:b w:val="0"/>
                      <w:bCs w:val="0"/>
                      <w:color w:val="auto"/>
                      <w:szCs w:val="21"/>
                    </w:rPr>
                    <w:t>工段</w:t>
                  </w:r>
                </w:p>
              </w:tc>
              <w:tc>
                <w:tcPr>
                  <w:tcW w:w="1398" w:type="pct"/>
                  <w:tcBorders>
                    <w:tl2br w:val="nil"/>
                    <w:tr2bl w:val="nil"/>
                  </w:tcBorders>
                  <w:tcMar>
                    <w:top w:w="0" w:type="dxa"/>
                    <w:left w:w="28" w:type="dxa"/>
                    <w:bottom w:w="0" w:type="dxa"/>
                    <w:right w:w="28" w:type="dxa"/>
                  </w:tcMar>
                  <w:vAlign w:val="center"/>
                </w:tcPr>
                <w:p w14:paraId="506F6BB9">
                  <w:pPr>
                    <w:pStyle w:val="10"/>
                    <w:spacing w:line="240" w:lineRule="exact"/>
                    <w:ind w:firstLine="0"/>
                    <w:jc w:val="center"/>
                    <w:rPr>
                      <w:rFonts w:hint="default" w:ascii="Times New Roman" w:hAnsi="Times New Roman" w:cs="Times New Roman" w:eastAsiaTheme="minorEastAsia"/>
                      <w:b w:val="0"/>
                      <w:bCs w:val="0"/>
                      <w:color w:val="auto"/>
                      <w:szCs w:val="21"/>
                    </w:rPr>
                  </w:pPr>
                  <w:r>
                    <w:rPr>
                      <w:rFonts w:hint="default" w:ascii="Times New Roman" w:hAnsi="Times New Roman" w:cs="Times New Roman" w:eastAsiaTheme="minorEastAsia"/>
                      <w:b w:val="0"/>
                      <w:bCs w:val="0"/>
                      <w:color w:val="auto"/>
                      <w:szCs w:val="21"/>
                    </w:rPr>
                    <w:t>温度</w:t>
                  </w:r>
                </w:p>
              </w:tc>
              <w:tc>
                <w:tcPr>
                  <w:tcW w:w="1250" w:type="pct"/>
                  <w:tcBorders>
                    <w:tl2br w:val="nil"/>
                    <w:tr2bl w:val="nil"/>
                  </w:tcBorders>
                  <w:tcMar>
                    <w:top w:w="0" w:type="dxa"/>
                    <w:left w:w="28" w:type="dxa"/>
                    <w:bottom w:w="0" w:type="dxa"/>
                    <w:right w:w="28" w:type="dxa"/>
                  </w:tcMar>
                  <w:vAlign w:val="center"/>
                </w:tcPr>
                <w:p w14:paraId="2F448498">
                  <w:pPr>
                    <w:pStyle w:val="10"/>
                    <w:spacing w:line="240" w:lineRule="exact"/>
                    <w:ind w:firstLine="0"/>
                    <w:jc w:val="center"/>
                    <w:rPr>
                      <w:rFonts w:hint="default" w:ascii="Times New Roman" w:hAnsi="Times New Roman" w:cs="Times New Roman" w:eastAsiaTheme="minorEastAsia"/>
                      <w:b w:val="0"/>
                      <w:bCs w:val="0"/>
                      <w:color w:val="auto"/>
                      <w:szCs w:val="21"/>
                    </w:rPr>
                  </w:pPr>
                  <w:r>
                    <w:rPr>
                      <w:rFonts w:hint="default" w:ascii="Times New Roman" w:hAnsi="Times New Roman" w:cs="Times New Roman" w:eastAsiaTheme="minorEastAsia"/>
                      <w:b w:val="0"/>
                      <w:bCs w:val="0"/>
                      <w:color w:val="auto"/>
                      <w:szCs w:val="21"/>
                    </w:rPr>
                    <w:t>浸泡时间</w:t>
                  </w:r>
                </w:p>
              </w:tc>
              <w:tc>
                <w:tcPr>
                  <w:tcW w:w="1250" w:type="pct"/>
                  <w:tcBorders>
                    <w:tl2br w:val="nil"/>
                    <w:tr2bl w:val="nil"/>
                  </w:tcBorders>
                  <w:tcMar>
                    <w:top w:w="0" w:type="dxa"/>
                    <w:left w:w="28" w:type="dxa"/>
                    <w:bottom w:w="0" w:type="dxa"/>
                    <w:right w:w="28" w:type="dxa"/>
                  </w:tcMar>
                  <w:vAlign w:val="center"/>
                </w:tcPr>
                <w:p w14:paraId="75C6DE13">
                  <w:pPr>
                    <w:pStyle w:val="10"/>
                    <w:spacing w:line="240" w:lineRule="exact"/>
                    <w:ind w:firstLine="0"/>
                    <w:jc w:val="center"/>
                    <w:rPr>
                      <w:rFonts w:hint="default" w:ascii="Times New Roman" w:hAnsi="Times New Roman" w:cs="Times New Roman" w:eastAsiaTheme="minorEastAsia"/>
                      <w:b w:val="0"/>
                      <w:bCs w:val="0"/>
                      <w:color w:val="auto"/>
                      <w:szCs w:val="21"/>
                    </w:rPr>
                  </w:pPr>
                  <w:r>
                    <w:rPr>
                      <w:rFonts w:hint="default" w:ascii="Times New Roman" w:hAnsi="Times New Roman" w:cs="Times New Roman" w:eastAsiaTheme="minorEastAsia"/>
                      <w:b w:val="0"/>
                      <w:bCs w:val="0"/>
                      <w:color w:val="auto"/>
                      <w:szCs w:val="21"/>
                    </w:rPr>
                    <w:t>盐酸浓度</w:t>
                  </w:r>
                </w:p>
              </w:tc>
            </w:tr>
            <w:tr w14:paraId="777E0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00" w:type="pct"/>
                  <w:tcBorders>
                    <w:tl2br w:val="nil"/>
                    <w:tr2bl w:val="nil"/>
                  </w:tcBorders>
                  <w:tcMar>
                    <w:top w:w="0" w:type="dxa"/>
                    <w:left w:w="28" w:type="dxa"/>
                    <w:bottom w:w="0" w:type="dxa"/>
                    <w:right w:w="28" w:type="dxa"/>
                  </w:tcMar>
                  <w:vAlign w:val="center"/>
                </w:tcPr>
                <w:p w14:paraId="36215154">
                  <w:pPr>
                    <w:pStyle w:val="10"/>
                    <w:spacing w:line="240" w:lineRule="exact"/>
                    <w:ind w:firstLine="0"/>
                    <w:jc w:val="center"/>
                    <w:rPr>
                      <w:rFonts w:hint="default" w:ascii="Times New Roman" w:hAnsi="Times New Roman" w:cs="Times New Roman" w:eastAsiaTheme="minorEastAsia"/>
                      <w:b w:val="0"/>
                      <w:bCs w:val="0"/>
                      <w:color w:val="auto"/>
                      <w:szCs w:val="21"/>
                    </w:rPr>
                  </w:pPr>
                  <w:r>
                    <w:rPr>
                      <w:rFonts w:hint="default" w:ascii="Times New Roman" w:hAnsi="Times New Roman" w:cs="Times New Roman" w:eastAsiaTheme="minorEastAsia"/>
                      <w:b w:val="0"/>
                      <w:bCs w:val="0"/>
                      <w:color w:val="auto"/>
                      <w:szCs w:val="21"/>
                    </w:rPr>
                    <w:t>酸洗1</w:t>
                  </w:r>
                </w:p>
              </w:tc>
              <w:tc>
                <w:tcPr>
                  <w:tcW w:w="1398" w:type="pct"/>
                  <w:tcBorders>
                    <w:tl2br w:val="nil"/>
                    <w:tr2bl w:val="nil"/>
                  </w:tcBorders>
                  <w:tcMar>
                    <w:top w:w="0" w:type="dxa"/>
                    <w:left w:w="28" w:type="dxa"/>
                    <w:bottom w:w="0" w:type="dxa"/>
                    <w:right w:w="28" w:type="dxa"/>
                  </w:tcMar>
                  <w:vAlign w:val="center"/>
                </w:tcPr>
                <w:p w14:paraId="10CA3C2B">
                  <w:pPr>
                    <w:pStyle w:val="10"/>
                    <w:spacing w:line="240" w:lineRule="exact"/>
                    <w:ind w:firstLine="0"/>
                    <w:jc w:val="center"/>
                    <w:rPr>
                      <w:rFonts w:hint="default" w:ascii="Times New Roman" w:hAnsi="Times New Roman" w:cs="Times New Roman" w:eastAsiaTheme="minorEastAsia"/>
                      <w:b w:val="0"/>
                      <w:bCs w:val="0"/>
                      <w:color w:val="auto"/>
                      <w:szCs w:val="21"/>
                    </w:rPr>
                  </w:pPr>
                </w:p>
              </w:tc>
              <w:tc>
                <w:tcPr>
                  <w:tcW w:w="1250" w:type="pct"/>
                  <w:tcBorders>
                    <w:tl2br w:val="nil"/>
                    <w:tr2bl w:val="nil"/>
                  </w:tcBorders>
                  <w:tcMar>
                    <w:top w:w="0" w:type="dxa"/>
                    <w:left w:w="28" w:type="dxa"/>
                    <w:bottom w:w="0" w:type="dxa"/>
                    <w:right w:w="28" w:type="dxa"/>
                  </w:tcMar>
                  <w:vAlign w:val="center"/>
                </w:tcPr>
                <w:p w14:paraId="36120E9A">
                  <w:pPr>
                    <w:pStyle w:val="10"/>
                    <w:spacing w:line="240" w:lineRule="exact"/>
                    <w:ind w:firstLine="0"/>
                    <w:jc w:val="center"/>
                    <w:rPr>
                      <w:rFonts w:hint="default" w:ascii="Times New Roman" w:hAnsi="Times New Roman" w:cs="Times New Roman" w:eastAsiaTheme="minorEastAsia"/>
                      <w:b w:val="0"/>
                      <w:bCs w:val="0"/>
                      <w:color w:val="auto"/>
                      <w:szCs w:val="21"/>
                    </w:rPr>
                  </w:pPr>
                </w:p>
              </w:tc>
              <w:tc>
                <w:tcPr>
                  <w:tcW w:w="1250" w:type="pct"/>
                  <w:tcBorders>
                    <w:tl2br w:val="nil"/>
                    <w:tr2bl w:val="nil"/>
                  </w:tcBorders>
                  <w:tcMar>
                    <w:top w:w="0" w:type="dxa"/>
                    <w:left w:w="28" w:type="dxa"/>
                    <w:bottom w:w="0" w:type="dxa"/>
                    <w:right w:w="28" w:type="dxa"/>
                  </w:tcMar>
                  <w:vAlign w:val="center"/>
                </w:tcPr>
                <w:p w14:paraId="0871CB65">
                  <w:pPr>
                    <w:pStyle w:val="10"/>
                    <w:spacing w:line="240" w:lineRule="exact"/>
                    <w:ind w:firstLine="0"/>
                    <w:jc w:val="center"/>
                    <w:rPr>
                      <w:rFonts w:hint="default" w:ascii="Times New Roman" w:hAnsi="Times New Roman" w:cs="Times New Roman" w:eastAsiaTheme="minorEastAsia"/>
                      <w:b w:val="0"/>
                      <w:bCs w:val="0"/>
                      <w:color w:val="auto"/>
                      <w:szCs w:val="21"/>
                    </w:rPr>
                  </w:pPr>
                </w:p>
              </w:tc>
            </w:tr>
            <w:tr w14:paraId="66028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00" w:type="pct"/>
                  <w:tcBorders>
                    <w:tl2br w:val="nil"/>
                    <w:tr2bl w:val="nil"/>
                  </w:tcBorders>
                  <w:tcMar>
                    <w:top w:w="0" w:type="dxa"/>
                    <w:left w:w="28" w:type="dxa"/>
                    <w:bottom w:w="0" w:type="dxa"/>
                    <w:right w:w="28" w:type="dxa"/>
                  </w:tcMar>
                  <w:vAlign w:val="center"/>
                </w:tcPr>
                <w:p w14:paraId="3D746E13">
                  <w:pPr>
                    <w:pStyle w:val="10"/>
                    <w:spacing w:line="240" w:lineRule="exact"/>
                    <w:ind w:firstLine="0"/>
                    <w:jc w:val="center"/>
                    <w:rPr>
                      <w:rFonts w:hint="default" w:ascii="Times New Roman" w:hAnsi="Times New Roman" w:cs="Times New Roman" w:eastAsiaTheme="minorEastAsia"/>
                      <w:b w:val="0"/>
                      <w:bCs w:val="0"/>
                      <w:color w:val="auto"/>
                      <w:szCs w:val="21"/>
                    </w:rPr>
                  </w:pPr>
                  <w:r>
                    <w:rPr>
                      <w:rFonts w:hint="default" w:ascii="Times New Roman" w:hAnsi="Times New Roman" w:cs="Times New Roman" w:eastAsiaTheme="minorEastAsia"/>
                      <w:b w:val="0"/>
                      <w:bCs w:val="0"/>
                      <w:color w:val="auto"/>
                      <w:szCs w:val="21"/>
                    </w:rPr>
                    <w:t>酸洗2</w:t>
                  </w:r>
                </w:p>
              </w:tc>
              <w:tc>
                <w:tcPr>
                  <w:tcW w:w="1398" w:type="pct"/>
                  <w:tcBorders>
                    <w:tl2br w:val="nil"/>
                    <w:tr2bl w:val="nil"/>
                  </w:tcBorders>
                  <w:tcMar>
                    <w:top w:w="0" w:type="dxa"/>
                    <w:left w:w="28" w:type="dxa"/>
                    <w:bottom w:w="0" w:type="dxa"/>
                    <w:right w:w="28" w:type="dxa"/>
                  </w:tcMar>
                  <w:vAlign w:val="center"/>
                </w:tcPr>
                <w:p w14:paraId="20E446D6">
                  <w:pPr>
                    <w:pStyle w:val="10"/>
                    <w:spacing w:line="240" w:lineRule="exact"/>
                    <w:ind w:firstLine="0"/>
                    <w:jc w:val="center"/>
                    <w:rPr>
                      <w:rFonts w:hint="default" w:ascii="Times New Roman" w:hAnsi="Times New Roman" w:cs="Times New Roman" w:eastAsiaTheme="minorEastAsia"/>
                      <w:b w:val="0"/>
                      <w:bCs w:val="0"/>
                      <w:color w:val="auto"/>
                      <w:szCs w:val="21"/>
                    </w:rPr>
                  </w:pPr>
                </w:p>
              </w:tc>
              <w:tc>
                <w:tcPr>
                  <w:tcW w:w="1250" w:type="pct"/>
                  <w:tcBorders>
                    <w:tl2br w:val="nil"/>
                    <w:tr2bl w:val="nil"/>
                  </w:tcBorders>
                  <w:tcMar>
                    <w:top w:w="0" w:type="dxa"/>
                    <w:left w:w="28" w:type="dxa"/>
                    <w:bottom w:w="0" w:type="dxa"/>
                    <w:right w:w="28" w:type="dxa"/>
                  </w:tcMar>
                  <w:vAlign w:val="center"/>
                </w:tcPr>
                <w:p w14:paraId="4DF3E997">
                  <w:pPr>
                    <w:pStyle w:val="10"/>
                    <w:spacing w:line="240" w:lineRule="exact"/>
                    <w:ind w:firstLine="0"/>
                    <w:jc w:val="center"/>
                    <w:rPr>
                      <w:rFonts w:hint="default" w:ascii="Times New Roman" w:hAnsi="Times New Roman" w:cs="Times New Roman" w:eastAsiaTheme="minorEastAsia"/>
                      <w:b w:val="0"/>
                      <w:bCs w:val="0"/>
                      <w:color w:val="auto"/>
                      <w:szCs w:val="21"/>
                    </w:rPr>
                  </w:pPr>
                </w:p>
              </w:tc>
              <w:tc>
                <w:tcPr>
                  <w:tcW w:w="1250" w:type="pct"/>
                  <w:tcBorders>
                    <w:tl2br w:val="nil"/>
                    <w:tr2bl w:val="nil"/>
                  </w:tcBorders>
                  <w:tcMar>
                    <w:top w:w="0" w:type="dxa"/>
                    <w:left w:w="28" w:type="dxa"/>
                    <w:bottom w:w="0" w:type="dxa"/>
                    <w:right w:w="28" w:type="dxa"/>
                  </w:tcMar>
                  <w:vAlign w:val="center"/>
                </w:tcPr>
                <w:p w14:paraId="7A762AD4">
                  <w:pPr>
                    <w:pStyle w:val="10"/>
                    <w:spacing w:line="240" w:lineRule="exact"/>
                    <w:ind w:firstLine="0"/>
                    <w:jc w:val="center"/>
                    <w:rPr>
                      <w:rFonts w:hint="default" w:ascii="Times New Roman" w:hAnsi="Times New Roman" w:cs="Times New Roman" w:eastAsiaTheme="minorEastAsia"/>
                      <w:b w:val="0"/>
                      <w:bCs w:val="0"/>
                      <w:color w:val="auto"/>
                      <w:szCs w:val="21"/>
                    </w:rPr>
                  </w:pPr>
                </w:p>
              </w:tc>
            </w:tr>
            <w:tr w14:paraId="5D89B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00" w:type="pct"/>
                  <w:tcBorders>
                    <w:tl2br w:val="nil"/>
                    <w:tr2bl w:val="nil"/>
                  </w:tcBorders>
                  <w:tcMar>
                    <w:top w:w="0" w:type="dxa"/>
                    <w:left w:w="28" w:type="dxa"/>
                    <w:bottom w:w="0" w:type="dxa"/>
                    <w:right w:w="28" w:type="dxa"/>
                  </w:tcMar>
                  <w:vAlign w:val="center"/>
                </w:tcPr>
                <w:p w14:paraId="5E8F709E">
                  <w:pPr>
                    <w:pStyle w:val="10"/>
                    <w:spacing w:line="240" w:lineRule="exact"/>
                    <w:ind w:firstLine="0"/>
                    <w:jc w:val="center"/>
                    <w:rPr>
                      <w:rFonts w:hint="default" w:ascii="Times New Roman" w:hAnsi="Times New Roman" w:cs="Times New Roman" w:eastAsiaTheme="minorEastAsia"/>
                      <w:b w:val="0"/>
                      <w:bCs w:val="0"/>
                      <w:color w:val="auto"/>
                      <w:szCs w:val="21"/>
                    </w:rPr>
                  </w:pPr>
                  <w:r>
                    <w:rPr>
                      <w:rFonts w:hint="default" w:ascii="Times New Roman" w:hAnsi="Times New Roman" w:cs="Times New Roman" w:eastAsiaTheme="minorEastAsia"/>
                      <w:b w:val="0"/>
                      <w:bCs w:val="0"/>
                      <w:color w:val="auto"/>
                      <w:szCs w:val="21"/>
                    </w:rPr>
                    <w:t>酸洗3</w:t>
                  </w:r>
                </w:p>
              </w:tc>
              <w:tc>
                <w:tcPr>
                  <w:tcW w:w="1398" w:type="pct"/>
                  <w:tcBorders>
                    <w:tl2br w:val="nil"/>
                    <w:tr2bl w:val="nil"/>
                  </w:tcBorders>
                  <w:tcMar>
                    <w:top w:w="0" w:type="dxa"/>
                    <w:left w:w="28" w:type="dxa"/>
                    <w:bottom w:w="0" w:type="dxa"/>
                    <w:right w:w="28" w:type="dxa"/>
                  </w:tcMar>
                  <w:vAlign w:val="center"/>
                </w:tcPr>
                <w:p w14:paraId="4817C2DD">
                  <w:pPr>
                    <w:pStyle w:val="10"/>
                    <w:spacing w:line="240" w:lineRule="exact"/>
                    <w:ind w:firstLine="0"/>
                    <w:jc w:val="center"/>
                    <w:rPr>
                      <w:rFonts w:hint="default" w:ascii="Times New Roman" w:hAnsi="Times New Roman" w:cs="Times New Roman" w:eastAsiaTheme="minorEastAsia"/>
                      <w:b w:val="0"/>
                      <w:bCs w:val="0"/>
                      <w:color w:val="auto"/>
                      <w:szCs w:val="21"/>
                    </w:rPr>
                  </w:pPr>
                </w:p>
              </w:tc>
              <w:tc>
                <w:tcPr>
                  <w:tcW w:w="1250" w:type="pct"/>
                  <w:tcBorders>
                    <w:tl2br w:val="nil"/>
                    <w:tr2bl w:val="nil"/>
                  </w:tcBorders>
                  <w:tcMar>
                    <w:top w:w="0" w:type="dxa"/>
                    <w:left w:w="28" w:type="dxa"/>
                    <w:bottom w:w="0" w:type="dxa"/>
                    <w:right w:w="28" w:type="dxa"/>
                  </w:tcMar>
                  <w:vAlign w:val="center"/>
                </w:tcPr>
                <w:p w14:paraId="3F71247A">
                  <w:pPr>
                    <w:pStyle w:val="10"/>
                    <w:spacing w:line="240" w:lineRule="exact"/>
                    <w:ind w:firstLine="0"/>
                    <w:jc w:val="center"/>
                    <w:rPr>
                      <w:rFonts w:hint="default" w:ascii="Times New Roman" w:hAnsi="Times New Roman" w:cs="Times New Roman" w:eastAsiaTheme="minorEastAsia"/>
                      <w:b w:val="0"/>
                      <w:bCs w:val="0"/>
                      <w:color w:val="auto"/>
                      <w:szCs w:val="21"/>
                    </w:rPr>
                  </w:pPr>
                </w:p>
              </w:tc>
              <w:tc>
                <w:tcPr>
                  <w:tcW w:w="1250" w:type="pct"/>
                  <w:tcBorders>
                    <w:tl2br w:val="nil"/>
                    <w:tr2bl w:val="nil"/>
                  </w:tcBorders>
                  <w:tcMar>
                    <w:top w:w="0" w:type="dxa"/>
                    <w:left w:w="28" w:type="dxa"/>
                    <w:bottom w:w="0" w:type="dxa"/>
                    <w:right w:w="28" w:type="dxa"/>
                  </w:tcMar>
                  <w:vAlign w:val="center"/>
                </w:tcPr>
                <w:p w14:paraId="1A617155">
                  <w:pPr>
                    <w:pStyle w:val="10"/>
                    <w:spacing w:line="240" w:lineRule="exact"/>
                    <w:ind w:firstLine="0"/>
                    <w:jc w:val="center"/>
                    <w:rPr>
                      <w:rFonts w:hint="default" w:ascii="Times New Roman" w:hAnsi="Times New Roman" w:cs="Times New Roman" w:eastAsiaTheme="minorEastAsia"/>
                      <w:b w:val="0"/>
                      <w:bCs w:val="0"/>
                      <w:color w:val="auto"/>
                      <w:szCs w:val="21"/>
                    </w:rPr>
                  </w:pPr>
                </w:p>
              </w:tc>
            </w:tr>
            <w:tr w14:paraId="01971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00" w:type="pct"/>
                  <w:tcBorders>
                    <w:tl2br w:val="nil"/>
                    <w:tr2bl w:val="nil"/>
                  </w:tcBorders>
                  <w:tcMar>
                    <w:top w:w="0" w:type="dxa"/>
                    <w:left w:w="28" w:type="dxa"/>
                    <w:bottom w:w="0" w:type="dxa"/>
                    <w:right w:w="28" w:type="dxa"/>
                  </w:tcMar>
                  <w:vAlign w:val="center"/>
                </w:tcPr>
                <w:p w14:paraId="0114C129">
                  <w:pPr>
                    <w:pStyle w:val="10"/>
                    <w:spacing w:line="240" w:lineRule="exact"/>
                    <w:ind w:firstLine="0"/>
                    <w:jc w:val="center"/>
                    <w:rPr>
                      <w:rFonts w:hint="default" w:ascii="Times New Roman" w:hAnsi="Times New Roman" w:cs="Times New Roman" w:eastAsiaTheme="minorEastAsia"/>
                      <w:b w:val="0"/>
                      <w:bCs w:val="0"/>
                      <w:color w:val="auto"/>
                      <w:szCs w:val="21"/>
                    </w:rPr>
                  </w:pPr>
                  <w:r>
                    <w:rPr>
                      <w:rFonts w:hint="default" w:ascii="Times New Roman" w:hAnsi="Times New Roman" w:cs="Times New Roman" w:eastAsiaTheme="minorEastAsia"/>
                      <w:b w:val="0"/>
                      <w:bCs w:val="0"/>
                      <w:color w:val="auto"/>
                      <w:szCs w:val="21"/>
                    </w:rPr>
                    <w:t>酸洗4</w:t>
                  </w:r>
                </w:p>
              </w:tc>
              <w:tc>
                <w:tcPr>
                  <w:tcW w:w="1398" w:type="pct"/>
                  <w:tcBorders>
                    <w:tl2br w:val="nil"/>
                    <w:tr2bl w:val="nil"/>
                  </w:tcBorders>
                  <w:tcMar>
                    <w:top w:w="0" w:type="dxa"/>
                    <w:left w:w="28" w:type="dxa"/>
                    <w:bottom w:w="0" w:type="dxa"/>
                    <w:right w:w="28" w:type="dxa"/>
                  </w:tcMar>
                  <w:vAlign w:val="center"/>
                </w:tcPr>
                <w:p w14:paraId="617C7981">
                  <w:pPr>
                    <w:pStyle w:val="10"/>
                    <w:spacing w:line="240" w:lineRule="exact"/>
                    <w:ind w:firstLine="0"/>
                    <w:jc w:val="center"/>
                    <w:rPr>
                      <w:rFonts w:hint="default" w:ascii="Times New Roman" w:hAnsi="Times New Roman" w:cs="Times New Roman" w:eastAsiaTheme="minorEastAsia"/>
                      <w:b w:val="0"/>
                      <w:bCs w:val="0"/>
                      <w:color w:val="auto"/>
                      <w:szCs w:val="21"/>
                    </w:rPr>
                  </w:pPr>
                </w:p>
              </w:tc>
              <w:tc>
                <w:tcPr>
                  <w:tcW w:w="1250" w:type="pct"/>
                  <w:tcBorders>
                    <w:tl2br w:val="nil"/>
                    <w:tr2bl w:val="nil"/>
                  </w:tcBorders>
                  <w:tcMar>
                    <w:top w:w="0" w:type="dxa"/>
                    <w:left w:w="28" w:type="dxa"/>
                    <w:bottom w:w="0" w:type="dxa"/>
                    <w:right w:w="28" w:type="dxa"/>
                  </w:tcMar>
                  <w:vAlign w:val="center"/>
                </w:tcPr>
                <w:p w14:paraId="647838DA">
                  <w:pPr>
                    <w:pStyle w:val="10"/>
                    <w:spacing w:line="240" w:lineRule="exact"/>
                    <w:ind w:firstLine="0"/>
                    <w:jc w:val="center"/>
                    <w:rPr>
                      <w:rFonts w:hint="default" w:ascii="Times New Roman" w:hAnsi="Times New Roman" w:cs="Times New Roman" w:eastAsiaTheme="minorEastAsia"/>
                      <w:b w:val="0"/>
                      <w:bCs w:val="0"/>
                      <w:color w:val="auto"/>
                      <w:szCs w:val="21"/>
                    </w:rPr>
                  </w:pPr>
                </w:p>
              </w:tc>
              <w:tc>
                <w:tcPr>
                  <w:tcW w:w="1250" w:type="pct"/>
                  <w:tcBorders>
                    <w:tl2br w:val="nil"/>
                    <w:tr2bl w:val="nil"/>
                  </w:tcBorders>
                  <w:tcMar>
                    <w:top w:w="0" w:type="dxa"/>
                    <w:left w:w="28" w:type="dxa"/>
                    <w:bottom w:w="0" w:type="dxa"/>
                    <w:right w:w="28" w:type="dxa"/>
                  </w:tcMar>
                  <w:vAlign w:val="center"/>
                </w:tcPr>
                <w:p w14:paraId="488FC1DF">
                  <w:pPr>
                    <w:pStyle w:val="10"/>
                    <w:spacing w:line="240" w:lineRule="exact"/>
                    <w:ind w:firstLine="0"/>
                    <w:jc w:val="center"/>
                    <w:rPr>
                      <w:rFonts w:hint="default" w:ascii="Times New Roman" w:hAnsi="Times New Roman" w:cs="Times New Roman" w:eastAsiaTheme="minorEastAsia"/>
                      <w:b w:val="0"/>
                      <w:bCs w:val="0"/>
                      <w:color w:val="auto"/>
                      <w:szCs w:val="21"/>
                    </w:rPr>
                  </w:pPr>
                </w:p>
              </w:tc>
            </w:tr>
            <w:tr w14:paraId="7545A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00" w:type="pct"/>
                  <w:tcBorders>
                    <w:tl2br w:val="nil"/>
                    <w:tr2bl w:val="nil"/>
                  </w:tcBorders>
                  <w:tcMar>
                    <w:top w:w="0" w:type="dxa"/>
                    <w:left w:w="28" w:type="dxa"/>
                    <w:bottom w:w="0" w:type="dxa"/>
                    <w:right w:w="28" w:type="dxa"/>
                  </w:tcMar>
                  <w:vAlign w:val="center"/>
                </w:tcPr>
                <w:p w14:paraId="1834A11E">
                  <w:pPr>
                    <w:pStyle w:val="10"/>
                    <w:spacing w:line="240" w:lineRule="exact"/>
                    <w:ind w:firstLine="0"/>
                    <w:jc w:val="center"/>
                    <w:rPr>
                      <w:rFonts w:hint="default" w:ascii="Times New Roman" w:hAnsi="Times New Roman" w:cs="Times New Roman" w:eastAsiaTheme="minorEastAsia"/>
                      <w:b w:val="0"/>
                      <w:bCs w:val="0"/>
                      <w:color w:val="auto"/>
                      <w:szCs w:val="21"/>
                    </w:rPr>
                  </w:pPr>
                  <w:r>
                    <w:rPr>
                      <w:rFonts w:hint="default" w:ascii="Times New Roman" w:hAnsi="Times New Roman" w:cs="Times New Roman" w:eastAsiaTheme="minorEastAsia"/>
                      <w:b w:val="0"/>
                      <w:bCs w:val="0"/>
                      <w:color w:val="auto"/>
                      <w:szCs w:val="21"/>
                    </w:rPr>
                    <w:t>酸洗5</w:t>
                  </w:r>
                </w:p>
              </w:tc>
              <w:tc>
                <w:tcPr>
                  <w:tcW w:w="1398" w:type="pct"/>
                  <w:tcBorders>
                    <w:tl2br w:val="nil"/>
                    <w:tr2bl w:val="nil"/>
                  </w:tcBorders>
                  <w:tcMar>
                    <w:top w:w="0" w:type="dxa"/>
                    <w:left w:w="28" w:type="dxa"/>
                    <w:bottom w:w="0" w:type="dxa"/>
                    <w:right w:w="28" w:type="dxa"/>
                  </w:tcMar>
                  <w:vAlign w:val="center"/>
                </w:tcPr>
                <w:p w14:paraId="0E0225B6">
                  <w:pPr>
                    <w:pStyle w:val="10"/>
                    <w:spacing w:line="240" w:lineRule="exact"/>
                    <w:ind w:firstLine="0"/>
                    <w:jc w:val="center"/>
                    <w:rPr>
                      <w:rFonts w:hint="default" w:ascii="Times New Roman" w:hAnsi="Times New Roman" w:cs="Times New Roman" w:eastAsiaTheme="minorEastAsia"/>
                      <w:b w:val="0"/>
                      <w:bCs w:val="0"/>
                      <w:color w:val="auto"/>
                      <w:szCs w:val="21"/>
                    </w:rPr>
                  </w:pPr>
                </w:p>
              </w:tc>
              <w:tc>
                <w:tcPr>
                  <w:tcW w:w="1250" w:type="pct"/>
                  <w:tcBorders>
                    <w:tl2br w:val="nil"/>
                    <w:tr2bl w:val="nil"/>
                  </w:tcBorders>
                  <w:tcMar>
                    <w:top w:w="0" w:type="dxa"/>
                    <w:left w:w="28" w:type="dxa"/>
                    <w:bottom w:w="0" w:type="dxa"/>
                    <w:right w:w="28" w:type="dxa"/>
                  </w:tcMar>
                  <w:vAlign w:val="center"/>
                </w:tcPr>
                <w:p w14:paraId="0B827B9D">
                  <w:pPr>
                    <w:pStyle w:val="10"/>
                    <w:spacing w:line="240" w:lineRule="exact"/>
                    <w:ind w:firstLine="0"/>
                    <w:jc w:val="center"/>
                    <w:rPr>
                      <w:rFonts w:hint="default" w:ascii="Times New Roman" w:hAnsi="Times New Roman" w:cs="Times New Roman" w:eastAsiaTheme="minorEastAsia"/>
                      <w:b w:val="0"/>
                      <w:bCs w:val="0"/>
                      <w:color w:val="auto"/>
                      <w:szCs w:val="21"/>
                    </w:rPr>
                  </w:pPr>
                </w:p>
              </w:tc>
              <w:tc>
                <w:tcPr>
                  <w:tcW w:w="1250" w:type="pct"/>
                  <w:tcBorders>
                    <w:tl2br w:val="nil"/>
                    <w:tr2bl w:val="nil"/>
                  </w:tcBorders>
                  <w:tcMar>
                    <w:top w:w="0" w:type="dxa"/>
                    <w:left w:w="28" w:type="dxa"/>
                    <w:bottom w:w="0" w:type="dxa"/>
                    <w:right w:w="28" w:type="dxa"/>
                  </w:tcMar>
                  <w:vAlign w:val="center"/>
                </w:tcPr>
                <w:p w14:paraId="3E3074C1">
                  <w:pPr>
                    <w:pStyle w:val="10"/>
                    <w:spacing w:line="240" w:lineRule="exact"/>
                    <w:ind w:firstLine="0"/>
                    <w:jc w:val="center"/>
                    <w:rPr>
                      <w:rFonts w:hint="default" w:ascii="Times New Roman" w:hAnsi="Times New Roman" w:cs="Times New Roman" w:eastAsiaTheme="minorEastAsia"/>
                      <w:b w:val="0"/>
                      <w:bCs w:val="0"/>
                      <w:color w:val="auto"/>
                      <w:szCs w:val="21"/>
                    </w:rPr>
                  </w:pPr>
                </w:p>
              </w:tc>
            </w:tr>
            <w:tr w14:paraId="6DC92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00" w:type="pct"/>
                  <w:tcBorders>
                    <w:tl2br w:val="nil"/>
                    <w:tr2bl w:val="nil"/>
                  </w:tcBorders>
                  <w:tcMar>
                    <w:top w:w="0" w:type="dxa"/>
                    <w:left w:w="28" w:type="dxa"/>
                    <w:bottom w:w="0" w:type="dxa"/>
                    <w:right w:w="28" w:type="dxa"/>
                  </w:tcMar>
                  <w:vAlign w:val="center"/>
                </w:tcPr>
                <w:p w14:paraId="3887BE8B">
                  <w:pPr>
                    <w:pStyle w:val="10"/>
                    <w:spacing w:line="240" w:lineRule="exact"/>
                    <w:ind w:firstLine="0"/>
                    <w:jc w:val="center"/>
                    <w:rPr>
                      <w:rFonts w:hint="default" w:ascii="Times New Roman" w:hAnsi="Times New Roman" w:cs="Times New Roman" w:eastAsiaTheme="minorEastAsia"/>
                      <w:b w:val="0"/>
                      <w:bCs w:val="0"/>
                      <w:color w:val="auto"/>
                      <w:szCs w:val="21"/>
                    </w:rPr>
                  </w:pPr>
                  <w:r>
                    <w:rPr>
                      <w:rFonts w:hint="default" w:ascii="Times New Roman" w:hAnsi="Times New Roman" w:cs="Times New Roman" w:eastAsiaTheme="minorEastAsia"/>
                      <w:b w:val="0"/>
                      <w:bCs w:val="0"/>
                      <w:color w:val="auto"/>
                      <w:szCs w:val="21"/>
                    </w:rPr>
                    <w:t>酸洗6</w:t>
                  </w:r>
                </w:p>
              </w:tc>
              <w:tc>
                <w:tcPr>
                  <w:tcW w:w="1398" w:type="pct"/>
                  <w:tcBorders>
                    <w:tl2br w:val="nil"/>
                    <w:tr2bl w:val="nil"/>
                  </w:tcBorders>
                  <w:tcMar>
                    <w:top w:w="0" w:type="dxa"/>
                    <w:left w:w="28" w:type="dxa"/>
                    <w:bottom w:w="0" w:type="dxa"/>
                    <w:right w:w="28" w:type="dxa"/>
                  </w:tcMar>
                  <w:vAlign w:val="center"/>
                </w:tcPr>
                <w:p w14:paraId="21729684">
                  <w:pPr>
                    <w:pStyle w:val="10"/>
                    <w:spacing w:line="240" w:lineRule="exact"/>
                    <w:ind w:firstLine="0"/>
                    <w:jc w:val="center"/>
                    <w:rPr>
                      <w:rFonts w:hint="default" w:ascii="Times New Roman" w:hAnsi="Times New Roman" w:cs="Times New Roman" w:eastAsiaTheme="minorEastAsia"/>
                      <w:b w:val="0"/>
                      <w:bCs w:val="0"/>
                      <w:color w:val="auto"/>
                      <w:szCs w:val="21"/>
                    </w:rPr>
                  </w:pPr>
                </w:p>
              </w:tc>
              <w:tc>
                <w:tcPr>
                  <w:tcW w:w="1250" w:type="pct"/>
                  <w:tcBorders>
                    <w:tl2br w:val="nil"/>
                    <w:tr2bl w:val="nil"/>
                  </w:tcBorders>
                  <w:tcMar>
                    <w:top w:w="0" w:type="dxa"/>
                    <w:left w:w="28" w:type="dxa"/>
                    <w:bottom w:w="0" w:type="dxa"/>
                    <w:right w:w="28" w:type="dxa"/>
                  </w:tcMar>
                  <w:vAlign w:val="center"/>
                </w:tcPr>
                <w:p w14:paraId="480A4D06">
                  <w:pPr>
                    <w:pStyle w:val="10"/>
                    <w:spacing w:line="240" w:lineRule="exact"/>
                    <w:ind w:firstLine="0"/>
                    <w:jc w:val="center"/>
                    <w:rPr>
                      <w:rFonts w:hint="default" w:ascii="Times New Roman" w:hAnsi="Times New Roman" w:cs="Times New Roman" w:eastAsiaTheme="minorEastAsia"/>
                      <w:b w:val="0"/>
                      <w:bCs w:val="0"/>
                      <w:color w:val="auto"/>
                      <w:szCs w:val="21"/>
                    </w:rPr>
                  </w:pPr>
                </w:p>
              </w:tc>
              <w:tc>
                <w:tcPr>
                  <w:tcW w:w="1250" w:type="pct"/>
                  <w:tcBorders>
                    <w:tl2br w:val="nil"/>
                    <w:tr2bl w:val="nil"/>
                  </w:tcBorders>
                  <w:tcMar>
                    <w:top w:w="0" w:type="dxa"/>
                    <w:left w:w="28" w:type="dxa"/>
                    <w:bottom w:w="0" w:type="dxa"/>
                    <w:right w:w="28" w:type="dxa"/>
                  </w:tcMar>
                  <w:vAlign w:val="center"/>
                </w:tcPr>
                <w:p w14:paraId="76EDFA3B">
                  <w:pPr>
                    <w:pStyle w:val="10"/>
                    <w:spacing w:line="240" w:lineRule="exact"/>
                    <w:ind w:firstLine="0"/>
                    <w:jc w:val="center"/>
                    <w:rPr>
                      <w:rFonts w:hint="default" w:ascii="Times New Roman" w:hAnsi="Times New Roman" w:cs="Times New Roman" w:eastAsiaTheme="minorEastAsia"/>
                      <w:b w:val="0"/>
                      <w:bCs w:val="0"/>
                      <w:color w:val="auto"/>
                      <w:szCs w:val="21"/>
                    </w:rPr>
                  </w:pPr>
                </w:p>
              </w:tc>
            </w:tr>
          </w:tbl>
          <w:p w14:paraId="1A1148BC">
            <w:pPr>
              <w:pStyle w:val="10"/>
              <w:keepNext w:val="0"/>
              <w:keepLines w:val="0"/>
              <w:pageBreakBefore w:val="0"/>
              <w:widowControl w:val="0"/>
              <w:kinsoku/>
              <w:wordWrap/>
              <w:overflowPunct/>
              <w:topLinePunct w:val="0"/>
              <w:autoSpaceDE/>
              <w:autoSpaceDN/>
              <w:bidi w:val="0"/>
              <w:adjustRightInd w:val="0"/>
              <w:snapToGrid w:val="0"/>
              <w:spacing w:before="190" w:beforeLines="50" w:line="360" w:lineRule="auto"/>
              <w:ind w:firstLine="480" w:firstLineChars="200"/>
              <w:textAlignment w:val="auto"/>
              <w:rPr>
                <w:rFonts w:hint="default" w:ascii="Times New Roman" w:hAnsi="Times New Roman" w:cs="Times New Roman" w:eastAsiaTheme="minorEastAsia"/>
                <w:color w:val="auto"/>
                <w:sz w:val="24"/>
                <w:highlight w:val="yellow"/>
              </w:rPr>
            </w:pPr>
            <w:r>
              <w:rPr>
                <w:rFonts w:hint="default" w:ascii="Times New Roman" w:hAnsi="Times New Roman" w:cs="Times New Roman" w:eastAsiaTheme="minorEastAsia"/>
                <w:color w:val="auto"/>
                <w:sz w:val="24"/>
              </w:rPr>
              <w:t>项目原料质量浓度为3</w:t>
            </w:r>
            <w:r>
              <w:rPr>
                <w:rFonts w:hint="default" w:ascii="Times New Roman" w:hAnsi="Times New Roman" w:cs="Times New Roman" w:eastAsiaTheme="minorEastAsia"/>
                <w:color w:val="auto"/>
                <w:sz w:val="24"/>
                <w:lang w:val="en-US" w:eastAsia="zh-CN"/>
              </w:rPr>
              <w:t>2</w:t>
            </w:r>
            <w:r>
              <w:rPr>
                <w:rFonts w:hint="default" w:ascii="Times New Roman" w:hAnsi="Times New Roman" w:cs="Times New Roman" w:eastAsiaTheme="minorEastAsia"/>
                <w:color w:val="auto"/>
                <w:sz w:val="24"/>
              </w:rPr>
              <w:t>%的盐酸暂存于1座50m</w:t>
            </w:r>
            <w:r>
              <w:rPr>
                <w:rFonts w:hint="default" w:ascii="Times New Roman" w:hAnsi="Times New Roman" w:cs="Times New Roman" w:eastAsiaTheme="minorEastAsia"/>
                <w:color w:val="auto"/>
                <w:sz w:val="24"/>
                <w:vertAlign w:val="superscript"/>
              </w:rPr>
              <w:t>3</w:t>
            </w:r>
            <w:r>
              <w:rPr>
                <w:rFonts w:hint="default" w:ascii="Times New Roman" w:hAnsi="Times New Roman" w:cs="Times New Roman" w:eastAsiaTheme="minorEastAsia"/>
                <w:color w:val="auto"/>
                <w:sz w:val="24"/>
              </w:rPr>
              <w:t>盐酸储罐中，生产时将盐酸由储罐经管道自流导入酸洗池内进行兑水调配。</w:t>
            </w:r>
          </w:p>
          <w:p w14:paraId="61EB01AA">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盘条酸洗过程中盐酸不断消耗，酸液中</w:t>
            </w:r>
            <w:r>
              <w:rPr>
                <w:rStyle w:val="94"/>
                <w:rFonts w:hint="default" w:ascii="Times New Roman" w:hAnsi="Times New Roman" w:cs="Times New Roman" w:eastAsiaTheme="minorEastAsia"/>
                <w:color w:val="auto"/>
              </w:rPr>
              <w:t>Fe</w:t>
            </w:r>
            <w:r>
              <w:rPr>
                <w:rStyle w:val="94"/>
                <w:rFonts w:hint="default" w:ascii="Times New Roman" w:hAnsi="Times New Roman" w:cs="Times New Roman" w:eastAsiaTheme="minorEastAsia"/>
                <w:color w:val="auto"/>
                <w:vertAlign w:val="superscript"/>
              </w:rPr>
              <w:t>2+</w:t>
            </w:r>
            <w:r>
              <w:rPr>
                <w:rFonts w:hint="default" w:ascii="Times New Roman" w:hAnsi="Times New Roman" w:cs="Times New Roman" w:eastAsiaTheme="minorEastAsia"/>
                <w:color w:val="auto"/>
                <w:sz w:val="24"/>
              </w:rPr>
              <w:t>浓度不断升高，当酸洗槽内酸液浓度下降至5</w:t>
            </w:r>
            <w:r>
              <w:rPr>
                <w:rStyle w:val="94"/>
                <w:rFonts w:hint="default" w:ascii="Times New Roman" w:hAnsi="Times New Roman" w:cs="Times New Roman" w:eastAsiaTheme="minorEastAsia"/>
                <w:color w:val="auto"/>
              </w:rPr>
              <w:t>%~8%</w:t>
            </w:r>
            <w:r>
              <w:rPr>
                <w:rFonts w:hint="default" w:ascii="Times New Roman" w:hAnsi="Times New Roman" w:cs="Times New Roman" w:eastAsiaTheme="minorEastAsia"/>
                <w:color w:val="auto"/>
                <w:sz w:val="24"/>
              </w:rPr>
              <w:t>或</w:t>
            </w:r>
            <w:r>
              <w:rPr>
                <w:rStyle w:val="94"/>
                <w:rFonts w:hint="default" w:ascii="Times New Roman" w:hAnsi="Times New Roman" w:cs="Times New Roman" w:eastAsiaTheme="minorEastAsia"/>
                <w:color w:val="auto"/>
              </w:rPr>
              <w:t>Fe</w:t>
            </w:r>
            <w:r>
              <w:rPr>
                <w:rStyle w:val="94"/>
                <w:rFonts w:hint="default" w:ascii="Times New Roman" w:hAnsi="Times New Roman" w:cs="Times New Roman" w:eastAsiaTheme="minorEastAsia"/>
                <w:color w:val="auto"/>
                <w:vertAlign w:val="superscript"/>
              </w:rPr>
              <w:t>2+</w:t>
            </w:r>
            <w:r>
              <w:rPr>
                <w:rFonts w:hint="default" w:ascii="Times New Roman" w:hAnsi="Times New Roman" w:cs="Times New Roman" w:eastAsiaTheme="minorEastAsia"/>
                <w:color w:val="auto"/>
                <w:sz w:val="24"/>
              </w:rPr>
              <w:t>浓度上升至</w:t>
            </w:r>
            <w:r>
              <w:rPr>
                <w:rStyle w:val="94"/>
                <w:rFonts w:hint="default" w:ascii="Times New Roman" w:hAnsi="Times New Roman" w:cs="Times New Roman" w:eastAsiaTheme="minorEastAsia"/>
                <w:color w:val="auto"/>
              </w:rPr>
              <w:t>220g/L</w:t>
            </w:r>
            <w:r>
              <w:rPr>
                <w:rFonts w:hint="default" w:ascii="Times New Roman" w:hAnsi="Times New Roman" w:cs="Times New Roman" w:eastAsiaTheme="minorEastAsia"/>
                <w:color w:val="auto"/>
                <w:sz w:val="24"/>
              </w:rPr>
              <w:t>，酸洗槽内酸液报废，排入低位废酸池。</w:t>
            </w:r>
            <w:r>
              <w:rPr>
                <w:rFonts w:hint="default" w:ascii="Times New Roman" w:hAnsi="Times New Roman" w:cs="Times New Roman"/>
                <w:color w:val="auto"/>
                <w:sz w:val="24"/>
              </w:rPr>
              <w:t>盘条按工艺流程方向进入酸洗1～酸洗6，从低浓度往高浓度生产。</w:t>
            </w:r>
            <w:r>
              <w:rPr>
                <w:rFonts w:hint="default" w:ascii="Times New Roman" w:hAnsi="Times New Roman" w:cs="Times New Roman" w:eastAsiaTheme="minorEastAsia"/>
                <w:color w:val="auto"/>
                <w:sz w:val="24"/>
              </w:rPr>
              <w:t>由于该工艺为分段式酸洗，当后段酸洗槽酸液满足前段工艺要求时，导入前段酸洗槽；不满足前段工艺要求且又不足以报废时排入低位回用酸池，搭配新酸再利用。设计梯度工艺，目的是从低浓度往高浓度酸洗，降低盐酸消耗量，减少废液排放。</w:t>
            </w:r>
          </w:p>
          <w:p w14:paraId="590C23BE">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产污分析：此过程产生酸洗槽废气G2-1，经酸洗线上方集气装置收集后送碱液喷淋吸收塔处理后，经18m高排气筒排放；</w:t>
            </w:r>
            <w:r>
              <w:rPr>
                <w:rFonts w:hint="default" w:ascii="Times New Roman" w:hAnsi="Times New Roman" w:cs="Times New Roman" w:eastAsiaTheme="minorEastAsia"/>
                <w:color w:val="auto"/>
                <w:sz w:val="24"/>
                <w:highlight w:val="none"/>
              </w:rPr>
              <w:t>废酸液S4，</w:t>
            </w:r>
            <w:r>
              <w:rPr>
                <w:rFonts w:hint="default" w:ascii="Times New Roman" w:hAnsi="Times New Roman" w:cs="Times New Roman" w:eastAsiaTheme="minorEastAsia"/>
                <w:color w:val="auto"/>
                <w:sz w:val="24"/>
              </w:rPr>
              <w:t>排至</w:t>
            </w:r>
            <w:bookmarkStart w:id="111" w:name="OLE_LINK9"/>
            <w:r>
              <w:rPr>
                <w:rFonts w:hint="default" w:ascii="Times New Roman" w:hAnsi="Times New Roman" w:cs="Times New Roman" w:eastAsiaTheme="minorEastAsia"/>
                <w:color w:val="auto"/>
                <w:sz w:val="24"/>
              </w:rPr>
              <w:t>低位废酸池</w:t>
            </w:r>
            <w:bookmarkEnd w:id="111"/>
            <w:r>
              <w:rPr>
                <w:rFonts w:hint="default" w:ascii="Times New Roman" w:hAnsi="Times New Roman" w:cs="Times New Roman" w:eastAsiaTheme="minorEastAsia"/>
                <w:color w:val="auto"/>
                <w:sz w:val="24"/>
              </w:rPr>
              <w:t>。</w:t>
            </w:r>
          </w:p>
          <w:p w14:paraId="39C5B112">
            <w:pPr>
              <w:pStyle w:val="29"/>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（3）漂洗</w:t>
            </w:r>
          </w:p>
          <w:p w14:paraId="6DC4ED33">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酸洗后的盘条经机械手进入漂洗槽中进行浸泡清洗，目的是清洗盘条表面的酸液及铁盐，使构件表面清洁，该过程常温下进行，浸泡约18s，漂洗槽液面保持在2.2m左右，漂洗槽补水采用高压水洗1、2的冲洗水，并设有溢流管浸洗后的废水以溢流方式外排。盘条通过潜水方式，由转运车运送至另一工位。</w:t>
            </w:r>
          </w:p>
          <w:p w14:paraId="7B439509">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产污分析：该过程会产生漂洗废水W3，排入厂区污水处理站处</w:t>
            </w:r>
            <w:r>
              <w:rPr>
                <w:rFonts w:hint="default" w:ascii="Times New Roman" w:hAnsi="Times New Roman" w:cs="Times New Roman" w:eastAsiaTheme="minorEastAsia"/>
                <w:color w:val="auto"/>
                <w:sz w:val="24"/>
                <w:highlight w:val="none"/>
              </w:rPr>
              <w:t>理。</w:t>
            </w:r>
          </w:p>
          <w:p w14:paraId="6A1EC5C1">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highlight w:val="yellow"/>
              </w:rPr>
            </w:pPr>
            <w:r>
              <w:rPr>
                <w:rFonts w:hint="default" w:ascii="Times New Roman" w:hAnsi="Times New Roman" w:cs="Times New Roman" w:eastAsiaTheme="minorEastAsia"/>
                <w:color w:val="auto"/>
                <w:sz w:val="24"/>
              </w:rPr>
              <w:t>（4）冲洗槽1</w:t>
            </w:r>
          </w:p>
          <w:p w14:paraId="0885AA0E">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为进一步保证去除盘条表面的酸液及铁盐，以保证不会对后续工序产生影响。漂洗后的盘条进入冲洗槽中进行高压冲洗，冲洗槽四周设有上下两层喷淋管，</w:t>
            </w:r>
            <w:r>
              <w:rPr>
                <w:rFonts w:hint="default" w:ascii="Times New Roman" w:hAnsi="Times New Roman" w:cs="Times New Roman"/>
                <w:color w:val="auto"/>
                <w:sz w:val="24"/>
              </w:rPr>
              <w:t>一层交叉喷盘条相切处,第二层喷盘条外侧面,冲洗配有2根横式喷淋管，供盘条穿入内圈360°喷淋</w:t>
            </w:r>
            <w:r>
              <w:rPr>
                <w:rFonts w:hint="default" w:ascii="Times New Roman" w:hAnsi="Times New Roman" w:cs="Times New Roman" w:eastAsiaTheme="minorEastAsia"/>
                <w:color w:val="auto"/>
                <w:sz w:val="24"/>
                <w:highlight w:val="none"/>
              </w:rPr>
              <w:t>，</w:t>
            </w:r>
            <w:r>
              <w:rPr>
                <w:rFonts w:hint="default" w:ascii="Times New Roman" w:hAnsi="Times New Roman" w:cs="Times New Roman"/>
                <w:color w:val="auto"/>
                <w:sz w:val="24"/>
                <w:highlight w:val="none"/>
              </w:rPr>
              <w:t>喷嘴采用可调式塑料喷嘴。盘条进入槽内，自动开启抽水泵对盘条表面及内圈进行高压冲洗，</w:t>
            </w:r>
            <w:r>
              <w:rPr>
                <w:rFonts w:hint="default" w:ascii="Times New Roman" w:hAnsi="Times New Roman" w:cs="Times New Roman" w:eastAsiaTheme="minorEastAsia"/>
                <w:color w:val="auto"/>
                <w:sz w:val="24"/>
                <w:highlight w:val="none"/>
              </w:rPr>
              <w:t>通过喷淋方式去除盘条表面残留的酸液及铁盐，</w:t>
            </w:r>
            <w:r>
              <w:rPr>
                <w:rFonts w:hint="default" w:ascii="Times New Roman" w:hAnsi="Times New Roman" w:cs="Times New Roman"/>
                <w:color w:val="auto"/>
                <w:sz w:val="24"/>
                <w:highlight w:val="none"/>
              </w:rPr>
              <w:t>冲洗后的水</w:t>
            </w:r>
            <w:r>
              <w:rPr>
                <w:rFonts w:hint="default" w:ascii="Times New Roman" w:hAnsi="Times New Roman" w:cs="Times New Roman" w:eastAsiaTheme="minorEastAsia"/>
                <w:color w:val="auto"/>
                <w:sz w:val="24"/>
                <w:highlight w:val="none"/>
              </w:rPr>
              <w:t>进入厂区</w:t>
            </w:r>
            <w:r>
              <w:rPr>
                <w:rFonts w:hint="default" w:ascii="Times New Roman" w:hAnsi="Times New Roman" w:cs="Times New Roman" w:eastAsiaTheme="minorEastAsia"/>
                <w:color w:val="auto"/>
                <w:sz w:val="24"/>
              </w:rPr>
              <w:t>污水处理站处理。</w:t>
            </w:r>
          </w:p>
          <w:p w14:paraId="753ECB59">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highlight w:val="yellow"/>
              </w:rPr>
            </w:pPr>
            <w:r>
              <w:rPr>
                <w:rFonts w:hint="default" w:ascii="Times New Roman" w:hAnsi="Times New Roman" w:cs="Times New Roman" w:eastAsiaTheme="minorEastAsia"/>
                <w:color w:val="auto"/>
                <w:sz w:val="24"/>
              </w:rPr>
              <w:t>产污分析：该过程会产生冲洗废水W4-1。</w:t>
            </w:r>
          </w:p>
          <w:p w14:paraId="4B85DE80">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（5）表调</w:t>
            </w:r>
          </w:p>
          <w:p w14:paraId="77BB7ADD">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b w:val="0"/>
                <w:bCs w:val="0"/>
                <w:color w:val="auto"/>
                <w:sz w:val="24"/>
              </w:rPr>
            </w:pPr>
            <w:r>
              <w:rPr>
                <w:rFonts w:hint="default" w:ascii="Times New Roman" w:hAnsi="Times New Roman" w:cs="Times New Roman" w:eastAsiaTheme="minorEastAsia"/>
                <w:color w:val="auto"/>
                <w:sz w:val="24"/>
              </w:rPr>
              <w:t>经高压冲洗后的盘条进入表调工序，可利用草酸自身的酸性防止水洗后的盘条表面氧化，</w:t>
            </w:r>
            <w:r>
              <w:rPr>
                <w:rFonts w:hint="default" w:ascii="Times New Roman" w:hAnsi="Times New Roman" w:cs="Times New Roman"/>
                <w:b w:val="0"/>
                <w:bCs w:val="0"/>
                <w:color w:val="auto"/>
                <w:sz w:val="24"/>
              </w:rPr>
              <w:t>防止盘条表面黄锈，提高磷化膜的结合力</w:t>
            </w:r>
            <w:r>
              <w:rPr>
                <w:rFonts w:hint="default" w:ascii="Times New Roman" w:hAnsi="Times New Roman" w:cs="Times New Roman" w:eastAsiaTheme="minorEastAsia"/>
                <w:b w:val="0"/>
                <w:bCs w:val="0"/>
                <w:color w:val="auto"/>
                <w:sz w:val="24"/>
              </w:rPr>
              <w:t>，改善盘条的表面状态，该工序在常温下进行，持续时间约18s。</w:t>
            </w:r>
          </w:p>
          <w:p w14:paraId="774517AE">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项目表调剂（草酸）调配在表调槽进行，草酸为白色结晶状固体，调配过程中基本不产生粉尘；且草酸</w:t>
            </w:r>
            <w:r>
              <w:rPr>
                <w:rFonts w:hint="default" w:ascii="Times New Roman" w:hAnsi="Times New Roman" w:cs="Times New Roman" w:eastAsiaTheme="minorEastAsia"/>
                <w:color w:val="auto"/>
                <w:sz w:val="24"/>
                <w:lang w:val="en-US" w:eastAsia="zh-CN"/>
              </w:rPr>
              <w:t>常温下不易挥发</w:t>
            </w:r>
            <w:r>
              <w:rPr>
                <w:rFonts w:hint="default" w:ascii="Times New Roman" w:hAnsi="Times New Roman" w:cs="Times New Roman" w:eastAsiaTheme="minorEastAsia"/>
                <w:color w:val="auto"/>
                <w:sz w:val="24"/>
              </w:rPr>
              <w:t>，</w:t>
            </w:r>
            <w:r>
              <w:rPr>
                <w:rFonts w:hint="default" w:ascii="Times New Roman" w:hAnsi="Times New Roman" w:cs="Times New Roman" w:eastAsiaTheme="minorEastAsia"/>
                <w:color w:val="auto"/>
                <w:sz w:val="24"/>
                <w:lang w:val="en-US" w:eastAsia="zh-CN"/>
              </w:rPr>
              <w:t>因此</w:t>
            </w:r>
            <w:r>
              <w:rPr>
                <w:rFonts w:hint="default" w:ascii="Times New Roman" w:hAnsi="Times New Roman" w:cs="Times New Roman" w:eastAsiaTheme="minorEastAsia"/>
                <w:color w:val="auto"/>
                <w:sz w:val="24"/>
              </w:rPr>
              <w:t>该过程不会有酸性废气产生。此工序表调</w:t>
            </w:r>
            <w:r>
              <w:rPr>
                <w:rFonts w:hint="default" w:ascii="Times New Roman" w:hAnsi="Times New Roman" w:cs="Times New Roman"/>
                <w:color w:val="auto"/>
                <w:sz w:val="24"/>
              </w:rPr>
              <w:t>槽内</w:t>
            </w:r>
            <w:r>
              <w:rPr>
                <w:rFonts w:hint="default" w:ascii="Times New Roman" w:hAnsi="Times New Roman" w:cs="Times New Roman" w:eastAsiaTheme="minorEastAsia"/>
                <w:color w:val="auto"/>
                <w:sz w:val="24"/>
              </w:rPr>
              <w:t>表调</w:t>
            </w:r>
            <w:r>
              <w:rPr>
                <w:rFonts w:hint="default" w:ascii="Times New Roman" w:hAnsi="Times New Roman" w:cs="Times New Roman"/>
                <w:color w:val="auto"/>
                <w:sz w:val="24"/>
              </w:rPr>
              <w:t>液循环使用，不外排</w:t>
            </w:r>
            <w:r>
              <w:rPr>
                <w:rFonts w:hint="default" w:ascii="Times New Roman" w:hAnsi="Times New Roman" w:cs="Times New Roman" w:eastAsiaTheme="minorEastAsia"/>
                <w:color w:val="auto"/>
                <w:sz w:val="24"/>
              </w:rPr>
              <w:t>。</w:t>
            </w:r>
          </w:p>
          <w:p w14:paraId="34424AB1">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（6）磷化</w:t>
            </w:r>
          </w:p>
          <w:p w14:paraId="4FCC01A9">
            <w:pPr>
              <w:pStyle w:val="29"/>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磷化是一种化学反应形成磷酸盐化学转化膜的过程，为了增大产品涂装的附着性及水性，用磷酸盐在洁净的金属表面形成一层，能增强金属面上的附着力和防锈能力的薄膜的过程。</w:t>
            </w:r>
          </w:p>
          <w:p w14:paraId="4DB430D6">
            <w:pPr>
              <w:pStyle w:val="29"/>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磷化成膜机理：</w:t>
            </w:r>
          </w:p>
          <w:p w14:paraId="40E17634">
            <w:pPr>
              <w:pStyle w:val="29"/>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8Fe+5Me(H</w:t>
            </w:r>
            <w:r>
              <w:rPr>
                <w:rFonts w:hint="default" w:ascii="Times New Roman" w:hAnsi="Times New Roman" w:cs="Times New Roman" w:eastAsiaTheme="minorEastAsia"/>
                <w:color w:val="auto"/>
                <w:sz w:val="24"/>
                <w:vertAlign w:val="subscript"/>
              </w:rPr>
              <w:t>2</w:t>
            </w:r>
            <w:r>
              <w:rPr>
                <w:rFonts w:hint="default" w:ascii="Times New Roman" w:hAnsi="Times New Roman" w:cs="Times New Roman" w:eastAsiaTheme="minorEastAsia"/>
                <w:color w:val="auto"/>
                <w:sz w:val="24"/>
              </w:rPr>
              <w:t>PO</w:t>
            </w:r>
            <w:r>
              <w:rPr>
                <w:rFonts w:hint="default" w:ascii="Times New Roman" w:hAnsi="Times New Roman" w:cs="Times New Roman" w:eastAsiaTheme="minorEastAsia"/>
                <w:color w:val="auto"/>
                <w:sz w:val="24"/>
                <w:vertAlign w:val="subscript"/>
              </w:rPr>
              <w:t>4</w:t>
            </w:r>
            <w:r>
              <w:rPr>
                <w:rFonts w:hint="default" w:ascii="Times New Roman" w:hAnsi="Times New Roman" w:cs="Times New Roman" w:eastAsiaTheme="minorEastAsia"/>
                <w:color w:val="auto"/>
                <w:sz w:val="24"/>
              </w:rPr>
              <w:t>)</w:t>
            </w:r>
            <w:r>
              <w:rPr>
                <w:rFonts w:hint="default" w:ascii="Times New Roman" w:hAnsi="Times New Roman" w:cs="Times New Roman" w:eastAsiaTheme="minorEastAsia"/>
                <w:color w:val="auto"/>
                <w:sz w:val="24"/>
                <w:vertAlign w:val="subscript"/>
              </w:rPr>
              <w:t>2</w:t>
            </w:r>
            <w:r>
              <w:rPr>
                <w:rFonts w:hint="default" w:ascii="Times New Roman" w:hAnsi="Times New Roman" w:cs="Times New Roman" w:eastAsiaTheme="minorEastAsia"/>
                <w:color w:val="auto"/>
                <w:sz w:val="24"/>
              </w:rPr>
              <w:t>+8H</w:t>
            </w:r>
            <w:r>
              <w:rPr>
                <w:rFonts w:hint="default" w:ascii="Times New Roman" w:hAnsi="Times New Roman" w:cs="Times New Roman" w:eastAsiaTheme="minorEastAsia"/>
                <w:color w:val="auto"/>
                <w:sz w:val="24"/>
                <w:vertAlign w:val="subscript"/>
              </w:rPr>
              <w:t>2</w:t>
            </w:r>
            <w:r>
              <w:rPr>
                <w:rFonts w:hint="default" w:ascii="Times New Roman" w:hAnsi="Times New Roman" w:cs="Times New Roman" w:eastAsiaTheme="minorEastAsia"/>
                <w:color w:val="auto"/>
                <w:sz w:val="24"/>
              </w:rPr>
              <w:t>O+H</w:t>
            </w:r>
            <w:r>
              <w:rPr>
                <w:rFonts w:hint="default" w:ascii="Times New Roman" w:hAnsi="Times New Roman" w:cs="Times New Roman" w:eastAsiaTheme="minorEastAsia"/>
                <w:color w:val="auto"/>
                <w:sz w:val="24"/>
                <w:vertAlign w:val="subscript"/>
              </w:rPr>
              <w:t>3</w:t>
            </w:r>
            <w:r>
              <w:rPr>
                <w:rFonts w:hint="default" w:ascii="Times New Roman" w:hAnsi="Times New Roman" w:cs="Times New Roman" w:eastAsiaTheme="minorEastAsia"/>
                <w:color w:val="auto"/>
                <w:sz w:val="24"/>
              </w:rPr>
              <w:t>PO</w:t>
            </w:r>
            <w:r>
              <w:rPr>
                <w:rFonts w:hint="default" w:ascii="Times New Roman" w:hAnsi="Times New Roman" w:cs="Times New Roman" w:eastAsiaTheme="minorEastAsia"/>
                <w:color w:val="auto"/>
                <w:sz w:val="24"/>
                <w:vertAlign w:val="subscript"/>
              </w:rPr>
              <w:t>4</w:t>
            </w:r>
            <w:r>
              <w:rPr>
                <w:rFonts w:hint="default" w:ascii="Times New Roman" w:hAnsi="Times New Roman" w:cs="Times New Roman" w:eastAsiaTheme="minorEastAsia"/>
                <w:color w:val="auto"/>
                <w:sz w:val="24"/>
              </w:rPr>
              <w:t>=Me</w:t>
            </w:r>
            <w:r>
              <w:rPr>
                <w:rFonts w:hint="default" w:ascii="Times New Roman" w:hAnsi="Times New Roman" w:cs="Times New Roman" w:eastAsiaTheme="minorEastAsia"/>
                <w:color w:val="auto"/>
                <w:sz w:val="24"/>
                <w:vertAlign w:val="subscript"/>
              </w:rPr>
              <w:t>2</w:t>
            </w:r>
            <w:r>
              <w:rPr>
                <w:rFonts w:hint="default" w:ascii="Times New Roman" w:hAnsi="Times New Roman" w:cs="Times New Roman" w:eastAsiaTheme="minorEastAsia"/>
                <w:color w:val="auto"/>
                <w:sz w:val="24"/>
              </w:rPr>
              <w:t>Fe(PO</w:t>
            </w:r>
            <w:r>
              <w:rPr>
                <w:rFonts w:hint="default" w:ascii="Times New Roman" w:hAnsi="Times New Roman" w:cs="Times New Roman" w:eastAsiaTheme="minorEastAsia"/>
                <w:color w:val="auto"/>
                <w:sz w:val="24"/>
                <w:vertAlign w:val="subscript"/>
              </w:rPr>
              <w:t>4</w:t>
            </w:r>
            <w:r>
              <w:rPr>
                <w:rFonts w:hint="default" w:ascii="Times New Roman" w:hAnsi="Times New Roman" w:cs="Times New Roman" w:eastAsiaTheme="minorEastAsia"/>
                <w:color w:val="auto"/>
                <w:sz w:val="24"/>
              </w:rPr>
              <w:t>)</w:t>
            </w:r>
            <w:r>
              <w:rPr>
                <w:rFonts w:hint="default" w:ascii="Times New Roman" w:hAnsi="Times New Roman" w:cs="Times New Roman" w:eastAsiaTheme="minorEastAsia"/>
                <w:color w:val="auto"/>
                <w:sz w:val="24"/>
                <w:vertAlign w:val="subscript"/>
              </w:rPr>
              <w:t>2</w:t>
            </w:r>
            <w:r>
              <w:rPr>
                <w:rFonts w:hint="default" w:ascii="Times New Roman" w:hAnsi="Times New Roman" w:cs="Times New Roman" w:eastAsiaTheme="minorEastAsia"/>
                <w:color w:val="auto"/>
                <w:sz w:val="24"/>
              </w:rPr>
              <w:t>·4H</w:t>
            </w:r>
            <w:r>
              <w:rPr>
                <w:rFonts w:hint="default" w:ascii="Times New Roman" w:hAnsi="Times New Roman" w:cs="Times New Roman" w:eastAsiaTheme="minorEastAsia"/>
                <w:color w:val="auto"/>
                <w:sz w:val="24"/>
                <w:vertAlign w:val="subscript"/>
              </w:rPr>
              <w:t>2</w:t>
            </w:r>
            <w:r>
              <w:rPr>
                <w:rFonts w:hint="default" w:ascii="Times New Roman" w:hAnsi="Times New Roman" w:cs="Times New Roman" w:eastAsiaTheme="minorEastAsia"/>
                <w:color w:val="auto"/>
                <w:sz w:val="24"/>
              </w:rPr>
              <w:t>O(膜)+Me</w:t>
            </w:r>
            <w:r>
              <w:rPr>
                <w:rFonts w:hint="default" w:ascii="Times New Roman" w:hAnsi="Times New Roman" w:cs="Times New Roman" w:eastAsiaTheme="minorEastAsia"/>
                <w:color w:val="auto"/>
                <w:sz w:val="24"/>
                <w:vertAlign w:val="subscript"/>
              </w:rPr>
              <w:t>3</w:t>
            </w:r>
            <w:r>
              <w:rPr>
                <w:rFonts w:hint="default" w:ascii="Times New Roman" w:hAnsi="Times New Roman" w:cs="Times New Roman" w:eastAsiaTheme="minorEastAsia"/>
                <w:color w:val="auto"/>
                <w:sz w:val="24"/>
              </w:rPr>
              <w:t>(PO</w:t>
            </w:r>
            <w:r>
              <w:rPr>
                <w:rFonts w:hint="default" w:ascii="Times New Roman" w:hAnsi="Times New Roman" w:cs="Times New Roman" w:eastAsiaTheme="minorEastAsia"/>
                <w:color w:val="auto"/>
                <w:sz w:val="24"/>
                <w:vertAlign w:val="subscript"/>
              </w:rPr>
              <w:t>4</w:t>
            </w:r>
            <w:r>
              <w:rPr>
                <w:rFonts w:hint="default" w:ascii="Times New Roman" w:hAnsi="Times New Roman" w:cs="Times New Roman" w:eastAsiaTheme="minorEastAsia"/>
                <w:color w:val="auto"/>
                <w:sz w:val="24"/>
              </w:rPr>
              <w:t>)·4H</w:t>
            </w:r>
            <w:r>
              <w:rPr>
                <w:rFonts w:hint="default" w:ascii="Times New Roman" w:hAnsi="Times New Roman" w:cs="Times New Roman" w:eastAsiaTheme="minorEastAsia"/>
                <w:color w:val="auto"/>
                <w:sz w:val="24"/>
                <w:vertAlign w:val="subscript"/>
              </w:rPr>
              <w:t>2</w:t>
            </w:r>
            <w:r>
              <w:rPr>
                <w:rFonts w:hint="default" w:ascii="Times New Roman" w:hAnsi="Times New Roman" w:cs="Times New Roman" w:eastAsiaTheme="minorEastAsia"/>
                <w:color w:val="auto"/>
                <w:sz w:val="24"/>
              </w:rPr>
              <w:t>O(膜)+7FeHPO</w:t>
            </w:r>
            <w:r>
              <w:rPr>
                <w:rFonts w:hint="default" w:ascii="Times New Roman" w:hAnsi="Times New Roman" w:cs="Times New Roman" w:eastAsiaTheme="minorEastAsia"/>
                <w:color w:val="auto"/>
                <w:sz w:val="24"/>
                <w:vertAlign w:val="subscript"/>
              </w:rPr>
              <w:t>4</w:t>
            </w:r>
            <w:r>
              <w:rPr>
                <w:rFonts w:hint="default" w:ascii="Times New Roman" w:hAnsi="Times New Roman" w:cs="Times New Roman" w:eastAsiaTheme="minorEastAsia"/>
                <w:color w:val="auto"/>
                <w:sz w:val="24"/>
              </w:rPr>
              <w:t>(沉渣)+8H</w:t>
            </w:r>
            <w:r>
              <w:rPr>
                <w:rFonts w:hint="default" w:ascii="Times New Roman" w:hAnsi="Times New Roman" w:cs="Times New Roman" w:eastAsiaTheme="minorEastAsia"/>
                <w:color w:val="auto"/>
                <w:sz w:val="24"/>
                <w:vertAlign w:val="subscript"/>
              </w:rPr>
              <w:t>2</w:t>
            </w:r>
            <w:r>
              <w:rPr>
                <w:rFonts w:hint="default" w:ascii="Times New Roman" w:hAnsi="Times New Roman" w:cs="Times New Roman" w:eastAsiaTheme="minorEastAsia"/>
                <w:color w:val="auto"/>
                <w:sz w:val="24"/>
              </w:rPr>
              <w:t>↑</w:t>
            </w:r>
          </w:p>
          <w:p w14:paraId="676CFDA6">
            <w:pPr>
              <w:pStyle w:val="29"/>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式中Me为Mn、Zn等，本项目采用锌系磷化液，钢铁在含有磷酸及磷酸二氢盐的高温溶液中浸泡，将形成以磷酸盐沉淀物组成的晶粒状磷化膜，并产生磷酸一氢铁沉渣和氢气。</w:t>
            </w:r>
          </w:p>
          <w:p w14:paraId="051531BD">
            <w:pPr>
              <w:pStyle w:val="29"/>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磷化在磷化槽内浸泡5min，温度约为70~78℃。磷化热源来自蒸汽加热，蒸汽采用蒸汽管道间接进行加热。磷化液不进行更换，仅在液面过低时进行补充，磷化液的配置在磷化清液池内进行。磷化槽设计二用一备，当清渣时，停用工作槽，启用备用槽，不影响生产。</w:t>
            </w:r>
          </w:p>
          <w:p w14:paraId="331C4285">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产污分析：此工序磷化槽内磷化液循环使用，不外排，使用一段时间槽底产生磷化渣S5，经磷渣脱水机脱水后，磷化液回用，磷渣暂存于危废间，定期送危废资质单位处置。</w:t>
            </w:r>
          </w:p>
          <w:p w14:paraId="27508F50">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highlight w:val="yellow"/>
              </w:rPr>
            </w:pPr>
            <w:r>
              <w:rPr>
                <w:rFonts w:hint="default" w:ascii="Times New Roman" w:hAnsi="Times New Roman" w:cs="Times New Roman" w:eastAsiaTheme="minorEastAsia"/>
                <w:color w:val="auto"/>
                <w:sz w:val="24"/>
              </w:rPr>
              <w:t>（7）冲洗槽2</w:t>
            </w:r>
          </w:p>
          <w:p w14:paraId="3C73B2DA">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yellow"/>
              </w:rPr>
            </w:pPr>
            <w:r>
              <w:rPr>
                <w:rFonts w:hint="default" w:ascii="Times New Roman" w:hAnsi="Times New Roman" w:cs="Times New Roman" w:eastAsiaTheme="minorEastAsia"/>
                <w:color w:val="auto"/>
                <w:sz w:val="24"/>
              </w:rPr>
              <w:t>磷化后的盘条进入冲洗槽2中进行高压冲洗，冲洗槽四周设有上下两层冲洗管，且配有可调节喷嘴，通过喷淋方式去除盘条表面残留的磷化液；冲洗后的排水进入</w:t>
            </w:r>
            <w:r>
              <w:rPr>
                <w:rFonts w:hint="default" w:ascii="Times New Roman" w:hAnsi="Times New Roman" w:cs="Times New Roman" w:eastAsiaTheme="minorEastAsia"/>
                <w:color w:val="auto"/>
                <w:sz w:val="24"/>
                <w:lang w:val="en-US" w:eastAsia="zh-CN"/>
              </w:rPr>
              <w:t>漂洗槽再</w:t>
            </w:r>
            <w:r>
              <w:rPr>
                <w:rFonts w:hint="default" w:ascii="Times New Roman" w:hAnsi="Times New Roman" w:cs="Times New Roman"/>
                <w:color w:val="auto"/>
                <w:sz w:val="24"/>
              </w:rPr>
              <w:t>利用。</w:t>
            </w:r>
          </w:p>
          <w:p w14:paraId="24F3974F">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（8）中和槽</w:t>
            </w:r>
          </w:p>
          <w:p w14:paraId="7A6F777D">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盘条经高压水洗后进入中和槽（加入碱片），中和洗温度为50～60℃，生产前介质加热到工艺参数，组织生产，槽内介质失效时应全部更换。加热方式同磷化槽相同，中和槽水定期排放（按每15天更换一次计），补水采用新鲜水。</w:t>
            </w:r>
          </w:p>
          <w:p w14:paraId="0D6F6410">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产污分析：该过程会产生中和废液（含槽渣）W5，收集后排入厂区污水处理站处理。</w:t>
            </w:r>
          </w:p>
          <w:p w14:paraId="246FF4E0">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（9）石灰/皂化</w:t>
            </w:r>
          </w:p>
          <w:p w14:paraId="1243935A">
            <w:pPr>
              <w:pStyle w:val="29"/>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中和之后进入石灰或皂化工序。</w:t>
            </w:r>
          </w:p>
          <w:p w14:paraId="308521A2">
            <w:pPr>
              <w:pStyle w:val="29"/>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fldChar w:fldCharType="begin"/>
            </w:r>
            <w:r>
              <w:rPr>
                <w:rFonts w:hint="default" w:ascii="Times New Roman" w:hAnsi="Times New Roman" w:cs="Times New Roman" w:eastAsiaTheme="minorEastAsia"/>
                <w:color w:val="auto"/>
                <w:sz w:val="24"/>
              </w:rPr>
              <w:instrText xml:space="preserve"> = 1 \* GB3 \* MERGEFORMAT </w:instrText>
            </w:r>
            <w:r>
              <w:rPr>
                <w:rFonts w:hint="default" w:ascii="Times New Roman" w:hAnsi="Times New Roman" w:cs="Times New Roman" w:eastAsiaTheme="minorEastAsia"/>
                <w:color w:val="auto"/>
                <w:sz w:val="24"/>
              </w:rPr>
              <w:fldChar w:fldCharType="separate"/>
            </w:r>
            <w:r>
              <w:rPr>
                <w:rFonts w:hint="default" w:ascii="Times New Roman" w:hAnsi="Times New Roman" w:cs="Times New Roman" w:eastAsiaTheme="minorEastAsia"/>
                <w:color w:val="auto"/>
                <w:sz w:val="24"/>
              </w:rPr>
              <w:t>①</w:t>
            </w:r>
            <w:r>
              <w:rPr>
                <w:rFonts w:hint="default" w:ascii="Times New Roman" w:hAnsi="Times New Roman" w:cs="Times New Roman" w:eastAsiaTheme="minorEastAsia"/>
                <w:color w:val="auto"/>
                <w:sz w:val="24"/>
              </w:rPr>
              <w:fldChar w:fldCharType="end"/>
            </w:r>
            <w:r>
              <w:rPr>
                <w:rFonts w:hint="default" w:ascii="Times New Roman" w:hAnsi="Times New Roman" w:cs="Times New Roman" w:eastAsiaTheme="minorEastAsia"/>
                <w:color w:val="auto"/>
                <w:sz w:val="24"/>
              </w:rPr>
              <w:t>石灰</w:t>
            </w:r>
          </w:p>
          <w:p w14:paraId="3B169CEC">
            <w:pPr>
              <w:pStyle w:val="29"/>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eastAsiaTheme="minorEastAsia"/>
                <w:color w:val="auto"/>
                <w:sz w:val="24"/>
              </w:rPr>
              <w:t>石灰过程在石灰槽内进行，浸泡1.5min，温度约为85~90℃。</w:t>
            </w:r>
            <w:r>
              <w:rPr>
                <w:rFonts w:hint="default" w:ascii="Times New Roman" w:hAnsi="Times New Roman" w:cs="Times New Roman"/>
                <w:color w:val="auto"/>
                <w:sz w:val="24"/>
              </w:rPr>
              <w:t>槽外配有预溶池，预溶</w:t>
            </w:r>
            <w:r>
              <w:rPr>
                <w:rFonts w:hint="default" w:ascii="Times New Roman" w:hAnsi="Times New Roman" w:cs="Times New Roman"/>
                <w:color w:val="auto"/>
                <w:sz w:val="24"/>
                <w:lang w:val="en-US" w:eastAsia="zh-CN"/>
              </w:rPr>
              <w:t>池</w:t>
            </w:r>
            <w:r>
              <w:rPr>
                <w:rFonts w:hint="default" w:ascii="Times New Roman" w:hAnsi="Times New Roman" w:cs="Times New Roman"/>
                <w:color w:val="auto"/>
                <w:sz w:val="24"/>
              </w:rPr>
              <w:t>事先加石灰加热、搅拌，由泵抽入石灰槽。生产前将介质加热到工艺参数，加热方式同磷化槽相同。</w:t>
            </w:r>
          </w:p>
          <w:p w14:paraId="049C3E57">
            <w:pPr>
              <w:pStyle w:val="29"/>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②皂化</w:t>
            </w:r>
          </w:p>
          <w:p w14:paraId="0FA0BB88">
            <w:pPr>
              <w:pStyle w:val="29"/>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皂化过程在皂化槽内进行，采用皂化液浸泡1.5min，温度约为85~90℃，主要起到润滑及防锈的作用。皂化液</w:t>
            </w:r>
            <w:r>
              <w:rPr>
                <w:rFonts w:hint="default" w:ascii="Times New Roman" w:hAnsi="Times New Roman" w:cs="Times New Roman" w:eastAsiaTheme="minorEastAsia"/>
                <w:color w:val="auto"/>
                <w:sz w:val="24"/>
                <w:lang w:eastAsia="zh-CN"/>
              </w:rPr>
              <w:t>（</w:t>
            </w:r>
            <w:r>
              <w:rPr>
                <w:rFonts w:hint="default" w:ascii="Times New Roman" w:hAnsi="Times New Roman" w:cs="Times New Roman" w:eastAsiaTheme="minorEastAsia"/>
                <w:color w:val="auto"/>
                <w:sz w:val="24"/>
              </w:rPr>
              <w:t>S6</w:t>
            </w:r>
            <w:r>
              <w:rPr>
                <w:rFonts w:hint="default" w:ascii="Times New Roman" w:hAnsi="Times New Roman" w:cs="Times New Roman" w:eastAsiaTheme="minorEastAsia"/>
                <w:color w:val="auto"/>
                <w:sz w:val="24"/>
                <w:lang w:eastAsia="zh-CN"/>
              </w:rPr>
              <w:t>）</w:t>
            </w:r>
            <w:r>
              <w:rPr>
                <w:rFonts w:hint="default" w:ascii="Times New Roman" w:hAnsi="Times New Roman" w:cs="Times New Roman" w:eastAsiaTheme="minorEastAsia"/>
                <w:color w:val="auto"/>
                <w:sz w:val="24"/>
                <w:lang w:val="en-US" w:eastAsia="zh-CN"/>
              </w:rPr>
              <w:t>5</w:t>
            </w:r>
            <w:r>
              <w:rPr>
                <w:rFonts w:hint="default" w:ascii="Times New Roman" w:hAnsi="Times New Roman" w:cs="Times New Roman" w:eastAsiaTheme="minorEastAsia"/>
                <w:color w:val="auto"/>
                <w:sz w:val="24"/>
              </w:rPr>
              <w:t>个月排放1次，排放至低位废（皂）液池。</w:t>
            </w:r>
          </w:p>
          <w:p w14:paraId="1607010C">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rPr>
            </w:pPr>
            <w:r>
              <w:rPr>
                <w:rFonts w:hint="default" w:ascii="Times New Roman" w:hAnsi="Times New Roman" w:cs="Times New Roman"/>
                <w:color w:val="auto"/>
                <w:sz w:val="24"/>
              </w:rPr>
              <w:t>槽外配有预溶池</w:t>
            </w:r>
            <w:r>
              <w:rPr>
                <w:rFonts w:hint="default" w:ascii="Times New Roman" w:hAnsi="Times New Roman" w:cs="Times New Roman" w:eastAsiaTheme="minorEastAsia"/>
                <w:color w:val="auto"/>
                <w:sz w:val="24"/>
              </w:rPr>
              <w:t>，预溶</w:t>
            </w:r>
            <w:r>
              <w:rPr>
                <w:rFonts w:hint="default" w:ascii="Times New Roman" w:hAnsi="Times New Roman" w:cs="Times New Roman"/>
                <w:color w:val="auto"/>
                <w:sz w:val="24"/>
              </w:rPr>
              <w:t>池</w:t>
            </w:r>
            <w:r>
              <w:rPr>
                <w:rFonts w:hint="default" w:ascii="Times New Roman" w:hAnsi="Times New Roman" w:cs="Times New Roman" w:eastAsiaTheme="minorEastAsia"/>
                <w:color w:val="auto"/>
                <w:sz w:val="24"/>
              </w:rPr>
              <w:t>事先加热预溶，加入</w:t>
            </w:r>
            <w:r>
              <w:rPr>
                <w:rFonts w:hint="default" w:ascii="Times New Roman" w:hAnsi="Times New Roman" w:cs="Times New Roman"/>
                <w:color w:val="auto"/>
                <w:sz w:val="24"/>
              </w:rPr>
              <w:t>皂片，</w:t>
            </w:r>
            <w:r>
              <w:rPr>
                <w:rFonts w:hint="default" w:ascii="Times New Roman" w:hAnsi="Times New Roman" w:cs="Times New Roman" w:eastAsiaTheme="minorEastAsia"/>
                <w:color w:val="auto"/>
                <w:sz w:val="24"/>
              </w:rPr>
              <w:t>槽配制水采用新鲜水。</w:t>
            </w:r>
          </w:p>
          <w:p w14:paraId="3940D9F5">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（10）烘干</w:t>
            </w:r>
          </w:p>
          <w:p w14:paraId="1FC6B676">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石灰/皂化完成后的盘条再进入烘干槽将表面水分烘干，槽外配有热风机，热风吹干盘条表面，烘干温度约130℃，热源来自蒸汽管道间接换风烘干。</w:t>
            </w:r>
          </w:p>
          <w:p w14:paraId="5293A32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各槽上部均安装有梯形密封盖,密封盖连接成整体，形成</w:t>
            </w:r>
            <w:r>
              <w:rPr>
                <w:rFonts w:hint="default" w:ascii="Times New Roman" w:hAnsi="Times New Roman" w:cs="Times New Roman"/>
                <w:color w:val="auto"/>
                <w:sz w:val="24"/>
                <w:lang w:val="en-US" w:eastAsia="zh-CN"/>
              </w:rPr>
              <w:t>全密闭的</w:t>
            </w:r>
            <w:r>
              <w:rPr>
                <w:rFonts w:hint="default" w:ascii="Times New Roman" w:hAnsi="Times New Roman" w:cs="Times New Roman"/>
                <w:color w:val="auto"/>
                <w:sz w:val="24"/>
              </w:rPr>
              <w:t>隧道，密封盖上部中间留有吊钩行走道,配有无接缝耐酸橡胶皮，防止酸雾外逸。密封盖一侧安装酸雾管道，另一侧配有观察口。整条线配4套门，即水密封槽、潜水槽密封盖配有3套活动门，正常运行时该门长期关闭，停运检查槽体时可手动开启。烘干槽密封盖配有一套气动式自动门。</w:t>
            </w:r>
          </w:p>
          <w:p w14:paraId="1B641125">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rPr>
            </w:pPr>
            <w:r>
              <w:rPr>
                <w:rFonts w:hint="default" w:ascii="Times New Roman" w:hAnsi="Times New Roman" w:cs="Times New Roman"/>
                <w:color w:val="auto"/>
                <w:sz w:val="24"/>
              </w:rPr>
              <w:t>此外，该生产过程还</w:t>
            </w:r>
            <w:r>
              <w:rPr>
                <w:rFonts w:hint="default" w:ascii="Times New Roman" w:hAnsi="Times New Roman" w:cs="Times New Roman"/>
                <w:color w:val="auto"/>
                <w:sz w:val="24"/>
                <w:highlight w:val="none"/>
              </w:rPr>
              <w:t>会产生低位回用酸罐（池）废气</w:t>
            </w:r>
            <w:r>
              <w:rPr>
                <w:rFonts w:hint="default" w:ascii="Times New Roman" w:hAnsi="Times New Roman" w:cs="Times New Roman" w:eastAsiaTheme="minorEastAsia"/>
                <w:color w:val="auto"/>
                <w:sz w:val="24"/>
                <w:highlight w:val="none"/>
              </w:rPr>
              <w:t>G2-2</w:t>
            </w:r>
            <w:r>
              <w:rPr>
                <w:rFonts w:hint="default" w:ascii="Times New Roman" w:hAnsi="Times New Roman" w:cs="Times New Roman"/>
                <w:color w:val="auto"/>
                <w:sz w:val="24"/>
                <w:highlight w:val="none"/>
              </w:rPr>
              <w:t>，低位废酸罐（池）废气</w:t>
            </w:r>
            <w:r>
              <w:rPr>
                <w:rFonts w:hint="default" w:ascii="Times New Roman" w:hAnsi="Times New Roman" w:cs="Times New Roman" w:eastAsiaTheme="minorEastAsia"/>
                <w:color w:val="auto"/>
                <w:sz w:val="24"/>
                <w:highlight w:val="none"/>
              </w:rPr>
              <w:t>G2-3</w:t>
            </w:r>
            <w:r>
              <w:rPr>
                <w:rFonts w:hint="default" w:ascii="Times New Roman" w:hAnsi="Times New Roman" w:cs="Times New Roman"/>
                <w:color w:val="auto"/>
                <w:sz w:val="24"/>
                <w:highlight w:val="none"/>
              </w:rPr>
              <w:t>、盐酸储罐呼吸</w:t>
            </w:r>
            <w:r>
              <w:rPr>
                <w:rFonts w:hint="default" w:ascii="Times New Roman" w:hAnsi="Times New Roman" w:cs="Times New Roman"/>
                <w:color w:val="auto"/>
                <w:sz w:val="24"/>
              </w:rPr>
              <w:t>废气G2-4；表面处理生产线设备噪声N；生产过程中的磷化液原料空桶S7、废包装袋S8（表调剂、皂片、石灰等）。</w:t>
            </w:r>
          </w:p>
          <w:p w14:paraId="0434D916">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工艺流程及排污节点图见下图：</w:t>
            </w:r>
          </w:p>
          <w:bookmarkEnd w:id="106"/>
          <w:bookmarkEnd w:id="107"/>
          <w:bookmarkEnd w:id="108"/>
          <w:bookmarkEnd w:id="109"/>
          <w:bookmarkEnd w:id="110"/>
          <w:p w14:paraId="52B57F27">
            <w:pPr>
              <w:ind w:firstLine="420" w:firstLineChars="200"/>
              <w:rPr>
                <w:rFonts w:hint="default" w:ascii="Times New Roman" w:hAnsi="Times New Roman" w:cs="Times New Roman"/>
                <w:color w:val="auto"/>
              </w:rPr>
            </w:pPr>
          </w:p>
          <w:p w14:paraId="3AC28CF0">
            <w:pPr>
              <w:ind w:firstLine="420" w:firstLineChars="200"/>
              <w:rPr>
                <w:rFonts w:hint="default" w:ascii="Times New Roman" w:hAnsi="Times New Roman" w:cs="Times New Roman"/>
                <w:color w:val="auto"/>
              </w:rPr>
            </w:pPr>
          </w:p>
          <w:p w14:paraId="003A1DAE">
            <w:pPr>
              <w:ind w:firstLine="420" w:firstLineChars="200"/>
              <w:rPr>
                <w:rFonts w:hint="default" w:ascii="Times New Roman" w:hAnsi="Times New Roman" w:cs="Times New Roman"/>
                <w:color w:val="auto"/>
              </w:rPr>
            </w:pPr>
          </w:p>
          <w:p w14:paraId="1B1DBDB3">
            <w:pPr>
              <w:ind w:firstLine="420" w:firstLineChars="200"/>
              <w:rPr>
                <w:rFonts w:hint="default" w:ascii="Times New Roman" w:hAnsi="Times New Roman" w:cs="Times New Roman"/>
                <w:color w:val="auto"/>
              </w:rPr>
            </w:pPr>
          </w:p>
          <w:p w14:paraId="232349BF">
            <w:pPr>
              <w:ind w:firstLine="420" w:firstLineChars="200"/>
              <w:rPr>
                <w:rFonts w:hint="default" w:ascii="Times New Roman" w:hAnsi="Times New Roman" w:cs="Times New Roman"/>
                <w:color w:val="auto"/>
              </w:rPr>
            </w:pPr>
          </w:p>
          <w:p w14:paraId="62877F25">
            <w:pPr>
              <w:ind w:firstLine="420" w:firstLineChars="200"/>
              <w:rPr>
                <w:rFonts w:hint="default" w:ascii="Times New Roman" w:hAnsi="Times New Roman" w:cs="Times New Roman"/>
                <w:color w:val="auto"/>
              </w:rPr>
            </w:pPr>
          </w:p>
          <w:p w14:paraId="21310A28">
            <w:pPr>
              <w:ind w:firstLine="420" w:firstLineChars="200"/>
              <w:rPr>
                <w:rFonts w:hint="default" w:ascii="Times New Roman" w:hAnsi="Times New Roman" w:cs="Times New Roman"/>
                <w:color w:val="auto"/>
              </w:rPr>
            </w:pPr>
          </w:p>
          <w:p w14:paraId="59C058A9">
            <w:pPr>
              <w:ind w:firstLine="420" w:firstLineChars="200"/>
              <w:rPr>
                <w:rFonts w:hint="default" w:ascii="Times New Roman" w:hAnsi="Times New Roman" w:cs="Times New Roman"/>
                <w:color w:val="auto"/>
              </w:rPr>
            </w:pPr>
          </w:p>
        </w:tc>
      </w:tr>
    </w:tbl>
    <w:p w14:paraId="09F74422">
      <w:pPr>
        <w:autoSpaceDE w:val="0"/>
        <w:autoSpaceDN w:val="0"/>
        <w:adjustRightInd w:val="0"/>
        <w:snapToGrid w:val="0"/>
        <w:ind w:firstLine="420" w:firstLineChars="200"/>
        <w:jc w:val="center"/>
        <w:rPr>
          <w:rFonts w:hint="default" w:ascii="Times New Roman" w:hAnsi="Times New Roman" w:eastAsia="黑体" w:cs="Times New Roman"/>
          <w:b w:val="0"/>
          <w:snapToGrid w:val="0"/>
          <w:color w:val="auto"/>
          <w:szCs w:val="24"/>
        </w:rPr>
        <w:sectPr>
          <w:pgSz w:w="11905" w:h="16838"/>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p w14:paraId="0F66B353">
      <w:pPr>
        <w:autoSpaceDE w:val="0"/>
        <w:autoSpaceDN w:val="0"/>
        <w:adjustRightInd w:val="0"/>
        <w:snapToGrid w:val="0"/>
        <w:ind w:firstLine="420" w:firstLineChars="200"/>
        <w:jc w:val="center"/>
        <w:rPr>
          <w:rFonts w:hint="default" w:ascii="Times New Roman" w:hAnsi="Times New Roman" w:eastAsia="黑体" w:cs="Times New Roman"/>
          <w:b w:val="0"/>
          <w:snapToGrid w:val="0"/>
          <w:color w:val="auto"/>
          <w:szCs w:val="24"/>
        </w:rPr>
      </w:pPr>
      <w:r>
        <w:rPr>
          <w:rFonts w:hint="default" w:ascii="Times New Roman" w:hAnsi="Times New Roman" w:eastAsia="黑体" w:cs="Times New Roman"/>
          <w:b w:val="0"/>
          <w:snapToGrid w:val="0"/>
          <w:color w:val="auto"/>
          <w:szCs w:val="24"/>
        </w:rPr>
        <w:drawing>
          <wp:inline distT="0" distB="0" distL="114300" distR="114300">
            <wp:extent cx="7583805" cy="5352415"/>
            <wp:effectExtent l="0" t="0" r="0" b="0"/>
            <wp:docPr id="48" name="ECB019B1-382A-4266-B25C-5B523AA43C14-4" descr="C:/Users/10915/AppData/Local/Temp/wps.Zreqii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CB019B1-382A-4266-B25C-5B523AA43C14-4" descr="C:/Users/10915/AppData/Local/Temp/wps.Zreqiiwps"/>
                    <pic:cNvPicPr>
                      <a:picLocks noChangeAspect="1"/>
                    </pic:cNvPicPr>
                  </pic:nvPicPr>
                  <pic:blipFill>
                    <a:blip r:embed="rId19"/>
                    <a:stretch>
                      <a:fillRect/>
                    </a:stretch>
                  </pic:blipFill>
                  <pic:spPr>
                    <a:xfrm>
                      <a:off x="0" y="0"/>
                      <a:ext cx="7583805" cy="5352415"/>
                    </a:xfrm>
                    <a:prstGeom prst="rect">
                      <a:avLst/>
                    </a:prstGeom>
                  </pic:spPr>
                </pic:pic>
              </a:graphicData>
            </a:graphic>
          </wp:inline>
        </w:drawing>
      </w:r>
    </w:p>
    <w:p w14:paraId="2E273D95">
      <w:pPr>
        <w:keepNext w:val="0"/>
        <w:keepLines w:val="0"/>
        <w:pageBreakBefore w:val="0"/>
        <w:widowControl w:val="0"/>
        <w:kinsoku/>
        <w:wordWrap/>
        <w:overflowPunct/>
        <w:topLinePunct w:val="0"/>
        <w:autoSpaceDE w:val="0"/>
        <w:autoSpaceDN w:val="0"/>
        <w:bidi w:val="0"/>
        <w:adjustRightInd w:val="0"/>
        <w:snapToGrid w:val="0"/>
        <w:spacing w:before="190" w:beforeLines="50"/>
        <w:ind w:firstLine="480" w:firstLineChars="200"/>
        <w:jc w:val="center"/>
        <w:textAlignment w:val="auto"/>
        <w:rPr>
          <w:rFonts w:hint="default" w:ascii="Times New Roman" w:hAnsi="Times New Roman" w:eastAsia="黑体" w:cs="Times New Roman"/>
          <w:color w:val="auto"/>
          <w:kern w:val="2"/>
          <w:sz w:val="24"/>
          <w:szCs w:val="24"/>
          <w:lang w:val="en-US" w:eastAsia="zh-CN" w:bidi="ar-SA"/>
        </w:rPr>
        <w:sectPr>
          <w:pgSz w:w="16838" w:h="11905" w:orient="landscape"/>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r>
        <w:rPr>
          <w:rFonts w:hint="default" w:ascii="Times New Roman" w:hAnsi="Times New Roman" w:eastAsia="黑体" w:cs="Times New Roman"/>
          <w:color w:val="auto"/>
          <w:kern w:val="2"/>
          <w:sz w:val="24"/>
          <w:szCs w:val="24"/>
          <w:lang w:val="en-US" w:eastAsia="zh-CN" w:bidi="ar-SA"/>
        </w:rPr>
        <w:t xml:space="preserve">图2.3-2 </w:t>
      </w:r>
      <w:r>
        <w:rPr>
          <w:rFonts w:hint="eastAsia" w:eastAsia="黑体" w:cs="Times New Roman"/>
          <w:color w:val="auto"/>
          <w:kern w:val="2"/>
          <w:sz w:val="24"/>
          <w:szCs w:val="24"/>
          <w:lang w:val="en-US" w:eastAsia="zh-CN" w:bidi="ar-SA"/>
        </w:rPr>
        <w:t xml:space="preserve"> </w:t>
      </w:r>
      <w:r>
        <w:rPr>
          <w:rFonts w:hint="default" w:ascii="Times New Roman" w:hAnsi="Times New Roman" w:eastAsia="黑体" w:cs="Times New Roman"/>
          <w:color w:val="auto"/>
          <w:kern w:val="2"/>
          <w:sz w:val="24"/>
          <w:szCs w:val="24"/>
          <w:lang w:val="en-US" w:eastAsia="zh-CN" w:bidi="ar-SA"/>
        </w:rPr>
        <w:t>工艺流程及排污节点图</w:t>
      </w: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8860"/>
      </w:tblGrid>
      <w:tr w14:paraId="13B97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0" w:hRule="atLeast"/>
        </w:trPr>
        <w:tc>
          <w:tcPr>
            <w:tcW w:w="427" w:type="dxa"/>
          </w:tcPr>
          <w:p w14:paraId="12349404">
            <w:pPr>
              <w:pStyle w:val="17"/>
              <w:rPr>
                <w:rFonts w:hint="default" w:ascii="Times New Roman" w:hAnsi="Times New Roman" w:cs="Times New Roman"/>
                <w:color w:val="auto"/>
                <w:vertAlign w:val="baseline"/>
              </w:rPr>
            </w:pPr>
          </w:p>
        </w:tc>
        <w:tc>
          <w:tcPr>
            <w:tcW w:w="8860" w:type="dxa"/>
          </w:tcPr>
          <w:p w14:paraId="739448A7">
            <w:pPr>
              <w:pStyle w:val="5"/>
              <w:spacing w:before="189" w:after="189" w:afterLines="50" w:afterAutospacing="0" w:line="240" w:lineRule="auto"/>
              <w:rPr>
                <w:rFonts w:hint="default" w:ascii="Times New Roman" w:hAnsi="Times New Roman" w:cs="Times New Roman"/>
                <w:color w:val="auto"/>
              </w:rPr>
            </w:pPr>
            <w:r>
              <w:rPr>
                <w:rFonts w:hint="default" w:ascii="Times New Roman" w:hAnsi="Times New Roman" w:cs="Times New Roman"/>
                <w:color w:val="auto"/>
              </w:rPr>
              <w:t>2.3.4产污环节</w:t>
            </w:r>
          </w:p>
          <w:p w14:paraId="65645DB0">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根据以上生产工艺流程和产污环节分析，项目除噪声源外的主要污染源、污染防治措施及排放去向汇总情况见表2.3-2。</w:t>
            </w:r>
          </w:p>
          <w:p w14:paraId="66F50E2C">
            <w:pPr>
              <w:pStyle w:val="7"/>
              <w:spacing w:before="113" w:beforeLines="30" w:after="113" w:afterLines="30"/>
              <w:rPr>
                <w:rFonts w:hint="default" w:ascii="Times New Roman" w:hAnsi="Times New Roman" w:cs="Times New Roman"/>
                <w:color w:val="auto"/>
                <w:sz w:val="24"/>
              </w:rPr>
            </w:pPr>
            <w:r>
              <w:rPr>
                <w:rFonts w:hint="default" w:ascii="Times New Roman" w:hAnsi="Times New Roman" w:cs="Times New Roman"/>
                <w:color w:val="auto"/>
                <w:sz w:val="24"/>
              </w:rPr>
              <w:t>表2.3-2  本项目污染源及污染防治措施一览表</w:t>
            </w:r>
          </w:p>
          <w:tbl>
            <w:tblPr>
              <w:tblStyle w:val="34"/>
              <w:tblW w:w="498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7"/>
              <w:gridCol w:w="747"/>
              <w:gridCol w:w="1801"/>
              <w:gridCol w:w="2147"/>
              <w:gridCol w:w="3123"/>
            </w:tblGrid>
            <w:tr w14:paraId="6BF67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457" w:type="pct"/>
                  <w:tcBorders>
                    <w:tl2br w:val="nil"/>
                    <w:tr2bl w:val="nil"/>
                  </w:tcBorders>
                  <w:tcMar>
                    <w:left w:w="0" w:type="dxa"/>
                    <w:right w:w="0" w:type="dxa"/>
                  </w:tcMar>
                  <w:vAlign w:val="center"/>
                </w:tcPr>
                <w:p w14:paraId="68C7E562">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类别</w:t>
                  </w:r>
                </w:p>
              </w:tc>
              <w:tc>
                <w:tcPr>
                  <w:tcW w:w="434" w:type="pct"/>
                  <w:tcBorders>
                    <w:tl2br w:val="nil"/>
                    <w:tr2bl w:val="nil"/>
                  </w:tcBorders>
                  <w:tcMar>
                    <w:left w:w="0" w:type="dxa"/>
                    <w:right w:w="0" w:type="dxa"/>
                  </w:tcMar>
                  <w:vAlign w:val="center"/>
                </w:tcPr>
                <w:p w14:paraId="1D2D95D2">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编号</w:t>
                  </w:r>
                </w:p>
              </w:tc>
              <w:tc>
                <w:tcPr>
                  <w:tcW w:w="1046" w:type="pct"/>
                  <w:tcBorders>
                    <w:tl2br w:val="nil"/>
                    <w:tr2bl w:val="nil"/>
                  </w:tcBorders>
                  <w:tcMar>
                    <w:top w:w="0" w:type="dxa"/>
                    <w:left w:w="0" w:type="dxa"/>
                    <w:bottom w:w="0" w:type="dxa"/>
                    <w:right w:w="0" w:type="dxa"/>
                  </w:tcMar>
                  <w:vAlign w:val="center"/>
                </w:tcPr>
                <w:p w14:paraId="6825B4F7">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污染源</w:t>
                  </w:r>
                </w:p>
              </w:tc>
              <w:tc>
                <w:tcPr>
                  <w:tcW w:w="1247" w:type="pct"/>
                  <w:tcBorders>
                    <w:tl2br w:val="nil"/>
                    <w:tr2bl w:val="nil"/>
                  </w:tcBorders>
                  <w:tcMar>
                    <w:left w:w="0" w:type="dxa"/>
                    <w:right w:w="0" w:type="dxa"/>
                  </w:tcMar>
                  <w:vAlign w:val="center"/>
                </w:tcPr>
                <w:p w14:paraId="33F9A6EB">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污染物主要成份</w:t>
                  </w:r>
                </w:p>
              </w:tc>
              <w:tc>
                <w:tcPr>
                  <w:tcW w:w="1814" w:type="pct"/>
                  <w:tcBorders>
                    <w:tl2br w:val="nil"/>
                    <w:tr2bl w:val="nil"/>
                  </w:tcBorders>
                  <w:tcMar>
                    <w:left w:w="0" w:type="dxa"/>
                    <w:right w:w="0" w:type="dxa"/>
                  </w:tcMar>
                  <w:vAlign w:val="center"/>
                </w:tcPr>
                <w:p w14:paraId="16BA2E31">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治理措施及排放去向</w:t>
                  </w:r>
                </w:p>
              </w:tc>
            </w:tr>
            <w:tr w14:paraId="23389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restart"/>
                  <w:tcBorders>
                    <w:tl2br w:val="nil"/>
                    <w:tr2bl w:val="nil"/>
                  </w:tcBorders>
                  <w:tcMar>
                    <w:left w:w="0" w:type="dxa"/>
                    <w:right w:w="0" w:type="dxa"/>
                  </w:tcMar>
                  <w:vAlign w:val="center"/>
                </w:tcPr>
                <w:p w14:paraId="47EDD2FC">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废气</w:t>
                  </w:r>
                </w:p>
              </w:tc>
              <w:tc>
                <w:tcPr>
                  <w:tcW w:w="434" w:type="pct"/>
                  <w:vMerge w:val="restart"/>
                  <w:tcBorders>
                    <w:tl2br w:val="nil"/>
                    <w:tr2bl w:val="nil"/>
                  </w:tcBorders>
                  <w:tcMar>
                    <w:left w:w="0" w:type="dxa"/>
                    <w:right w:w="0" w:type="dxa"/>
                  </w:tcMar>
                  <w:vAlign w:val="center"/>
                </w:tcPr>
                <w:p w14:paraId="3D32D46F">
                  <w:pPr>
                    <w:adjustRightInd w:val="0"/>
                    <w:snapToGrid w:val="0"/>
                    <w:jc w:val="center"/>
                    <w:rPr>
                      <w:rFonts w:hint="default" w:ascii="Times New Roman" w:hAnsi="Times New Roman" w:cs="Times New Roman"/>
                      <w:color w:val="auto"/>
                      <w:szCs w:val="21"/>
                    </w:rPr>
                  </w:pPr>
                  <w:bookmarkStart w:id="112" w:name="OLE_LINK20"/>
                  <w:r>
                    <w:rPr>
                      <w:rFonts w:hint="default" w:ascii="Times New Roman" w:hAnsi="Times New Roman" w:cs="Times New Roman"/>
                      <w:color w:val="auto"/>
                      <w:szCs w:val="21"/>
                    </w:rPr>
                    <w:t>DA00</w:t>
                  </w:r>
                  <w:bookmarkEnd w:id="112"/>
                  <w:r>
                    <w:rPr>
                      <w:rFonts w:hint="default" w:ascii="Times New Roman" w:hAnsi="Times New Roman" w:cs="Times New Roman"/>
                      <w:color w:val="auto"/>
                      <w:szCs w:val="21"/>
                    </w:rPr>
                    <w:t>6</w:t>
                  </w:r>
                </w:p>
              </w:tc>
              <w:tc>
                <w:tcPr>
                  <w:tcW w:w="1046" w:type="pct"/>
                  <w:vMerge w:val="restart"/>
                  <w:tcBorders>
                    <w:tl2br w:val="nil"/>
                    <w:tr2bl w:val="nil"/>
                  </w:tcBorders>
                  <w:tcMar>
                    <w:top w:w="0" w:type="dxa"/>
                    <w:left w:w="0" w:type="dxa"/>
                    <w:bottom w:w="0" w:type="dxa"/>
                    <w:right w:w="0" w:type="dxa"/>
                  </w:tcMar>
                  <w:vAlign w:val="center"/>
                </w:tcPr>
                <w:p w14:paraId="057D2CB0">
                  <w:pPr>
                    <w:adjustRightInd w:val="0"/>
                    <w:snapToGrid w:val="0"/>
                    <w:jc w:val="both"/>
                    <w:rPr>
                      <w:rFonts w:hint="default" w:ascii="Times New Roman" w:hAnsi="Times New Roman" w:cs="Times New Roman"/>
                      <w:color w:val="auto"/>
                      <w:szCs w:val="21"/>
                    </w:rPr>
                  </w:pPr>
                  <w:r>
                    <w:rPr>
                      <w:rFonts w:hint="default" w:ascii="Times New Roman" w:hAnsi="Times New Roman" w:cs="Times New Roman"/>
                      <w:color w:val="auto"/>
                      <w:kern w:val="0"/>
                      <w:szCs w:val="21"/>
                    </w:rPr>
                    <w:t>剥壳除锈、打磨粉尘（1#车间整改）</w:t>
                  </w:r>
                </w:p>
              </w:tc>
              <w:tc>
                <w:tcPr>
                  <w:tcW w:w="1247" w:type="pct"/>
                  <w:tcBorders>
                    <w:tl2br w:val="nil"/>
                    <w:tr2bl w:val="nil"/>
                  </w:tcBorders>
                  <w:tcMar>
                    <w:left w:w="0" w:type="dxa"/>
                    <w:right w:w="0" w:type="dxa"/>
                  </w:tcMar>
                  <w:vAlign w:val="center"/>
                </w:tcPr>
                <w:p w14:paraId="4356DE48">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颗粒物</w:t>
                  </w:r>
                </w:p>
              </w:tc>
              <w:tc>
                <w:tcPr>
                  <w:tcW w:w="1814" w:type="pct"/>
                  <w:vMerge w:val="restart"/>
                  <w:tcBorders>
                    <w:tl2br w:val="nil"/>
                    <w:tr2bl w:val="nil"/>
                  </w:tcBorders>
                  <w:tcMar>
                    <w:left w:w="0" w:type="dxa"/>
                    <w:right w:w="0" w:type="dxa"/>
                  </w:tcMar>
                  <w:vAlign w:val="center"/>
                </w:tcPr>
                <w:p w14:paraId="7DC07B4A">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采用滤筒除尘器处理达标后由18m高排气筒排放</w:t>
                  </w:r>
                </w:p>
              </w:tc>
            </w:tr>
            <w:tr w14:paraId="3AECA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continue"/>
                  <w:tcBorders>
                    <w:tl2br w:val="nil"/>
                    <w:tr2bl w:val="nil"/>
                  </w:tcBorders>
                  <w:tcMar>
                    <w:left w:w="0" w:type="dxa"/>
                    <w:right w:w="0" w:type="dxa"/>
                  </w:tcMar>
                  <w:vAlign w:val="center"/>
                </w:tcPr>
                <w:p w14:paraId="06415B75">
                  <w:pPr>
                    <w:adjustRightInd w:val="0"/>
                    <w:snapToGrid w:val="0"/>
                    <w:jc w:val="center"/>
                    <w:rPr>
                      <w:rFonts w:hint="default" w:ascii="Times New Roman" w:hAnsi="Times New Roman" w:cs="Times New Roman"/>
                      <w:color w:val="auto"/>
                      <w:szCs w:val="21"/>
                    </w:rPr>
                  </w:pPr>
                </w:p>
              </w:tc>
              <w:tc>
                <w:tcPr>
                  <w:tcW w:w="434" w:type="pct"/>
                  <w:tcBorders>
                    <w:tl2br w:val="nil"/>
                    <w:tr2bl w:val="nil"/>
                  </w:tcBorders>
                  <w:tcMar>
                    <w:left w:w="0" w:type="dxa"/>
                    <w:right w:w="0" w:type="dxa"/>
                  </w:tcMar>
                  <w:vAlign w:val="center"/>
                </w:tcPr>
                <w:p w14:paraId="5044F2BD">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DA007</w:t>
                  </w:r>
                </w:p>
              </w:tc>
              <w:tc>
                <w:tcPr>
                  <w:tcW w:w="1046" w:type="pct"/>
                  <w:tcBorders>
                    <w:tl2br w:val="nil"/>
                    <w:tr2bl w:val="nil"/>
                  </w:tcBorders>
                  <w:tcMar>
                    <w:top w:w="0" w:type="dxa"/>
                    <w:left w:w="0" w:type="dxa"/>
                    <w:bottom w:w="0" w:type="dxa"/>
                    <w:right w:w="0" w:type="dxa"/>
                  </w:tcMar>
                  <w:vAlign w:val="center"/>
                </w:tcPr>
                <w:p w14:paraId="29A6F803">
                  <w:pPr>
                    <w:adjustRightInd w:val="0"/>
                    <w:snapToGrid w:val="0"/>
                    <w:jc w:val="both"/>
                    <w:rPr>
                      <w:rFonts w:hint="default" w:ascii="Times New Roman" w:hAnsi="Times New Roman" w:cs="Times New Roman"/>
                      <w:color w:val="auto"/>
                      <w:szCs w:val="21"/>
                      <w:highlight w:val="yellow"/>
                    </w:rPr>
                  </w:pPr>
                  <w:r>
                    <w:rPr>
                      <w:rFonts w:hint="default" w:ascii="Times New Roman" w:hAnsi="Times New Roman" w:cs="Times New Roman"/>
                      <w:color w:val="auto"/>
                      <w:kern w:val="0"/>
                      <w:szCs w:val="21"/>
                    </w:rPr>
                    <w:t>沙发/床垫弹簧钢丝线剥壳除锈、打磨粉尘G1</w:t>
                  </w:r>
                </w:p>
              </w:tc>
              <w:tc>
                <w:tcPr>
                  <w:tcW w:w="1247" w:type="pct"/>
                  <w:tcBorders>
                    <w:tl2br w:val="nil"/>
                    <w:tr2bl w:val="nil"/>
                  </w:tcBorders>
                  <w:tcMar>
                    <w:left w:w="0" w:type="dxa"/>
                    <w:right w:w="0" w:type="dxa"/>
                  </w:tcMar>
                  <w:vAlign w:val="center"/>
                </w:tcPr>
                <w:p w14:paraId="5342123D">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颗粒物</w:t>
                  </w:r>
                </w:p>
              </w:tc>
              <w:tc>
                <w:tcPr>
                  <w:tcW w:w="1814" w:type="pct"/>
                  <w:tcBorders>
                    <w:tl2br w:val="nil"/>
                    <w:tr2bl w:val="nil"/>
                  </w:tcBorders>
                  <w:tcMar>
                    <w:left w:w="0" w:type="dxa"/>
                    <w:right w:w="0" w:type="dxa"/>
                  </w:tcMar>
                  <w:vAlign w:val="center"/>
                </w:tcPr>
                <w:p w14:paraId="4A5C516D">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采用滤筒除尘器处理达标后由18m高排气筒排放</w:t>
                  </w:r>
                </w:p>
              </w:tc>
            </w:tr>
            <w:tr w14:paraId="71F5D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continue"/>
                  <w:tcBorders>
                    <w:tl2br w:val="nil"/>
                    <w:tr2bl w:val="nil"/>
                  </w:tcBorders>
                  <w:tcMar>
                    <w:left w:w="0" w:type="dxa"/>
                    <w:right w:w="0" w:type="dxa"/>
                  </w:tcMar>
                  <w:vAlign w:val="center"/>
                </w:tcPr>
                <w:p w14:paraId="1F20DD43">
                  <w:pPr>
                    <w:adjustRightInd w:val="0"/>
                    <w:snapToGrid w:val="0"/>
                    <w:jc w:val="center"/>
                    <w:rPr>
                      <w:rFonts w:hint="default" w:ascii="Times New Roman" w:hAnsi="Times New Roman" w:cs="Times New Roman"/>
                      <w:color w:val="auto"/>
                      <w:szCs w:val="21"/>
                    </w:rPr>
                  </w:pPr>
                </w:p>
              </w:tc>
              <w:tc>
                <w:tcPr>
                  <w:tcW w:w="434" w:type="pct"/>
                  <w:vMerge w:val="restart"/>
                  <w:tcBorders>
                    <w:tl2br w:val="nil"/>
                    <w:tr2bl w:val="nil"/>
                  </w:tcBorders>
                  <w:tcMar>
                    <w:left w:w="0" w:type="dxa"/>
                    <w:right w:w="0" w:type="dxa"/>
                  </w:tcMar>
                  <w:vAlign w:val="center"/>
                </w:tcPr>
                <w:p w14:paraId="0187698B">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DA008</w:t>
                  </w:r>
                </w:p>
              </w:tc>
              <w:tc>
                <w:tcPr>
                  <w:tcW w:w="1046" w:type="pct"/>
                  <w:tcBorders>
                    <w:tl2br w:val="nil"/>
                    <w:tr2bl w:val="nil"/>
                  </w:tcBorders>
                  <w:tcMar>
                    <w:top w:w="0" w:type="dxa"/>
                    <w:left w:w="0" w:type="dxa"/>
                    <w:bottom w:w="0" w:type="dxa"/>
                    <w:right w:w="0" w:type="dxa"/>
                  </w:tcMar>
                  <w:vAlign w:val="center"/>
                </w:tcPr>
                <w:p w14:paraId="635EF45A">
                  <w:pPr>
                    <w:adjustRightInd w:val="0"/>
                    <w:snapToGrid w:val="0"/>
                    <w:jc w:val="both"/>
                    <w:rPr>
                      <w:rFonts w:hint="default" w:ascii="Times New Roman" w:hAnsi="Times New Roman" w:cs="Times New Roman"/>
                      <w:color w:val="auto"/>
                      <w:kern w:val="0"/>
                      <w:szCs w:val="21"/>
                      <w:highlight w:val="yellow"/>
                    </w:rPr>
                  </w:pPr>
                  <w:r>
                    <w:rPr>
                      <w:rFonts w:hint="default" w:ascii="Times New Roman" w:hAnsi="Times New Roman" w:cs="Times New Roman" w:eastAsiaTheme="minorEastAsia"/>
                      <w:color w:val="auto"/>
                      <w:szCs w:val="21"/>
                    </w:rPr>
                    <w:t>酸洗槽废气G2-1</w:t>
                  </w:r>
                </w:p>
              </w:tc>
              <w:tc>
                <w:tcPr>
                  <w:tcW w:w="1247" w:type="pct"/>
                  <w:tcBorders>
                    <w:tl2br w:val="nil"/>
                    <w:tr2bl w:val="nil"/>
                  </w:tcBorders>
                  <w:tcMar>
                    <w:left w:w="0" w:type="dxa"/>
                    <w:right w:w="0" w:type="dxa"/>
                  </w:tcMar>
                  <w:vAlign w:val="center"/>
                </w:tcPr>
                <w:p w14:paraId="7DDA0435">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酸雾（HCl</w:t>
                  </w:r>
                  <w:r>
                    <w:rPr>
                      <w:rFonts w:hint="default" w:ascii="Times New Roman" w:hAnsi="Times New Roman" w:cs="Times New Roman"/>
                      <w:color w:val="auto"/>
                      <w:szCs w:val="21"/>
                      <w:lang w:val="en-US" w:eastAsia="zh-CN"/>
                    </w:rPr>
                    <w:t>）</w:t>
                  </w:r>
                </w:p>
              </w:tc>
              <w:tc>
                <w:tcPr>
                  <w:tcW w:w="1814" w:type="pct"/>
                  <w:tcBorders>
                    <w:tl2br w:val="nil"/>
                    <w:tr2bl w:val="nil"/>
                  </w:tcBorders>
                  <w:tcMar>
                    <w:left w:w="0" w:type="dxa"/>
                    <w:right w:w="0" w:type="dxa"/>
                  </w:tcMar>
                  <w:vAlign w:val="center"/>
                </w:tcPr>
                <w:p w14:paraId="5A4E4858">
                  <w:pPr>
                    <w:adjustRightInd w:val="0"/>
                    <w:snapToGrid w:val="0"/>
                    <w:rPr>
                      <w:rFonts w:hint="default" w:ascii="Times New Roman" w:hAnsi="Times New Roman" w:cs="Times New Roman"/>
                      <w:color w:val="auto"/>
                      <w:szCs w:val="21"/>
                    </w:rPr>
                  </w:pPr>
                  <w:r>
                    <w:rPr>
                      <w:rFonts w:hint="default" w:ascii="Times New Roman" w:hAnsi="Times New Roman" w:cs="Times New Roman" w:eastAsiaTheme="minorEastAsia"/>
                      <w:color w:val="auto"/>
                      <w:szCs w:val="21"/>
                    </w:rPr>
                    <w:t>建设全封闭环保节能型表面处理生产线，各槽上部均安装有密封盖，密封盖连接成整体，形成隧道，密封盖上部中间留有吊钩行走道，配置耐酸橡胶皮，防止酸雾外逸，酸洗过程中产生的酸雾经引风机引入碱液喷淋吸收塔处理后，经18m排气筒排放</w:t>
                  </w:r>
                </w:p>
              </w:tc>
            </w:tr>
            <w:tr w14:paraId="0BC66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continue"/>
                  <w:tcBorders>
                    <w:tl2br w:val="nil"/>
                    <w:tr2bl w:val="nil"/>
                  </w:tcBorders>
                  <w:tcMar>
                    <w:left w:w="0" w:type="dxa"/>
                    <w:right w:w="0" w:type="dxa"/>
                  </w:tcMar>
                  <w:vAlign w:val="center"/>
                </w:tcPr>
                <w:p w14:paraId="7D091F68">
                  <w:pPr>
                    <w:adjustRightInd w:val="0"/>
                    <w:snapToGrid w:val="0"/>
                    <w:jc w:val="center"/>
                    <w:rPr>
                      <w:rFonts w:hint="default" w:ascii="Times New Roman" w:hAnsi="Times New Roman" w:cs="Times New Roman"/>
                      <w:color w:val="auto"/>
                      <w:szCs w:val="21"/>
                    </w:rPr>
                  </w:pPr>
                </w:p>
              </w:tc>
              <w:tc>
                <w:tcPr>
                  <w:tcW w:w="434" w:type="pct"/>
                  <w:vMerge w:val="continue"/>
                  <w:tcBorders>
                    <w:tl2br w:val="nil"/>
                    <w:tr2bl w:val="nil"/>
                  </w:tcBorders>
                  <w:tcMar>
                    <w:left w:w="0" w:type="dxa"/>
                    <w:right w:w="0" w:type="dxa"/>
                  </w:tcMar>
                  <w:vAlign w:val="center"/>
                </w:tcPr>
                <w:p w14:paraId="2D330F61">
                  <w:pPr>
                    <w:adjustRightInd w:val="0"/>
                    <w:snapToGrid w:val="0"/>
                    <w:jc w:val="center"/>
                    <w:rPr>
                      <w:rFonts w:hint="default" w:ascii="Times New Roman" w:hAnsi="Times New Roman" w:cs="Times New Roman"/>
                      <w:color w:val="auto"/>
                      <w:szCs w:val="21"/>
                    </w:rPr>
                  </w:pPr>
                </w:p>
              </w:tc>
              <w:tc>
                <w:tcPr>
                  <w:tcW w:w="1046" w:type="pct"/>
                  <w:tcBorders>
                    <w:tl2br w:val="nil"/>
                    <w:tr2bl w:val="nil"/>
                  </w:tcBorders>
                  <w:tcMar>
                    <w:top w:w="0" w:type="dxa"/>
                    <w:left w:w="0" w:type="dxa"/>
                    <w:bottom w:w="0" w:type="dxa"/>
                    <w:right w:w="0" w:type="dxa"/>
                  </w:tcMar>
                  <w:vAlign w:val="center"/>
                </w:tcPr>
                <w:p w14:paraId="4E18C51D">
                  <w:pPr>
                    <w:adjustRightInd w:val="0"/>
                    <w:snapToGrid w:val="0"/>
                    <w:jc w:val="both"/>
                    <w:rPr>
                      <w:rFonts w:hint="default" w:ascii="Times New Roman" w:hAnsi="Times New Roman" w:cs="Times New Roman"/>
                      <w:color w:val="auto"/>
                      <w:kern w:val="0"/>
                      <w:szCs w:val="21"/>
                    </w:rPr>
                  </w:pPr>
                  <w:r>
                    <w:rPr>
                      <w:rFonts w:hint="default" w:ascii="Times New Roman" w:hAnsi="Times New Roman" w:cs="Times New Roman" w:eastAsiaTheme="minorEastAsia"/>
                      <w:color w:val="auto"/>
                      <w:szCs w:val="21"/>
                    </w:rPr>
                    <w:t>低位回用酸</w:t>
                  </w:r>
                  <w:r>
                    <w:rPr>
                      <w:rFonts w:hint="default" w:ascii="Times New Roman" w:hAnsi="Times New Roman" w:cs="Times New Roman" w:eastAsiaTheme="minorEastAsia"/>
                      <w:color w:val="auto"/>
                      <w:szCs w:val="21"/>
                      <w:lang w:val="en-US" w:eastAsia="zh-CN"/>
                    </w:rPr>
                    <w:t>罐</w:t>
                  </w:r>
                  <w:r>
                    <w:rPr>
                      <w:rFonts w:hint="default" w:ascii="Times New Roman" w:hAnsi="Times New Roman" w:cs="Times New Roman" w:eastAsiaTheme="minorEastAsia"/>
                      <w:color w:val="auto"/>
                      <w:szCs w:val="21"/>
                    </w:rPr>
                    <w:t>废气G2-2、低位废酸</w:t>
                  </w:r>
                  <w:r>
                    <w:rPr>
                      <w:rFonts w:hint="default" w:ascii="Times New Roman" w:hAnsi="Times New Roman" w:cs="Times New Roman" w:eastAsiaTheme="minorEastAsia"/>
                      <w:color w:val="auto"/>
                      <w:szCs w:val="21"/>
                      <w:lang w:val="en-US" w:eastAsia="zh-CN"/>
                    </w:rPr>
                    <w:t>罐</w:t>
                  </w:r>
                  <w:r>
                    <w:rPr>
                      <w:rFonts w:hint="default" w:ascii="Times New Roman" w:hAnsi="Times New Roman" w:cs="Times New Roman" w:eastAsiaTheme="minorEastAsia"/>
                      <w:color w:val="auto"/>
                      <w:szCs w:val="21"/>
                    </w:rPr>
                    <w:t>废气G2-3、盐酸储罐呼吸废气G2-4</w:t>
                  </w:r>
                </w:p>
              </w:tc>
              <w:tc>
                <w:tcPr>
                  <w:tcW w:w="1247" w:type="pct"/>
                  <w:tcBorders>
                    <w:tl2br w:val="nil"/>
                    <w:tr2bl w:val="nil"/>
                  </w:tcBorders>
                  <w:tcMar>
                    <w:left w:w="0" w:type="dxa"/>
                    <w:right w:w="0" w:type="dxa"/>
                  </w:tcMar>
                  <w:vAlign w:val="center"/>
                </w:tcPr>
                <w:p w14:paraId="5F5C48E7">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酸雾（HCl）</w:t>
                  </w:r>
                </w:p>
              </w:tc>
              <w:tc>
                <w:tcPr>
                  <w:tcW w:w="1814" w:type="pct"/>
                  <w:tcBorders>
                    <w:tl2br w:val="nil"/>
                    <w:tr2bl w:val="nil"/>
                  </w:tcBorders>
                  <w:tcMar>
                    <w:left w:w="0" w:type="dxa"/>
                    <w:right w:w="0" w:type="dxa"/>
                  </w:tcMar>
                  <w:vAlign w:val="center"/>
                </w:tcPr>
                <w:p w14:paraId="1A658F76">
                  <w:pPr>
                    <w:adjustRightInd w:val="0"/>
                    <w:snapToGrid w:val="0"/>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低位回用酸罐（池）废气、低位废酸罐（池）废气、盐酸储罐呼吸废气经管道引入碱液喷淋吸收塔处理后，经18m排气筒排放（与酸洗槽废气共用）</w:t>
                  </w:r>
                </w:p>
              </w:tc>
            </w:tr>
            <w:tr w14:paraId="02025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continue"/>
                  <w:tcBorders>
                    <w:tl2br w:val="nil"/>
                    <w:tr2bl w:val="nil"/>
                  </w:tcBorders>
                  <w:tcMar>
                    <w:left w:w="0" w:type="dxa"/>
                    <w:right w:w="0" w:type="dxa"/>
                  </w:tcMar>
                  <w:vAlign w:val="center"/>
                </w:tcPr>
                <w:p w14:paraId="19E4B632">
                  <w:pPr>
                    <w:adjustRightInd w:val="0"/>
                    <w:snapToGrid w:val="0"/>
                    <w:jc w:val="center"/>
                    <w:rPr>
                      <w:rFonts w:hint="default" w:ascii="Times New Roman" w:hAnsi="Times New Roman" w:cs="Times New Roman"/>
                      <w:color w:val="auto"/>
                      <w:szCs w:val="21"/>
                    </w:rPr>
                  </w:pPr>
                </w:p>
              </w:tc>
              <w:tc>
                <w:tcPr>
                  <w:tcW w:w="434" w:type="pct"/>
                  <w:tcBorders>
                    <w:tl2br w:val="nil"/>
                    <w:tr2bl w:val="nil"/>
                  </w:tcBorders>
                  <w:tcMar>
                    <w:left w:w="0" w:type="dxa"/>
                    <w:right w:w="0" w:type="dxa"/>
                  </w:tcMar>
                  <w:vAlign w:val="center"/>
                </w:tcPr>
                <w:p w14:paraId="66C79A25">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DA009</w:t>
                  </w:r>
                </w:p>
              </w:tc>
              <w:tc>
                <w:tcPr>
                  <w:tcW w:w="1046" w:type="pct"/>
                  <w:tcBorders>
                    <w:tl2br w:val="nil"/>
                    <w:tr2bl w:val="nil"/>
                  </w:tcBorders>
                  <w:tcMar>
                    <w:top w:w="0" w:type="dxa"/>
                    <w:left w:w="0" w:type="dxa"/>
                    <w:bottom w:w="0" w:type="dxa"/>
                    <w:right w:w="0" w:type="dxa"/>
                  </w:tcMar>
                  <w:vAlign w:val="center"/>
                </w:tcPr>
                <w:p w14:paraId="481E2231">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天然气燃烧废气G3</w:t>
                  </w:r>
                </w:p>
              </w:tc>
              <w:tc>
                <w:tcPr>
                  <w:tcW w:w="1247" w:type="pct"/>
                  <w:tcBorders>
                    <w:tl2br w:val="nil"/>
                    <w:tr2bl w:val="nil"/>
                  </w:tcBorders>
                  <w:tcMar>
                    <w:left w:w="0" w:type="dxa"/>
                    <w:right w:w="0" w:type="dxa"/>
                  </w:tcMar>
                  <w:vAlign w:val="center"/>
                </w:tcPr>
                <w:p w14:paraId="1EE51614">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颗粒物、二氧化硫、氮氧化物</w:t>
                  </w:r>
                </w:p>
              </w:tc>
              <w:tc>
                <w:tcPr>
                  <w:tcW w:w="1814" w:type="pct"/>
                  <w:tcBorders>
                    <w:tl2br w:val="nil"/>
                    <w:tr2bl w:val="nil"/>
                  </w:tcBorders>
                  <w:tcMar>
                    <w:left w:w="0" w:type="dxa"/>
                    <w:right w:w="0" w:type="dxa"/>
                  </w:tcMar>
                  <w:vAlign w:val="center"/>
                </w:tcPr>
                <w:p w14:paraId="51994A34">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燃用清洁能源天然气，由18m排气筒排放</w:t>
                  </w:r>
                </w:p>
              </w:tc>
            </w:tr>
            <w:tr w14:paraId="1520A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continue"/>
                  <w:tcBorders>
                    <w:tl2br w:val="nil"/>
                    <w:tr2bl w:val="nil"/>
                  </w:tcBorders>
                  <w:tcMar>
                    <w:left w:w="0" w:type="dxa"/>
                    <w:right w:w="0" w:type="dxa"/>
                  </w:tcMar>
                  <w:vAlign w:val="center"/>
                </w:tcPr>
                <w:p w14:paraId="55DE5ABF">
                  <w:pPr>
                    <w:adjustRightInd w:val="0"/>
                    <w:snapToGrid w:val="0"/>
                    <w:jc w:val="center"/>
                    <w:rPr>
                      <w:rFonts w:hint="default" w:ascii="Times New Roman" w:hAnsi="Times New Roman" w:cs="Times New Roman"/>
                      <w:color w:val="auto"/>
                      <w:szCs w:val="21"/>
                    </w:rPr>
                  </w:pPr>
                </w:p>
              </w:tc>
              <w:tc>
                <w:tcPr>
                  <w:tcW w:w="434" w:type="pct"/>
                  <w:tcBorders>
                    <w:tl2br w:val="nil"/>
                    <w:tr2bl w:val="nil"/>
                  </w:tcBorders>
                  <w:tcMar>
                    <w:left w:w="0" w:type="dxa"/>
                    <w:right w:w="0" w:type="dxa"/>
                  </w:tcMar>
                  <w:vAlign w:val="center"/>
                </w:tcPr>
                <w:p w14:paraId="495C7267">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U1</w:t>
                  </w:r>
                </w:p>
              </w:tc>
              <w:tc>
                <w:tcPr>
                  <w:tcW w:w="1046" w:type="pct"/>
                  <w:tcBorders>
                    <w:tl2br w:val="nil"/>
                    <w:tr2bl w:val="nil"/>
                  </w:tcBorders>
                  <w:tcMar>
                    <w:top w:w="0" w:type="dxa"/>
                    <w:left w:w="0" w:type="dxa"/>
                    <w:bottom w:w="0" w:type="dxa"/>
                    <w:right w:w="0" w:type="dxa"/>
                  </w:tcMar>
                  <w:vAlign w:val="center"/>
                </w:tcPr>
                <w:p w14:paraId="058F2642">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车间</w:t>
                  </w:r>
                  <w:r>
                    <w:rPr>
                      <w:rFonts w:hint="default" w:ascii="Times New Roman" w:hAnsi="Times New Roman" w:cs="Times New Roman"/>
                      <w:color w:val="auto"/>
                      <w:szCs w:val="21"/>
                      <w:lang w:val="en-US" w:eastAsia="zh-CN"/>
                    </w:rPr>
                    <w:t>无组织</w:t>
                  </w:r>
                </w:p>
              </w:tc>
              <w:tc>
                <w:tcPr>
                  <w:tcW w:w="1247" w:type="pct"/>
                  <w:tcBorders>
                    <w:tl2br w:val="nil"/>
                    <w:tr2bl w:val="nil"/>
                  </w:tcBorders>
                  <w:tcMar>
                    <w:left w:w="0" w:type="dxa"/>
                    <w:right w:w="0" w:type="dxa"/>
                  </w:tcMar>
                  <w:vAlign w:val="center"/>
                </w:tcPr>
                <w:p w14:paraId="17E8055A">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颗粒物、酸雾（HCl）</w:t>
                  </w:r>
                </w:p>
              </w:tc>
              <w:tc>
                <w:tcPr>
                  <w:tcW w:w="1814" w:type="pct"/>
                  <w:tcBorders>
                    <w:tl2br w:val="nil"/>
                    <w:tr2bl w:val="nil"/>
                  </w:tcBorders>
                  <w:tcMar>
                    <w:left w:w="0" w:type="dxa"/>
                    <w:right w:w="0" w:type="dxa"/>
                  </w:tcMar>
                  <w:vAlign w:val="center"/>
                </w:tcPr>
                <w:p w14:paraId="21407D15">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车间密闭+负压、全密闭表面处理生产线</w:t>
                  </w:r>
                </w:p>
              </w:tc>
            </w:tr>
            <w:tr w14:paraId="3F5CE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restart"/>
                  <w:tcBorders>
                    <w:tl2br w:val="nil"/>
                    <w:tr2bl w:val="nil"/>
                  </w:tcBorders>
                  <w:tcMar>
                    <w:left w:w="0" w:type="dxa"/>
                    <w:right w:w="0" w:type="dxa"/>
                  </w:tcMar>
                  <w:vAlign w:val="center"/>
                </w:tcPr>
                <w:p w14:paraId="358EC3D4">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废水</w:t>
                  </w:r>
                </w:p>
              </w:tc>
              <w:tc>
                <w:tcPr>
                  <w:tcW w:w="434" w:type="pct"/>
                  <w:tcBorders>
                    <w:tl2br w:val="nil"/>
                    <w:tr2bl w:val="nil"/>
                  </w:tcBorders>
                  <w:tcMar>
                    <w:left w:w="0" w:type="dxa"/>
                    <w:right w:w="0" w:type="dxa"/>
                  </w:tcMar>
                  <w:vAlign w:val="center"/>
                </w:tcPr>
                <w:p w14:paraId="27EF4EB4">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W1</w:t>
                  </w:r>
                </w:p>
              </w:tc>
              <w:tc>
                <w:tcPr>
                  <w:tcW w:w="1046" w:type="pct"/>
                  <w:tcBorders>
                    <w:tl2br w:val="nil"/>
                    <w:tr2bl w:val="nil"/>
                  </w:tcBorders>
                  <w:tcMar>
                    <w:top w:w="0" w:type="dxa"/>
                    <w:left w:w="0" w:type="dxa"/>
                    <w:bottom w:w="0" w:type="dxa"/>
                    <w:right w:w="0" w:type="dxa"/>
                  </w:tcMar>
                  <w:vAlign w:val="center"/>
                </w:tcPr>
                <w:p w14:paraId="0344F73A">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设备冷却水</w:t>
                  </w:r>
                </w:p>
              </w:tc>
              <w:tc>
                <w:tcPr>
                  <w:tcW w:w="1247" w:type="pct"/>
                  <w:tcBorders>
                    <w:tl2br w:val="nil"/>
                    <w:tr2bl w:val="nil"/>
                  </w:tcBorders>
                  <w:tcMar>
                    <w:left w:w="0" w:type="dxa"/>
                    <w:right w:w="0" w:type="dxa"/>
                  </w:tcMar>
                  <w:vAlign w:val="center"/>
                </w:tcPr>
                <w:p w14:paraId="225ED71A">
                  <w:pPr>
                    <w:pStyle w:val="13"/>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COD、</w:t>
                  </w:r>
                  <w:r>
                    <w:rPr>
                      <w:rFonts w:hint="default" w:ascii="Times New Roman" w:hAnsi="Times New Roman" w:cs="Times New Roman"/>
                      <w:color w:val="auto"/>
                      <w:sz w:val="21"/>
                      <w:szCs w:val="21"/>
                    </w:rPr>
                    <w:t>SS</w:t>
                  </w:r>
                </w:p>
              </w:tc>
              <w:tc>
                <w:tcPr>
                  <w:tcW w:w="1814" w:type="pct"/>
                  <w:tcBorders>
                    <w:tl2br w:val="nil"/>
                    <w:tr2bl w:val="nil"/>
                  </w:tcBorders>
                  <w:tcMar>
                    <w:left w:w="0" w:type="dxa"/>
                    <w:right w:w="0" w:type="dxa"/>
                  </w:tcMar>
                  <w:vAlign w:val="center"/>
                </w:tcPr>
                <w:p w14:paraId="1B494A54">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循环使用，不外排</w:t>
                  </w:r>
                </w:p>
              </w:tc>
            </w:tr>
            <w:tr w14:paraId="401D9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continue"/>
                  <w:tcBorders>
                    <w:tl2br w:val="nil"/>
                    <w:tr2bl w:val="nil"/>
                  </w:tcBorders>
                  <w:tcMar>
                    <w:left w:w="0" w:type="dxa"/>
                    <w:right w:w="0" w:type="dxa"/>
                  </w:tcMar>
                  <w:vAlign w:val="center"/>
                </w:tcPr>
                <w:p w14:paraId="793978ED">
                  <w:pPr>
                    <w:adjustRightInd w:val="0"/>
                    <w:snapToGrid w:val="0"/>
                    <w:jc w:val="center"/>
                    <w:rPr>
                      <w:rFonts w:hint="default" w:ascii="Times New Roman" w:hAnsi="Times New Roman" w:cs="Times New Roman"/>
                      <w:color w:val="auto"/>
                      <w:szCs w:val="21"/>
                    </w:rPr>
                  </w:pPr>
                </w:p>
              </w:tc>
              <w:tc>
                <w:tcPr>
                  <w:tcW w:w="434" w:type="pct"/>
                  <w:tcBorders>
                    <w:tl2br w:val="nil"/>
                    <w:tr2bl w:val="nil"/>
                  </w:tcBorders>
                  <w:tcMar>
                    <w:left w:w="0" w:type="dxa"/>
                    <w:right w:w="0" w:type="dxa"/>
                  </w:tcMar>
                  <w:vAlign w:val="center"/>
                </w:tcPr>
                <w:p w14:paraId="10706B8A">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W2</w:t>
                  </w:r>
                </w:p>
              </w:tc>
              <w:tc>
                <w:tcPr>
                  <w:tcW w:w="1046" w:type="pct"/>
                  <w:tcBorders>
                    <w:tl2br w:val="nil"/>
                    <w:tr2bl w:val="nil"/>
                  </w:tcBorders>
                  <w:tcMar>
                    <w:top w:w="0" w:type="dxa"/>
                    <w:left w:w="0" w:type="dxa"/>
                    <w:bottom w:w="0" w:type="dxa"/>
                    <w:right w:w="0" w:type="dxa"/>
                  </w:tcMar>
                  <w:vAlign w:val="center"/>
                </w:tcPr>
                <w:p w14:paraId="2E8E480E">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eastAsiaTheme="minorEastAsia"/>
                      <w:color w:val="auto"/>
                      <w:szCs w:val="21"/>
                    </w:rPr>
                    <w:t>水密封清洗废水</w:t>
                  </w:r>
                </w:p>
              </w:tc>
              <w:tc>
                <w:tcPr>
                  <w:tcW w:w="1247" w:type="pct"/>
                  <w:tcBorders>
                    <w:tl2br w:val="nil"/>
                    <w:tr2bl w:val="nil"/>
                  </w:tcBorders>
                  <w:tcMar>
                    <w:left w:w="0" w:type="dxa"/>
                    <w:right w:w="0" w:type="dxa"/>
                  </w:tcMar>
                  <w:vAlign w:val="center"/>
                </w:tcPr>
                <w:p w14:paraId="5E2498E6">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eastAsiaTheme="minorEastAsia"/>
                      <w:color w:val="auto"/>
                      <w:szCs w:val="21"/>
                    </w:rPr>
                    <w:t>pH、COD、氨氮、SS</w:t>
                  </w:r>
                </w:p>
              </w:tc>
              <w:tc>
                <w:tcPr>
                  <w:tcW w:w="1814" w:type="pct"/>
                  <w:vMerge w:val="restart"/>
                  <w:tcBorders>
                    <w:tl2br w:val="nil"/>
                    <w:tr2bl w:val="nil"/>
                  </w:tcBorders>
                  <w:tcMar>
                    <w:left w:w="0" w:type="dxa"/>
                    <w:right w:w="0" w:type="dxa"/>
                  </w:tcMar>
                  <w:vAlign w:val="center"/>
                </w:tcPr>
                <w:p w14:paraId="56829EE1">
                  <w:pPr>
                    <w:adjustRightInd w:val="0"/>
                    <w:snapToGrid w:val="0"/>
                    <w:rPr>
                      <w:rFonts w:hint="default" w:ascii="Times New Roman" w:hAnsi="Times New Roman" w:cs="Times New Roman"/>
                      <w:color w:val="auto"/>
                      <w:szCs w:val="21"/>
                    </w:rPr>
                  </w:pPr>
                  <w:r>
                    <w:rPr>
                      <w:rFonts w:hint="default" w:ascii="Times New Roman" w:hAnsi="Times New Roman" w:cs="Times New Roman" w:eastAsiaTheme="minorEastAsia"/>
                      <w:color w:val="auto"/>
                      <w:szCs w:val="21"/>
                    </w:rPr>
                    <w:t>排入厂区污水处理站处理后，纳入市政污水管道</w:t>
                  </w:r>
                </w:p>
              </w:tc>
            </w:tr>
            <w:tr w14:paraId="2525D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continue"/>
                  <w:tcBorders>
                    <w:tl2br w:val="nil"/>
                    <w:tr2bl w:val="nil"/>
                  </w:tcBorders>
                  <w:tcMar>
                    <w:left w:w="0" w:type="dxa"/>
                    <w:right w:w="0" w:type="dxa"/>
                  </w:tcMar>
                  <w:vAlign w:val="center"/>
                </w:tcPr>
                <w:p w14:paraId="1CCE9397">
                  <w:pPr>
                    <w:adjustRightInd w:val="0"/>
                    <w:snapToGrid w:val="0"/>
                    <w:jc w:val="center"/>
                    <w:rPr>
                      <w:rFonts w:hint="default" w:ascii="Times New Roman" w:hAnsi="Times New Roman" w:cs="Times New Roman"/>
                      <w:color w:val="auto"/>
                      <w:szCs w:val="21"/>
                    </w:rPr>
                  </w:pPr>
                </w:p>
              </w:tc>
              <w:tc>
                <w:tcPr>
                  <w:tcW w:w="434" w:type="pct"/>
                  <w:tcBorders>
                    <w:tl2br w:val="nil"/>
                    <w:tr2bl w:val="nil"/>
                  </w:tcBorders>
                  <w:tcMar>
                    <w:left w:w="0" w:type="dxa"/>
                    <w:right w:w="0" w:type="dxa"/>
                  </w:tcMar>
                  <w:vAlign w:val="center"/>
                </w:tcPr>
                <w:p w14:paraId="3C5FD4D1">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W3</w:t>
                  </w:r>
                </w:p>
              </w:tc>
              <w:tc>
                <w:tcPr>
                  <w:tcW w:w="1046" w:type="pct"/>
                  <w:tcBorders>
                    <w:tl2br w:val="nil"/>
                    <w:tr2bl w:val="nil"/>
                  </w:tcBorders>
                  <w:tcMar>
                    <w:top w:w="0" w:type="dxa"/>
                    <w:left w:w="0" w:type="dxa"/>
                    <w:bottom w:w="0" w:type="dxa"/>
                    <w:right w:w="0" w:type="dxa"/>
                  </w:tcMar>
                  <w:vAlign w:val="center"/>
                </w:tcPr>
                <w:p w14:paraId="51AEB898">
                  <w:pPr>
                    <w:adjustRightInd w:val="0"/>
                    <w:snapToGrid w:val="0"/>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漂洗废水</w:t>
                  </w:r>
                </w:p>
              </w:tc>
              <w:tc>
                <w:tcPr>
                  <w:tcW w:w="1247" w:type="pct"/>
                  <w:vMerge w:val="restart"/>
                  <w:tcBorders>
                    <w:tl2br w:val="nil"/>
                    <w:tr2bl w:val="nil"/>
                  </w:tcBorders>
                  <w:tcMar>
                    <w:left w:w="0" w:type="dxa"/>
                    <w:right w:w="0" w:type="dxa"/>
                  </w:tcMar>
                  <w:vAlign w:val="center"/>
                </w:tcPr>
                <w:p w14:paraId="2164B175">
                  <w:pPr>
                    <w:adjustRightInd w:val="0"/>
                    <w:snapToGrid w:val="0"/>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rPr>
                    <w:t>pH、COD、氨氮、SS、铁、锌、</w:t>
                  </w:r>
                  <w:r>
                    <w:rPr>
                      <w:rFonts w:hint="default" w:ascii="Times New Roman" w:hAnsi="Times New Roman" w:cs="Times New Roman"/>
                      <w:color w:val="auto"/>
                    </w:rPr>
                    <w:t>总氮、</w:t>
                  </w:r>
                  <w:r>
                    <w:rPr>
                      <w:rFonts w:hint="default" w:ascii="Times New Roman" w:hAnsi="Times New Roman" w:cs="Times New Roman" w:eastAsiaTheme="minorEastAsia"/>
                      <w:color w:val="auto"/>
                      <w:szCs w:val="21"/>
                    </w:rPr>
                    <w:t>总磷、氯化物</w:t>
                  </w:r>
                  <w:r>
                    <w:rPr>
                      <w:rFonts w:hint="default" w:ascii="Times New Roman" w:hAnsi="Times New Roman" w:cs="Times New Roman" w:eastAsiaTheme="minorEastAsia"/>
                      <w:color w:val="auto"/>
                      <w:szCs w:val="21"/>
                      <w:lang w:eastAsia="zh-CN"/>
                    </w:rPr>
                    <w:t>、</w:t>
                  </w:r>
                  <w:r>
                    <w:rPr>
                      <w:rFonts w:hint="default" w:ascii="Times New Roman" w:hAnsi="Times New Roman" w:cs="Times New Roman" w:eastAsiaTheme="minorEastAsia"/>
                      <w:color w:val="auto"/>
                      <w:szCs w:val="21"/>
                      <w:lang w:val="en-US" w:eastAsia="zh-CN"/>
                    </w:rPr>
                    <w:t>阴离子表面活性剂</w:t>
                  </w:r>
                </w:p>
              </w:tc>
              <w:tc>
                <w:tcPr>
                  <w:tcW w:w="1814" w:type="pct"/>
                  <w:vMerge w:val="continue"/>
                  <w:tcBorders>
                    <w:tl2br w:val="nil"/>
                    <w:tr2bl w:val="nil"/>
                  </w:tcBorders>
                  <w:tcMar>
                    <w:left w:w="0" w:type="dxa"/>
                    <w:right w:w="0" w:type="dxa"/>
                  </w:tcMar>
                  <w:vAlign w:val="center"/>
                </w:tcPr>
                <w:p w14:paraId="180E505F">
                  <w:pPr>
                    <w:adjustRightInd w:val="0"/>
                    <w:snapToGrid w:val="0"/>
                    <w:rPr>
                      <w:rFonts w:hint="default" w:ascii="Times New Roman" w:hAnsi="Times New Roman" w:cs="Times New Roman"/>
                      <w:color w:val="auto"/>
                      <w:szCs w:val="21"/>
                    </w:rPr>
                  </w:pPr>
                </w:p>
              </w:tc>
            </w:tr>
            <w:tr w14:paraId="52ACA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continue"/>
                  <w:tcBorders>
                    <w:tl2br w:val="nil"/>
                    <w:tr2bl w:val="nil"/>
                  </w:tcBorders>
                  <w:tcMar>
                    <w:left w:w="0" w:type="dxa"/>
                    <w:right w:w="0" w:type="dxa"/>
                  </w:tcMar>
                  <w:vAlign w:val="center"/>
                </w:tcPr>
                <w:p w14:paraId="7B130696">
                  <w:pPr>
                    <w:adjustRightInd w:val="0"/>
                    <w:snapToGrid w:val="0"/>
                    <w:jc w:val="center"/>
                    <w:rPr>
                      <w:rFonts w:hint="default" w:ascii="Times New Roman" w:hAnsi="Times New Roman" w:cs="Times New Roman"/>
                      <w:color w:val="auto"/>
                      <w:szCs w:val="21"/>
                    </w:rPr>
                  </w:pPr>
                </w:p>
              </w:tc>
              <w:tc>
                <w:tcPr>
                  <w:tcW w:w="434" w:type="pct"/>
                  <w:tcBorders>
                    <w:tl2br w:val="nil"/>
                    <w:tr2bl w:val="nil"/>
                  </w:tcBorders>
                  <w:tcMar>
                    <w:left w:w="0" w:type="dxa"/>
                    <w:right w:w="0" w:type="dxa"/>
                  </w:tcMar>
                  <w:vAlign w:val="center"/>
                </w:tcPr>
                <w:p w14:paraId="7D560F94">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W4</w:t>
                  </w:r>
                </w:p>
              </w:tc>
              <w:tc>
                <w:tcPr>
                  <w:tcW w:w="1046" w:type="pct"/>
                  <w:tcBorders>
                    <w:tl2br w:val="nil"/>
                    <w:tr2bl w:val="nil"/>
                  </w:tcBorders>
                  <w:tcMar>
                    <w:top w:w="0" w:type="dxa"/>
                    <w:left w:w="0" w:type="dxa"/>
                    <w:bottom w:w="0" w:type="dxa"/>
                    <w:right w:w="0" w:type="dxa"/>
                  </w:tcMar>
                  <w:vAlign w:val="center"/>
                </w:tcPr>
                <w:p w14:paraId="36675336">
                  <w:pPr>
                    <w:adjustRightInd w:val="0"/>
                    <w:snapToGrid w:val="0"/>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冲洗废水</w:t>
                  </w:r>
                </w:p>
              </w:tc>
              <w:tc>
                <w:tcPr>
                  <w:tcW w:w="1247" w:type="pct"/>
                  <w:vMerge w:val="continue"/>
                  <w:tcBorders>
                    <w:tl2br w:val="nil"/>
                    <w:tr2bl w:val="nil"/>
                  </w:tcBorders>
                  <w:tcMar>
                    <w:left w:w="0" w:type="dxa"/>
                    <w:right w:w="0" w:type="dxa"/>
                  </w:tcMar>
                  <w:vAlign w:val="center"/>
                </w:tcPr>
                <w:p w14:paraId="7F6BBEFA">
                  <w:pPr>
                    <w:adjustRightInd w:val="0"/>
                    <w:snapToGrid w:val="0"/>
                    <w:jc w:val="center"/>
                    <w:rPr>
                      <w:rFonts w:hint="default" w:ascii="Times New Roman" w:hAnsi="Times New Roman" w:cs="Times New Roman" w:eastAsiaTheme="minorEastAsia"/>
                      <w:color w:val="auto"/>
                      <w:szCs w:val="21"/>
                    </w:rPr>
                  </w:pPr>
                </w:p>
              </w:tc>
              <w:tc>
                <w:tcPr>
                  <w:tcW w:w="1814" w:type="pct"/>
                  <w:vMerge w:val="continue"/>
                  <w:tcBorders>
                    <w:tl2br w:val="nil"/>
                    <w:tr2bl w:val="nil"/>
                  </w:tcBorders>
                  <w:tcMar>
                    <w:left w:w="0" w:type="dxa"/>
                    <w:right w:w="0" w:type="dxa"/>
                  </w:tcMar>
                  <w:vAlign w:val="center"/>
                </w:tcPr>
                <w:p w14:paraId="1325CB1F">
                  <w:pPr>
                    <w:adjustRightInd w:val="0"/>
                    <w:snapToGrid w:val="0"/>
                    <w:rPr>
                      <w:rFonts w:hint="default" w:ascii="Times New Roman" w:hAnsi="Times New Roman" w:cs="Times New Roman"/>
                      <w:color w:val="auto"/>
                      <w:szCs w:val="21"/>
                    </w:rPr>
                  </w:pPr>
                </w:p>
              </w:tc>
            </w:tr>
            <w:tr w14:paraId="5AB11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continue"/>
                  <w:tcBorders>
                    <w:tl2br w:val="nil"/>
                    <w:tr2bl w:val="nil"/>
                  </w:tcBorders>
                  <w:tcMar>
                    <w:left w:w="0" w:type="dxa"/>
                    <w:right w:w="0" w:type="dxa"/>
                  </w:tcMar>
                  <w:vAlign w:val="center"/>
                </w:tcPr>
                <w:p w14:paraId="2BF6512C">
                  <w:pPr>
                    <w:adjustRightInd w:val="0"/>
                    <w:snapToGrid w:val="0"/>
                    <w:jc w:val="center"/>
                    <w:rPr>
                      <w:rFonts w:hint="default" w:ascii="Times New Roman" w:hAnsi="Times New Roman" w:cs="Times New Roman"/>
                      <w:color w:val="auto"/>
                      <w:szCs w:val="21"/>
                    </w:rPr>
                  </w:pPr>
                </w:p>
              </w:tc>
              <w:tc>
                <w:tcPr>
                  <w:tcW w:w="434" w:type="pct"/>
                  <w:tcBorders>
                    <w:tl2br w:val="nil"/>
                    <w:tr2bl w:val="nil"/>
                  </w:tcBorders>
                  <w:tcMar>
                    <w:left w:w="0" w:type="dxa"/>
                    <w:right w:w="0" w:type="dxa"/>
                  </w:tcMar>
                  <w:vAlign w:val="center"/>
                </w:tcPr>
                <w:p w14:paraId="46DAA284">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W5</w:t>
                  </w:r>
                </w:p>
              </w:tc>
              <w:tc>
                <w:tcPr>
                  <w:tcW w:w="1046" w:type="pct"/>
                  <w:tcBorders>
                    <w:tl2br w:val="nil"/>
                    <w:tr2bl w:val="nil"/>
                  </w:tcBorders>
                  <w:tcMar>
                    <w:top w:w="0" w:type="dxa"/>
                    <w:left w:w="0" w:type="dxa"/>
                    <w:bottom w:w="0" w:type="dxa"/>
                    <w:right w:w="0" w:type="dxa"/>
                  </w:tcMar>
                  <w:vAlign w:val="center"/>
                </w:tcPr>
                <w:p w14:paraId="78529222">
                  <w:pPr>
                    <w:adjustRightInd w:val="0"/>
                    <w:snapToGrid w:val="0"/>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中和废液</w:t>
                  </w:r>
                </w:p>
              </w:tc>
              <w:tc>
                <w:tcPr>
                  <w:tcW w:w="1247" w:type="pct"/>
                  <w:vMerge w:val="continue"/>
                  <w:tcBorders>
                    <w:tl2br w:val="nil"/>
                    <w:tr2bl w:val="nil"/>
                  </w:tcBorders>
                  <w:tcMar>
                    <w:left w:w="0" w:type="dxa"/>
                    <w:right w:w="0" w:type="dxa"/>
                  </w:tcMar>
                  <w:vAlign w:val="center"/>
                </w:tcPr>
                <w:p w14:paraId="7592AAD6">
                  <w:pPr>
                    <w:adjustRightInd w:val="0"/>
                    <w:snapToGrid w:val="0"/>
                    <w:jc w:val="center"/>
                    <w:rPr>
                      <w:rFonts w:hint="default" w:ascii="Times New Roman" w:hAnsi="Times New Roman" w:cs="Times New Roman" w:eastAsiaTheme="minorEastAsia"/>
                      <w:color w:val="auto"/>
                      <w:szCs w:val="21"/>
                    </w:rPr>
                  </w:pPr>
                </w:p>
              </w:tc>
              <w:tc>
                <w:tcPr>
                  <w:tcW w:w="1814" w:type="pct"/>
                  <w:vMerge w:val="continue"/>
                  <w:tcBorders>
                    <w:tl2br w:val="nil"/>
                    <w:tr2bl w:val="nil"/>
                  </w:tcBorders>
                  <w:tcMar>
                    <w:left w:w="0" w:type="dxa"/>
                    <w:right w:w="0" w:type="dxa"/>
                  </w:tcMar>
                  <w:vAlign w:val="center"/>
                </w:tcPr>
                <w:p w14:paraId="331AF84E">
                  <w:pPr>
                    <w:adjustRightInd w:val="0"/>
                    <w:snapToGrid w:val="0"/>
                    <w:rPr>
                      <w:rFonts w:hint="default" w:ascii="Times New Roman" w:hAnsi="Times New Roman" w:cs="Times New Roman"/>
                      <w:color w:val="auto"/>
                      <w:szCs w:val="21"/>
                    </w:rPr>
                  </w:pPr>
                </w:p>
              </w:tc>
            </w:tr>
            <w:tr w14:paraId="12738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continue"/>
                  <w:tcBorders>
                    <w:tl2br w:val="nil"/>
                    <w:tr2bl w:val="nil"/>
                  </w:tcBorders>
                  <w:tcMar>
                    <w:left w:w="0" w:type="dxa"/>
                    <w:right w:w="0" w:type="dxa"/>
                  </w:tcMar>
                  <w:vAlign w:val="center"/>
                </w:tcPr>
                <w:p w14:paraId="4A7E28C7">
                  <w:pPr>
                    <w:adjustRightInd w:val="0"/>
                    <w:snapToGrid w:val="0"/>
                    <w:jc w:val="center"/>
                    <w:rPr>
                      <w:rFonts w:hint="default" w:ascii="Times New Roman" w:hAnsi="Times New Roman" w:cs="Times New Roman"/>
                      <w:color w:val="auto"/>
                      <w:szCs w:val="21"/>
                    </w:rPr>
                  </w:pPr>
                </w:p>
              </w:tc>
              <w:tc>
                <w:tcPr>
                  <w:tcW w:w="434" w:type="pct"/>
                  <w:tcBorders>
                    <w:tl2br w:val="nil"/>
                    <w:tr2bl w:val="nil"/>
                  </w:tcBorders>
                  <w:shd w:val="clear" w:color="auto" w:fill="auto"/>
                  <w:tcMar>
                    <w:left w:w="0" w:type="dxa"/>
                    <w:right w:w="0" w:type="dxa"/>
                  </w:tcMar>
                  <w:vAlign w:val="center"/>
                </w:tcPr>
                <w:p w14:paraId="719ADA59">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W6</w:t>
                  </w:r>
                </w:p>
              </w:tc>
              <w:tc>
                <w:tcPr>
                  <w:tcW w:w="1046" w:type="pct"/>
                  <w:tcBorders>
                    <w:tl2br w:val="nil"/>
                    <w:tr2bl w:val="nil"/>
                  </w:tcBorders>
                  <w:tcMar>
                    <w:top w:w="0" w:type="dxa"/>
                    <w:left w:w="0" w:type="dxa"/>
                    <w:bottom w:w="0" w:type="dxa"/>
                    <w:right w:w="0" w:type="dxa"/>
                  </w:tcMar>
                  <w:vAlign w:val="center"/>
                </w:tcPr>
                <w:p w14:paraId="130FED80">
                  <w:pPr>
                    <w:adjustRightInd w:val="0"/>
                    <w:snapToGrid w:val="0"/>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喷淋塔废水</w:t>
                  </w:r>
                </w:p>
              </w:tc>
              <w:tc>
                <w:tcPr>
                  <w:tcW w:w="1247" w:type="pct"/>
                  <w:tcBorders>
                    <w:tl2br w:val="nil"/>
                    <w:tr2bl w:val="nil"/>
                  </w:tcBorders>
                  <w:tcMar>
                    <w:left w:w="0" w:type="dxa"/>
                    <w:right w:w="0" w:type="dxa"/>
                  </w:tcMar>
                  <w:vAlign w:val="center"/>
                </w:tcPr>
                <w:p w14:paraId="6C47D20F">
                  <w:pPr>
                    <w:adjustRightInd w:val="0"/>
                    <w:snapToGrid w:val="0"/>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COD、SS</w:t>
                  </w:r>
                </w:p>
              </w:tc>
              <w:tc>
                <w:tcPr>
                  <w:tcW w:w="1814" w:type="pct"/>
                  <w:vMerge w:val="continue"/>
                  <w:tcBorders>
                    <w:tl2br w:val="nil"/>
                    <w:tr2bl w:val="nil"/>
                  </w:tcBorders>
                  <w:tcMar>
                    <w:left w:w="0" w:type="dxa"/>
                    <w:right w:w="0" w:type="dxa"/>
                  </w:tcMar>
                  <w:vAlign w:val="center"/>
                </w:tcPr>
                <w:p w14:paraId="561C5C7E">
                  <w:pPr>
                    <w:adjustRightInd w:val="0"/>
                    <w:snapToGrid w:val="0"/>
                    <w:rPr>
                      <w:rFonts w:hint="default" w:ascii="Times New Roman" w:hAnsi="Times New Roman" w:cs="Times New Roman"/>
                      <w:color w:val="auto"/>
                      <w:szCs w:val="21"/>
                    </w:rPr>
                  </w:pPr>
                </w:p>
              </w:tc>
            </w:tr>
            <w:tr w14:paraId="5DCAC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continue"/>
                  <w:tcBorders>
                    <w:tl2br w:val="nil"/>
                    <w:tr2bl w:val="nil"/>
                  </w:tcBorders>
                  <w:tcMar>
                    <w:left w:w="0" w:type="dxa"/>
                    <w:right w:w="0" w:type="dxa"/>
                  </w:tcMar>
                  <w:vAlign w:val="center"/>
                </w:tcPr>
                <w:p w14:paraId="504B1D83">
                  <w:pPr>
                    <w:adjustRightInd w:val="0"/>
                    <w:snapToGrid w:val="0"/>
                    <w:jc w:val="center"/>
                    <w:rPr>
                      <w:rFonts w:hint="default" w:ascii="Times New Roman" w:hAnsi="Times New Roman" w:cs="Times New Roman"/>
                      <w:color w:val="auto"/>
                      <w:szCs w:val="21"/>
                    </w:rPr>
                  </w:pPr>
                </w:p>
              </w:tc>
              <w:tc>
                <w:tcPr>
                  <w:tcW w:w="434" w:type="pct"/>
                  <w:tcBorders>
                    <w:tl2br w:val="nil"/>
                    <w:tr2bl w:val="nil"/>
                  </w:tcBorders>
                  <w:shd w:val="clear" w:color="auto" w:fill="auto"/>
                  <w:tcMar>
                    <w:left w:w="0" w:type="dxa"/>
                    <w:right w:w="0" w:type="dxa"/>
                  </w:tcMar>
                  <w:vAlign w:val="center"/>
                </w:tcPr>
                <w:p w14:paraId="7E6CD027">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W7</w:t>
                  </w:r>
                </w:p>
              </w:tc>
              <w:tc>
                <w:tcPr>
                  <w:tcW w:w="1046" w:type="pct"/>
                  <w:tcBorders>
                    <w:tl2br w:val="nil"/>
                    <w:tr2bl w:val="nil"/>
                  </w:tcBorders>
                  <w:tcMar>
                    <w:top w:w="0" w:type="dxa"/>
                    <w:left w:w="0" w:type="dxa"/>
                    <w:bottom w:w="0" w:type="dxa"/>
                    <w:right w:w="0" w:type="dxa"/>
                  </w:tcMar>
                  <w:vAlign w:val="center"/>
                </w:tcPr>
                <w:p w14:paraId="3A395A01">
                  <w:pPr>
                    <w:adjustRightInd w:val="0"/>
                    <w:snapToGrid w:val="0"/>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软水设备废水</w:t>
                  </w:r>
                </w:p>
              </w:tc>
              <w:tc>
                <w:tcPr>
                  <w:tcW w:w="1247" w:type="pct"/>
                  <w:tcBorders>
                    <w:tl2br w:val="nil"/>
                    <w:tr2bl w:val="nil"/>
                  </w:tcBorders>
                  <w:tcMar>
                    <w:left w:w="0" w:type="dxa"/>
                    <w:right w:w="0" w:type="dxa"/>
                  </w:tcMar>
                  <w:vAlign w:val="center"/>
                </w:tcPr>
                <w:p w14:paraId="466EAED1">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eastAsiaTheme="minorEastAsia"/>
                      <w:color w:val="auto"/>
                      <w:szCs w:val="21"/>
                    </w:rPr>
                    <w:t>COD、</w:t>
                  </w:r>
                  <w:r>
                    <w:rPr>
                      <w:rFonts w:hint="default" w:ascii="Times New Roman" w:hAnsi="Times New Roman" w:cs="Times New Roman"/>
                      <w:color w:val="auto"/>
                      <w:szCs w:val="21"/>
                    </w:rPr>
                    <w:t>SS</w:t>
                  </w:r>
                </w:p>
              </w:tc>
              <w:tc>
                <w:tcPr>
                  <w:tcW w:w="1814" w:type="pct"/>
                  <w:vMerge w:val="continue"/>
                  <w:tcBorders>
                    <w:tl2br w:val="nil"/>
                    <w:tr2bl w:val="nil"/>
                  </w:tcBorders>
                  <w:tcMar>
                    <w:left w:w="0" w:type="dxa"/>
                    <w:right w:w="0" w:type="dxa"/>
                  </w:tcMar>
                  <w:vAlign w:val="center"/>
                </w:tcPr>
                <w:p w14:paraId="7BA03882">
                  <w:pPr>
                    <w:adjustRightInd w:val="0"/>
                    <w:snapToGrid w:val="0"/>
                    <w:rPr>
                      <w:rFonts w:hint="default" w:ascii="Times New Roman" w:hAnsi="Times New Roman" w:cs="Times New Roman"/>
                      <w:color w:val="auto"/>
                      <w:szCs w:val="21"/>
                    </w:rPr>
                  </w:pPr>
                </w:p>
              </w:tc>
            </w:tr>
            <w:tr w14:paraId="1800D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continue"/>
                  <w:tcBorders>
                    <w:tl2br w:val="nil"/>
                    <w:tr2bl w:val="nil"/>
                  </w:tcBorders>
                  <w:tcMar>
                    <w:left w:w="0" w:type="dxa"/>
                    <w:right w:w="0" w:type="dxa"/>
                  </w:tcMar>
                  <w:vAlign w:val="center"/>
                </w:tcPr>
                <w:p w14:paraId="592777A6">
                  <w:pPr>
                    <w:adjustRightInd w:val="0"/>
                    <w:snapToGrid w:val="0"/>
                    <w:jc w:val="center"/>
                    <w:rPr>
                      <w:rFonts w:hint="default" w:ascii="Times New Roman" w:hAnsi="Times New Roman" w:cs="Times New Roman"/>
                      <w:color w:val="auto"/>
                      <w:szCs w:val="21"/>
                    </w:rPr>
                  </w:pPr>
                </w:p>
              </w:tc>
              <w:tc>
                <w:tcPr>
                  <w:tcW w:w="434" w:type="pct"/>
                  <w:tcBorders>
                    <w:tl2br w:val="nil"/>
                    <w:tr2bl w:val="nil"/>
                  </w:tcBorders>
                  <w:shd w:val="clear" w:color="auto" w:fill="auto"/>
                  <w:tcMar>
                    <w:left w:w="0" w:type="dxa"/>
                    <w:right w:w="0" w:type="dxa"/>
                  </w:tcMar>
                  <w:vAlign w:val="center"/>
                </w:tcPr>
                <w:p w14:paraId="653B3EA5">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W8</w:t>
                  </w:r>
                </w:p>
              </w:tc>
              <w:tc>
                <w:tcPr>
                  <w:tcW w:w="1046" w:type="pct"/>
                  <w:tcBorders>
                    <w:tl2br w:val="nil"/>
                    <w:tr2bl w:val="nil"/>
                  </w:tcBorders>
                  <w:tcMar>
                    <w:top w:w="0" w:type="dxa"/>
                    <w:left w:w="0" w:type="dxa"/>
                    <w:bottom w:w="0" w:type="dxa"/>
                    <w:right w:w="0" w:type="dxa"/>
                  </w:tcMar>
                  <w:vAlign w:val="center"/>
                </w:tcPr>
                <w:p w14:paraId="0B880AF1">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生活污水</w:t>
                  </w:r>
                </w:p>
              </w:tc>
              <w:tc>
                <w:tcPr>
                  <w:tcW w:w="1247" w:type="pct"/>
                  <w:tcBorders>
                    <w:tl2br w:val="nil"/>
                    <w:tr2bl w:val="nil"/>
                  </w:tcBorders>
                  <w:tcMar>
                    <w:left w:w="0" w:type="dxa"/>
                    <w:right w:w="0" w:type="dxa"/>
                  </w:tcMar>
                  <w:vAlign w:val="center"/>
                </w:tcPr>
                <w:p w14:paraId="24349351">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pH、COD、SS、氨氮、BOD</w:t>
                  </w:r>
                  <w:r>
                    <w:rPr>
                      <w:rFonts w:hint="default" w:ascii="Times New Roman" w:hAnsi="Times New Roman" w:cs="Times New Roman"/>
                      <w:color w:val="auto"/>
                      <w:szCs w:val="21"/>
                      <w:vertAlign w:val="subscript"/>
                    </w:rPr>
                    <w:t>5</w:t>
                  </w:r>
                </w:p>
              </w:tc>
              <w:tc>
                <w:tcPr>
                  <w:tcW w:w="1814" w:type="pct"/>
                  <w:tcBorders>
                    <w:tl2br w:val="nil"/>
                    <w:tr2bl w:val="nil"/>
                  </w:tcBorders>
                  <w:tcMar>
                    <w:left w:w="0" w:type="dxa"/>
                    <w:right w:w="0" w:type="dxa"/>
                  </w:tcMar>
                  <w:vAlign w:val="center"/>
                </w:tcPr>
                <w:p w14:paraId="3A9862B3">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经化粪池处理后排入</w:t>
                  </w:r>
                  <w:r>
                    <w:rPr>
                      <w:rFonts w:hint="default" w:ascii="Times New Roman" w:hAnsi="Times New Roman" w:cs="Times New Roman" w:eastAsiaTheme="minorEastAsia"/>
                      <w:color w:val="auto"/>
                      <w:szCs w:val="21"/>
                    </w:rPr>
                    <w:t>市政污水管道</w:t>
                  </w:r>
                </w:p>
              </w:tc>
            </w:tr>
            <w:tr w14:paraId="44EEF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continue"/>
                  <w:tcBorders>
                    <w:tl2br w:val="nil"/>
                    <w:tr2bl w:val="nil"/>
                  </w:tcBorders>
                  <w:tcMar>
                    <w:left w:w="0" w:type="dxa"/>
                    <w:right w:w="0" w:type="dxa"/>
                  </w:tcMar>
                  <w:vAlign w:val="center"/>
                </w:tcPr>
                <w:p w14:paraId="1031D2B2">
                  <w:pPr>
                    <w:adjustRightInd w:val="0"/>
                    <w:snapToGrid w:val="0"/>
                    <w:jc w:val="center"/>
                    <w:rPr>
                      <w:rFonts w:hint="default" w:ascii="Times New Roman" w:hAnsi="Times New Roman" w:cs="Times New Roman"/>
                      <w:color w:val="auto"/>
                      <w:szCs w:val="21"/>
                    </w:rPr>
                  </w:pPr>
                </w:p>
              </w:tc>
              <w:tc>
                <w:tcPr>
                  <w:tcW w:w="434" w:type="pct"/>
                  <w:tcBorders>
                    <w:tl2br w:val="nil"/>
                    <w:tr2bl w:val="nil"/>
                  </w:tcBorders>
                  <w:tcMar>
                    <w:left w:w="0" w:type="dxa"/>
                    <w:right w:w="0" w:type="dxa"/>
                  </w:tcMar>
                  <w:vAlign w:val="center"/>
                </w:tcPr>
                <w:p w14:paraId="36B40E79">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W9</w:t>
                  </w:r>
                </w:p>
              </w:tc>
              <w:tc>
                <w:tcPr>
                  <w:tcW w:w="1046" w:type="pct"/>
                  <w:tcBorders>
                    <w:tl2br w:val="nil"/>
                    <w:tr2bl w:val="nil"/>
                  </w:tcBorders>
                  <w:tcMar>
                    <w:top w:w="0" w:type="dxa"/>
                    <w:left w:w="0" w:type="dxa"/>
                    <w:bottom w:w="0" w:type="dxa"/>
                    <w:right w:w="0" w:type="dxa"/>
                  </w:tcMar>
                  <w:vAlign w:val="center"/>
                </w:tcPr>
                <w:p w14:paraId="1F76A0AD">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初期雨水</w:t>
                  </w:r>
                </w:p>
              </w:tc>
              <w:tc>
                <w:tcPr>
                  <w:tcW w:w="1247" w:type="pct"/>
                  <w:tcBorders>
                    <w:tl2br w:val="nil"/>
                    <w:tr2bl w:val="nil"/>
                  </w:tcBorders>
                  <w:tcMar>
                    <w:left w:w="0" w:type="dxa"/>
                    <w:right w:w="0" w:type="dxa"/>
                  </w:tcMar>
                  <w:vAlign w:val="center"/>
                </w:tcPr>
                <w:p w14:paraId="06A467BE">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pH、SS、COD</w:t>
                  </w:r>
                </w:p>
              </w:tc>
              <w:tc>
                <w:tcPr>
                  <w:tcW w:w="1814" w:type="pct"/>
                  <w:tcBorders>
                    <w:tl2br w:val="nil"/>
                    <w:tr2bl w:val="nil"/>
                  </w:tcBorders>
                  <w:tcMar>
                    <w:left w:w="0" w:type="dxa"/>
                    <w:right w:w="0" w:type="dxa"/>
                  </w:tcMar>
                  <w:vAlign w:val="center"/>
                </w:tcPr>
                <w:p w14:paraId="227C8A06">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经沉淀+过滤处理后排入</w:t>
                  </w:r>
                  <w:r>
                    <w:rPr>
                      <w:rFonts w:hint="default" w:ascii="Times New Roman" w:hAnsi="Times New Roman" w:cs="Times New Roman" w:eastAsiaTheme="minorEastAsia"/>
                      <w:color w:val="auto"/>
                      <w:szCs w:val="21"/>
                    </w:rPr>
                    <w:t>市政雨水管道</w:t>
                  </w:r>
                </w:p>
              </w:tc>
            </w:tr>
            <w:tr w14:paraId="009F6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restart"/>
                  <w:tcBorders>
                    <w:tl2br w:val="nil"/>
                    <w:tr2bl w:val="nil"/>
                  </w:tcBorders>
                  <w:tcMar>
                    <w:left w:w="0" w:type="dxa"/>
                    <w:right w:w="0" w:type="dxa"/>
                  </w:tcMar>
                  <w:vAlign w:val="center"/>
                </w:tcPr>
                <w:p w14:paraId="4260DA84">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固废</w:t>
                  </w:r>
                </w:p>
              </w:tc>
              <w:tc>
                <w:tcPr>
                  <w:tcW w:w="434" w:type="pct"/>
                  <w:tcBorders>
                    <w:tl2br w:val="nil"/>
                    <w:tr2bl w:val="nil"/>
                  </w:tcBorders>
                  <w:tcMar>
                    <w:left w:w="0" w:type="dxa"/>
                    <w:right w:w="0" w:type="dxa"/>
                  </w:tcMar>
                  <w:vAlign w:val="center"/>
                </w:tcPr>
                <w:p w14:paraId="2A5F3C0E">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S1</w:t>
                  </w:r>
                </w:p>
              </w:tc>
              <w:tc>
                <w:tcPr>
                  <w:tcW w:w="1046" w:type="pct"/>
                  <w:tcBorders>
                    <w:tl2br w:val="nil"/>
                    <w:tr2bl w:val="nil"/>
                  </w:tcBorders>
                  <w:shd w:val="clear" w:color="auto" w:fill="auto"/>
                  <w:tcMar>
                    <w:top w:w="0" w:type="dxa"/>
                    <w:left w:w="0" w:type="dxa"/>
                    <w:bottom w:w="0" w:type="dxa"/>
                    <w:right w:w="0" w:type="dxa"/>
                  </w:tcMar>
                  <w:vAlign w:val="center"/>
                </w:tcPr>
                <w:p w14:paraId="30DE7744">
                  <w:pPr>
                    <w:pStyle w:val="130"/>
                    <w:rPr>
                      <w:rFonts w:hint="default" w:ascii="Times New Roman" w:hAnsi="Times New Roman" w:cs="Times New Roman"/>
                      <w:color w:val="auto"/>
                    </w:rPr>
                  </w:pPr>
                  <w:r>
                    <w:rPr>
                      <w:rFonts w:hint="default" w:ascii="Times New Roman" w:hAnsi="Times New Roman" w:cs="Times New Roman"/>
                      <w:color w:val="auto"/>
                      <w:szCs w:val="21"/>
                    </w:rPr>
                    <w:t>包装线材</w:t>
                  </w:r>
                </w:p>
              </w:tc>
              <w:tc>
                <w:tcPr>
                  <w:tcW w:w="1247" w:type="pct"/>
                  <w:tcBorders>
                    <w:tl2br w:val="nil"/>
                    <w:tr2bl w:val="nil"/>
                  </w:tcBorders>
                  <w:tcMar>
                    <w:left w:w="0" w:type="dxa"/>
                    <w:right w:w="0" w:type="dxa"/>
                  </w:tcMar>
                  <w:vAlign w:val="center"/>
                </w:tcPr>
                <w:p w14:paraId="1C6F3927">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铁</w:t>
                  </w:r>
                </w:p>
              </w:tc>
              <w:tc>
                <w:tcPr>
                  <w:tcW w:w="1814" w:type="pct"/>
                  <w:vMerge w:val="restart"/>
                  <w:tcBorders>
                    <w:tl2br w:val="nil"/>
                    <w:tr2bl w:val="nil"/>
                  </w:tcBorders>
                  <w:tcMar>
                    <w:left w:w="0" w:type="dxa"/>
                    <w:right w:w="0" w:type="dxa"/>
                  </w:tcMar>
                  <w:vAlign w:val="center"/>
                </w:tcPr>
                <w:p w14:paraId="1F479FB0">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rPr>
                    <w:t xml:space="preserve">集中收集后暂存于一般固体废物堆场 </w:t>
                  </w:r>
                </w:p>
              </w:tc>
            </w:tr>
            <w:tr w14:paraId="2B85E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continue"/>
                  <w:tcBorders>
                    <w:tl2br w:val="nil"/>
                    <w:tr2bl w:val="nil"/>
                  </w:tcBorders>
                  <w:tcMar>
                    <w:left w:w="0" w:type="dxa"/>
                    <w:right w:w="0" w:type="dxa"/>
                  </w:tcMar>
                  <w:vAlign w:val="center"/>
                </w:tcPr>
                <w:p w14:paraId="5EECF1E9">
                  <w:pPr>
                    <w:adjustRightInd w:val="0"/>
                    <w:snapToGrid w:val="0"/>
                    <w:jc w:val="center"/>
                    <w:rPr>
                      <w:rFonts w:hint="default" w:ascii="Times New Roman" w:hAnsi="Times New Roman" w:cs="Times New Roman"/>
                      <w:color w:val="auto"/>
                      <w:szCs w:val="21"/>
                    </w:rPr>
                  </w:pPr>
                </w:p>
              </w:tc>
              <w:tc>
                <w:tcPr>
                  <w:tcW w:w="434" w:type="pct"/>
                  <w:tcBorders>
                    <w:tl2br w:val="nil"/>
                    <w:tr2bl w:val="nil"/>
                  </w:tcBorders>
                  <w:tcMar>
                    <w:left w:w="0" w:type="dxa"/>
                    <w:right w:w="0" w:type="dxa"/>
                  </w:tcMar>
                  <w:vAlign w:val="center"/>
                </w:tcPr>
                <w:p w14:paraId="06B8236F">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S2</w:t>
                  </w:r>
                </w:p>
              </w:tc>
              <w:tc>
                <w:tcPr>
                  <w:tcW w:w="1046" w:type="pct"/>
                  <w:tcBorders>
                    <w:tl2br w:val="nil"/>
                    <w:tr2bl w:val="nil"/>
                  </w:tcBorders>
                  <w:shd w:val="clear" w:color="auto" w:fill="auto"/>
                  <w:tcMar>
                    <w:top w:w="0" w:type="dxa"/>
                    <w:left w:w="0" w:type="dxa"/>
                    <w:bottom w:w="0" w:type="dxa"/>
                    <w:right w:w="0" w:type="dxa"/>
                  </w:tcMar>
                  <w:vAlign w:val="center"/>
                </w:tcPr>
                <w:p w14:paraId="73D66971">
                  <w:pPr>
                    <w:pStyle w:val="130"/>
                    <w:rPr>
                      <w:rFonts w:hint="default" w:ascii="Times New Roman" w:hAnsi="Times New Roman" w:cs="Times New Roman"/>
                      <w:color w:val="auto"/>
                    </w:rPr>
                  </w:pPr>
                  <w:r>
                    <w:rPr>
                      <w:rFonts w:hint="default" w:ascii="Times New Roman" w:hAnsi="Times New Roman" w:cs="Times New Roman"/>
                      <w:color w:val="auto"/>
                    </w:rPr>
                    <w:t>氧化铁皮</w:t>
                  </w:r>
                </w:p>
              </w:tc>
              <w:tc>
                <w:tcPr>
                  <w:tcW w:w="1247" w:type="pct"/>
                  <w:tcBorders>
                    <w:tl2br w:val="nil"/>
                    <w:tr2bl w:val="nil"/>
                  </w:tcBorders>
                  <w:tcMar>
                    <w:left w:w="0" w:type="dxa"/>
                    <w:right w:w="0" w:type="dxa"/>
                  </w:tcMar>
                  <w:vAlign w:val="center"/>
                </w:tcPr>
                <w:p w14:paraId="2850506B">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铁</w:t>
                  </w:r>
                </w:p>
              </w:tc>
              <w:tc>
                <w:tcPr>
                  <w:tcW w:w="1814" w:type="pct"/>
                  <w:vMerge w:val="continue"/>
                  <w:tcBorders>
                    <w:tl2br w:val="nil"/>
                    <w:tr2bl w:val="nil"/>
                  </w:tcBorders>
                  <w:tcMar>
                    <w:left w:w="0" w:type="dxa"/>
                    <w:right w:w="0" w:type="dxa"/>
                  </w:tcMar>
                  <w:vAlign w:val="center"/>
                </w:tcPr>
                <w:p w14:paraId="1DBC3E08">
                  <w:pPr>
                    <w:adjustRightInd w:val="0"/>
                    <w:snapToGrid w:val="0"/>
                    <w:rPr>
                      <w:rFonts w:hint="default" w:ascii="Times New Roman" w:hAnsi="Times New Roman" w:cs="Times New Roman"/>
                      <w:color w:val="auto"/>
                      <w:szCs w:val="21"/>
                    </w:rPr>
                  </w:pPr>
                </w:p>
              </w:tc>
            </w:tr>
            <w:tr w14:paraId="3973A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continue"/>
                  <w:tcBorders>
                    <w:tl2br w:val="nil"/>
                    <w:tr2bl w:val="nil"/>
                  </w:tcBorders>
                  <w:tcMar>
                    <w:left w:w="0" w:type="dxa"/>
                    <w:right w:w="0" w:type="dxa"/>
                  </w:tcMar>
                  <w:vAlign w:val="center"/>
                </w:tcPr>
                <w:p w14:paraId="77D261C3">
                  <w:pPr>
                    <w:adjustRightInd w:val="0"/>
                    <w:snapToGrid w:val="0"/>
                    <w:jc w:val="center"/>
                    <w:rPr>
                      <w:rFonts w:hint="default" w:ascii="Times New Roman" w:hAnsi="Times New Roman" w:cs="Times New Roman"/>
                      <w:color w:val="auto"/>
                      <w:szCs w:val="21"/>
                    </w:rPr>
                  </w:pPr>
                </w:p>
              </w:tc>
              <w:tc>
                <w:tcPr>
                  <w:tcW w:w="434" w:type="pct"/>
                  <w:tcBorders>
                    <w:tl2br w:val="nil"/>
                    <w:tr2bl w:val="nil"/>
                  </w:tcBorders>
                  <w:tcMar>
                    <w:left w:w="0" w:type="dxa"/>
                    <w:right w:w="0" w:type="dxa"/>
                  </w:tcMar>
                  <w:vAlign w:val="center"/>
                </w:tcPr>
                <w:p w14:paraId="20AD94ED">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S3</w:t>
                  </w:r>
                </w:p>
              </w:tc>
              <w:tc>
                <w:tcPr>
                  <w:tcW w:w="1046" w:type="pct"/>
                  <w:tcBorders>
                    <w:tl2br w:val="nil"/>
                    <w:tr2bl w:val="nil"/>
                  </w:tcBorders>
                  <w:shd w:val="clear" w:color="auto" w:fill="auto"/>
                  <w:tcMar>
                    <w:top w:w="0" w:type="dxa"/>
                    <w:left w:w="0" w:type="dxa"/>
                    <w:bottom w:w="0" w:type="dxa"/>
                    <w:right w:w="0" w:type="dxa"/>
                  </w:tcMar>
                  <w:vAlign w:val="center"/>
                </w:tcPr>
                <w:p w14:paraId="65A38D8F">
                  <w:pPr>
                    <w:pStyle w:val="130"/>
                    <w:rPr>
                      <w:rFonts w:hint="default" w:ascii="Times New Roman" w:hAnsi="Times New Roman" w:eastAsia="宋体" w:cs="Times New Roman"/>
                      <w:color w:val="auto"/>
                      <w:lang w:val="en-US" w:eastAsia="zh-CN"/>
                    </w:rPr>
                  </w:pPr>
                  <w:r>
                    <w:rPr>
                      <w:rFonts w:hint="default" w:ascii="Times New Roman" w:hAnsi="Times New Roman" w:cs="Times New Roman"/>
                      <w:color w:val="auto"/>
                    </w:rPr>
                    <w:t>除尘灰</w:t>
                  </w:r>
                  <w:r>
                    <w:rPr>
                      <w:rFonts w:hint="default" w:ascii="Times New Roman" w:hAnsi="Times New Roman" w:cs="Times New Roman"/>
                      <w:color w:val="auto"/>
                      <w:lang w:val="en-US" w:eastAsia="zh-CN"/>
                    </w:rPr>
                    <w:t>及废布袋</w:t>
                  </w:r>
                </w:p>
              </w:tc>
              <w:tc>
                <w:tcPr>
                  <w:tcW w:w="1247" w:type="pct"/>
                  <w:tcBorders>
                    <w:tl2br w:val="nil"/>
                    <w:tr2bl w:val="nil"/>
                  </w:tcBorders>
                  <w:tcMar>
                    <w:left w:w="0" w:type="dxa"/>
                    <w:right w:w="0" w:type="dxa"/>
                  </w:tcMar>
                  <w:vAlign w:val="center"/>
                </w:tcPr>
                <w:p w14:paraId="04B1C3EB">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除尘灰</w:t>
                  </w:r>
                </w:p>
              </w:tc>
              <w:tc>
                <w:tcPr>
                  <w:tcW w:w="1814" w:type="pct"/>
                  <w:vMerge w:val="continue"/>
                  <w:tcBorders>
                    <w:tl2br w:val="nil"/>
                    <w:tr2bl w:val="nil"/>
                  </w:tcBorders>
                  <w:tcMar>
                    <w:left w:w="0" w:type="dxa"/>
                    <w:right w:w="0" w:type="dxa"/>
                  </w:tcMar>
                  <w:vAlign w:val="center"/>
                </w:tcPr>
                <w:p w14:paraId="64E5E257">
                  <w:pPr>
                    <w:adjustRightInd w:val="0"/>
                    <w:snapToGrid w:val="0"/>
                    <w:rPr>
                      <w:rFonts w:hint="default" w:ascii="Times New Roman" w:hAnsi="Times New Roman" w:cs="Times New Roman"/>
                      <w:color w:val="auto"/>
                      <w:szCs w:val="21"/>
                    </w:rPr>
                  </w:pPr>
                </w:p>
              </w:tc>
            </w:tr>
            <w:tr w14:paraId="506BC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continue"/>
                  <w:tcBorders>
                    <w:tl2br w:val="nil"/>
                    <w:tr2bl w:val="nil"/>
                  </w:tcBorders>
                  <w:tcMar>
                    <w:left w:w="0" w:type="dxa"/>
                    <w:right w:w="0" w:type="dxa"/>
                  </w:tcMar>
                  <w:vAlign w:val="center"/>
                </w:tcPr>
                <w:p w14:paraId="703A7A49">
                  <w:pPr>
                    <w:adjustRightInd w:val="0"/>
                    <w:snapToGrid w:val="0"/>
                    <w:jc w:val="center"/>
                    <w:rPr>
                      <w:rFonts w:hint="default" w:ascii="Times New Roman" w:hAnsi="Times New Roman" w:cs="Times New Roman"/>
                      <w:color w:val="auto"/>
                      <w:szCs w:val="21"/>
                    </w:rPr>
                  </w:pPr>
                </w:p>
              </w:tc>
              <w:tc>
                <w:tcPr>
                  <w:tcW w:w="434" w:type="pct"/>
                  <w:tcBorders>
                    <w:tl2br w:val="nil"/>
                    <w:tr2bl w:val="nil"/>
                  </w:tcBorders>
                  <w:tcMar>
                    <w:left w:w="0" w:type="dxa"/>
                    <w:right w:w="0" w:type="dxa"/>
                  </w:tcMar>
                  <w:vAlign w:val="center"/>
                </w:tcPr>
                <w:p w14:paraId="3699B5B5">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S4</w:t>
                  </w:r>
                </w:p>
              </w:tc>
              <w:tc>
                <w:tcPr>
                  <w:tcW w:w="1046" w:type="pct"/>
                  <w:tcBorders>
                    <w:tl2br w:val="nil"/>
                    <w:tr2bl w:val="nil"/>
                  </w:tcBorders>
                  <w:shd w:val="clear" w:color="auto" w:fill="auto"/>
                  <w:tcMar>
                    <w:top w:w="0" w:type="dxa"/>
                    <w:left w:w="0" w:type="dxa"/>
                    <w:bottom w:w="0" w:type="dxa"/>
                    <w:right w:w="0" w:type="dxa"/>
                  </w:tcMar>
                  <w:vAlign w:val="center"/>
                </w:tcPr>
                <w:p w14:paraId="7486A7D5">
                  <w:pPr>
                    <w:pStyle w:val="130"/>
                    <w:rPr>
                      <w:rFonts w:hint="default" w:ascii="Times New Roman" w:hAnsi="Times New Roman" w:cs="Times New Roman"/>
                      <w:color w:val="auto"/>
                    </w:rPr>
                  </w:pPr>
                  <w:r>
                    <w:rPr>
                      <w:rFonts w:hint="default" w:ascii="Times New Roman" w:hAnsi="Times New Roman" w:cs="Times New Roman"/>
                      <w:color w:val="auto"/>
                    </w:rPr>
                    <w:t>废酸液</w:t>
                  </w:r>
                </w:p>
              </w:tc>
              <w:tc>
                <w:tcPr>
                  <w:tcW w:w="1247" w:type="pct"/>
                  <w:tcBorders>
                    <w:tl2br w:val="nil"/>
                    <w:tr2bl w:val="nil"/>
                  </w:tcBorders>
                  <w:tcMar>
                    <w:left w:w="0" w:type="dxa"/>
                    <w:right w:w="0" w:type="dxa"/>
                  </w:tcMar>
                  <w:vAlign w:val="center"/>
                </w:tcPr>
                <w:p w14:paraId="68B27766">
                  <w:pPr>
                    <w:adjustRightInd w:val="0"/>
                    <w:snapToGrid w:val="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危险废物（类别：HW34</w:t>
                  </w:r>
                </w:p>
                <w:p w14:paraId="1C5DBA09">
                  <w:pPr>
                    <w:adjustRightInd w:val="0"/>
                    <w:snapToGrid w:val="0"/>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pacing w:val="-20"/>
                      <w:kern w:val="0"/>
                      <w:szCs w:val="21"/>
                    </w:rPr>
                    <w:t>900-300-34）</w:t>
                  </w:r>
                </w:p>
              </w:tc>
              <w:tc>
                <w:tcPr>
                  <w:tcW w:w="1814" w:type="pct"/>
                  <w:vMerge w:val="restart"/>
                  <w:tcBorders>
                    <w:tl2br w:val="nil"/>
                    <w:tr2bl w:val="nil"/>
                  </w:tcBorders>
                  <w:tcMar>
                    <w:left w:w="0" w:type="dxa"/>
                    <w:right w:w="0" w:type="dxa"/>
                  </w:tcMar>
                  <w:vAlign w:val="center"/>
                </w:tcPr>
                <w:p w14:paraId="6DF5C921">
                  <w:pPr>
                    <w:adjustRightInd w:val="0"/>
                    <w:snapToGrid w:val="0"/>
                    <w:jc w:val="both"/>
                    <w:rPr>
                      <w:rFonts w:hint="default" w:ascii="Times New Roman" w:hAnsi="Times New Roman" w:cs="Times New Roman"/>
                      <w:color w:val="auto"/>
                      <w:szCs w:val="21"/>
                    </w:rPr>
                  </w:pPr>
                  <w:r>
                    <w:rPr>
                      <w:rFonts w:hint="default" w:ascii="Times New Roman" w:hAnsi="Times New Roman" w:cs="Times New Roman"/>
                      <w:color w:val="auto"/>
                      <w:szCs w:val="21"/>
                    </w:rPr>
                    <w:t>暂存危废贮存间，委托有资质单位处置</w:t>
                  </w:r>
                </w:p>
              </w:tc>
            </w:tr>
            <w:tr w14:paraId="5AB7A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continue"/>
                  <w:tcBorders>
                    <w:tl2br w:val="nil"/>
                    <w:tr2bl w:val="nil"/>
                  </w:tcBorders>
                  <w:tcMar>
                    <w:left w:w="0" w:type="dxa"/>
                    <w:right w:w="0" w:type="dxa"/>
                  </w:tcMar>
                  <w:vAlign w:val="center"/>
                </w:tcPr>
                <w:p w14:paraId="2FFF04E7">
                  <w:pPr>
                    <w:adjustRightInd w:val="0"/>
                    <w:snapToGrid w:val="0"/>
                    <w:jc w:val="center"/>
                    <w:rPr>
                      <w:rFonts w:hint="default" w:ascii="Times New Roman" w:hAnsi="Times New Roman" w:cs="Times New Roman"/>
                      <w:color w:val="auto"/>
                      <w:szCs w:val="21"/>
                    </w:rPr>
                  </w:pPr>
                </w:p>
              </w:tc>
              <w:tc>
                <w:tcPr>
                  <w:tcW w:w="434" w:type="pct"/>
                  <w:tcBorders>
                    <w:tl2br w:val="nil"/>
                    <w:tr2bl w:val="nil"/>
                  </w:tcBorders>
                  <w:tcMar>
                    <w:left w:w="0" w:type="dxa"/>
                    <w:right w:w="0" w:type="dxa"/>
                  </w:tcMar>
                  <w:vAlign w:val="center"/>
                </w:tcPr>
                <w:p w14:paraId="6D1A693B">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S5</w:t>
                  </w:r>
                </w:p>
              </w:tc>
              <w:tc>
                <w:tcPr>
                  <w:tcW w:w="1046" w:type="pct"/>
                  <w:tcBorders>
                    <w:tl2br w:val="nil"/>
                    <w:tr2bl w:val="nil"/>
                  </w:tcBorders>
                  <w:shd w:val="clear" w:color="auto" w:fill="auto"/>
                  <w:tcMar>
                    <w:top w:w="0" w:type="dxa"/>
                    <w:left w:w="0" w:type="dxa"/>
                    <w:bottom w:w="0" w:type="dxa"/>
                    <w:right w:w="0" w:type="dxa"/>
                  </w:tcMar>
                  <w:vAlign w:val="center"/>
                </w:tcPr>
                <w:p w14:paraId="3657A9B1">
                  <w:pPr>
                    <w:pStyle w:val="130"/>
                    <w:rPr>
                      <w:rFonts w:hint="default" w:ascii="Times New Roman" w:hAnsi="Times New Roman" w:cs="Times New Roman"/>
                      <w:color w:val="auto"/>
                    </w:rPr>
                  </w:pPr>
                  <w:r>
                    <w:rPr>
                      <w:rFonts w:hint="default" w:ascii="Times New Roman" w:hAnsi="Times New Roman" w:cs="Times New Roman"/>
                      <w:color w:val="auto"/>
                    </w:rPr>
                    <w:t>磷渣</w:t>
                  </w:r>
                </w:p>
              </w:tc>
              <w:tc>
                <w:tcPr>
                  <w:tcW w:w="1247" w:type="pct"/>
                  <w:tcBorders>
                    <w:tl2br w:val="nil"/>
                    <w:tr2bl w:val="nil"/>
                  </w:tcBorders>
                  <w:tcMar>
                    <w:left w:w="0" w:type="dxa"/>
                    <w:right w:w="0" w:type="dxa"/>
                  </w:tcMar>
                  <w:vAlign w:val="center"/>
                </w:tcPr>
                <w:p w14:paraId="1F08C980">
                  <w:pPr>
                    <w:adjustRightInd w:val="0"/>
                    <w:snapToGrid w:val="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危险废物（类别：HW34</w:t>
                  </w:r>
                </w:p>
                <w:p w14:paraId="2AB04963">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eastAsiaTheme="minorEastAsia"/>
                      <w:color w:val="auto"/>
                      <w:spacing w:val="-20"/>
                      <w:kern w:val="0"/>
                      <w:szCs w:val="21"/>
                    </w:rPr>
                    <w:t>336-064-17）</w:t>
                  </w:r>
                </w:p>
              </w:tc>
              <w:tc>
                <w:tcPr>
                  <w:tcW w:w="1814" w:type="pct"/>
                  <w:vMerge w:val="continue"/>
                  <w:tcBorders>
                    <w:tl2br w:val="nil"/>
                    <w:tr2bl w:val="nil"/>
                  </w:tcBorders>
                  <w:tcMar>
                    <w:left w:w="0" w:type="dxa"/>
                    <w:right w:w="0" w:type="dxa"/>
                  </w:tcMar>
                  <w:vAlign w:val="center"/>
                </w:tcPr>
                <w:p w14:paraId="70119CFC">
                  <w:pPr>
                    <w:adjustRightInd w:val="0"/>
                    <w:snapToGrid w:val="0"/>
                    <w:rPr>
                      <w:rFonts w:hint="default" w:ascii="Times New Roman" w:hAnsi="Times New Roman" w:cs="Times New Roman"/>
                      <w:color w:val="auto"/>
                      <w:szCs w:val="21"/>
                    </w:rPr>
                  </w:pPr>
                </w:p>
              </w:tc>
            </w:tr>
            <w:tr w14:paraId="35C9F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continue"/>
                  <w:tcBorders>
                    <w:tl2br w:val="nil"/>
                    <w:tr2bl w:val="nil"/>
                  </w:tcBorders>
                  <w:tcMar>
                    <w:left w:w="0" w:type="dxa"/>
                    <w:right w:w="0" w:type="dxa"/>
                  </w:tcMar>
                  <w:vAlign w:val="center"/>
                </w:tcPr>
                <w:p w14:paraId="5414094F">
                  <w:pPr>
                    <w:adjustRightInd w:val="0"/>
                    <w:snapToGrid w:val="0"/>
                    <w:jc w:val="center"/>
                    <w:rPr>
                      <w:rFonts w:hint="default" w:ascii="Times New Roman" w:hAnsi="Times New Roman" w:cs="Times New Roman"/>
                      <w:color w:val="auto"/>
                      <w:szCs w:val="21"/>
                    </w:rPr>
                  </w:pPr>
                </w:p>
              </w:tc>
              <w:tc>
                <w:tcPr>
                  <w:tcW w:w="434" w:type="pct"/>
                  <w:tcBorders>
                    <w:tl2br w:val="nil"/>
                    <w:tr2bl w:val="nil"/>
                  </w:tcBorders>
                  <w:tcMar>
                    <w:left w:w="0" w:type="dxa"/>
                    <w:right w:w="0" w:type="dxa"/>
                  </w:tcMar>
                  <w:vAlign w:val="center"/>
                </w:tcPr>
                <w:p w14:paraId="4F8D1F50">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S6</w:t>
                  </w:r>
                </w:p>
              </w:tc>
              <w:tc>
                <w:tcPr>
                  <w:tcW w:w="1046" w:type="pct"/>
                  <w:tcBorders>
                    <w:tl2br w:val="nil"/>
                    <w:tr2bl w:val="nil"/>
                  </w:tcBorders>
                  <w:shd w:val="clear" w:color="auto" w:fill="auto"/>
                  <w:tcMar>
                    <w:top w:w="0" w:type="dxa"/>
                    <w:left w:w="0" w:type="dxa"/>
                    <w:bottom w:w="0" w:type="dxa"/>
                    <w:right w:w="0" w:type="dxa"/>
                  </w:tcMar>
                  <w:vAlign w:val="center"/>
                </w:tcPr>
                <w:p w14:paraId="7D2F1A8B">
                  <w:pPr>
                    <w:pStyle w:val="130"/>
                    <w:rPr>
                      <w:rFonts w:hint="default" w:ascii="Times New Roman" w:hAnsi="Times New Roman" w:cs="Times New Roman"/>
                      <w:color w:val="auto"/>
                    </w:rPr>
                  </w:pPr>
                  <w:r>
                    <w:rPr>
                      <w:rFonts w:hint="default" w:ascii="Times New Roman" w:hAnsi="Times New Roman" w:cs="Times New Roman"/>
                      <w:color w:val="auto"/>
                    </w:rPr>
                    <w:t>皂化废液</w:t>
                  </w:r>
                </w:p>
              </w:tc>
              <w:tc>
                <w:tcPr>
                  <w:tcW w:w="1247" w:type="pct"/>
                  <w:tcBorders>
                    <w:tl2br w:val="nil"/>
                    <w:tr2bl w:val="nil"/>
                  </w:tcBorders>
                  <w:tcMar>
                    <w:left w:w="0" w:type="dxa"/>
                    <w:right w:w="0" w:type="dxa"/>
                  </w:tcMar>
                  <w:vAlign w:val="center"/>
                </w:tcPr>
                <w:p w14:paraId="53326F64">
                  <w:pPr>
                    <w:adjustRightInd w:val="0"/>
                    <w:snapToGrid w:val="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危险废物（类别：HW34</w:t>
                  </w:r>
                </w:p>
                <w:p w14:paraId="6ECC85F0">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eastAsiaTheme="minorEastAsia"/>
                      <w:color w:val="auto"/>
                      <w:spacing w:val="-20"/>
                      <w:kern w:val="0"/>
                      <w:szCs w:val="21"/>
                    </w:rPr>
                    <w:t>336-064-17）</w:t>
                  </w:r>
                </w:p>
              </w:tc>
              <w:tc>
                <w:tcPr>
                  <w:tcW w:w="1814" w:type="pct"/>
                  <w:vMerge w:val="continue"/>
                  <w:tcBorders>
                    <w:tl2br w:val="nil"/>
                    <w:tr2bl w:val="nil"/>
                  </w:tcBorders>
                  <w:tcMar>
                    <w:left w:w="0" w:type="dxa"/>
                    <w:right w:w="0" w:type="dxa"/>
                  </w:tcMar>
                  <w:vAlign w:val="center"/>
                </w:tcPr>
                <w:p w14:paraId="73725DEC">
                  <w:pPr>
                    <w:adjustRightInd w:val="0"/>
                    <w:snapToGrid w:val="0"/>
                    <w:rPr>
                      <w:rFonts w:hint="default" w:ascii="Times New Roman" w:hAnsi="Times New Roman" w:cs="Times New Roman"/>
                      <w:color w:val="auto"/>
                      <w:szCs w:val="21"/>
                    </w:rPr>
                  </w:pPr>
                </w:p>
              </w:tc>
            </w:tr>
            <w:tr w14:paraId="25359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continue"/>
                  <w:tcBorders>
                    <w:tl2br w:val="nil"/>
                    <w:tr2bl w:val="nil"/>
                  </w:tcBorders>
                  <w:tcMar>
                    <w:left w:w="0" w:type="dxa"/>
                    <w:right w:w="0" w:type="dxa"/>
                  </w:tcMar>
                  <w:vAlign w:val="center"/>
                </w:tcPr>
                <w:p w14:paraId="4AF83628">
                  <w:pPr>
                    <w:adjustRightInd w:val="0"/>
                    <w:snapToGrid w:val="0"/>
                    <w:jc w:val="center"/>
                    <w:rPr>
                      <w:rFonts w:hint="default" w:ascii="Times New Roman" w:hAnsi="Times New Roman" w:cs="Times New Roman"/>
                      <w:color w:val="auto"/>
                      <w:szCs w:val="21"/>
                    </w:rPr>
                  </w:pPr>
                </w:p>
              </w:tc>
              <w:tc>
                <w:tcPr>
                  <w:tcW w:w="434" w:type="pct"/>
                  <w:tcBorders>
                    <w:tl2br w:val="nil"/>
                    <w:tr2bl w:val="nil"/>
                  </w:tcBorders>
                  <w:tcMar>
                    <w:left w:w="0" w:type="dxa"/>
                    <w:right w:w="0" w:type="dxa"/>
                  </w:tcMar>
                  <w:vAlign w:val="center"/>
                </w:tcPr>
                <w:p w14:paraId="306F5E8D">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S7</w:t>
                  </w:r>
                </w:p>
              </w:tc>
              <w:tc>
                <w:tcPr>
                  <w:tcW w:w="1046" w:type="pct"/>
                  <w:tcBorders>
                    <w:tl2br w:val="nil"/>
                    <w:tr2bl w:val="nil"/>
                  </w:tcBorders>
                  <w:shd w:val="clear" w:color="auto" w:fill="auto"/>
                  <w:tcMar>
                    <w:top w:w="0" w:type="dxa"/>
                    <w:left w:w="0" w:type="dxa"/>
                    <w:bottom w:w="0" w:type="dxa"/>
                    <w:right w:w="0" w:type="dxa"/>
                  </w:tcMar>
                  <w:vAlign w:val="center"/>
                </w:tcPr>
                <w:p w14:paraId="2C6E2C3D">
                  <w:pPr>
                    <w:pStyle w:val="130"/>
                    <w:rPr>
                      <w:rFonts w:hint="default" w:ascii="Times New Roman" w:hAnsi="Times New Roman" w:cs="Times New Roman"/>
                      <w:color w:val="auto"/>
                    </w:rPr>
                  </w:pPr>
                  <w:r>
                    <w:rPr>
                      <w:rFonts w:hint="default" w:ascii="Times New Roman" w:hAnsi="Times New Roman" w:cs="Times New Roman" w:eastAsiaTheme="minorEastAsia"/>
                      <w:color w:val="auto"/>
                    </w:rPr>
                    <w:t>磷化液原料空桶</w:t>
                  </w:r>
                </w:p>
              </w:tc>
              <w:tc>
                <w:tcPr>
                  <w:tcW w:w="1247" w:type="pct"/>
                  <w:tcBorders>
                    <w:tl2br w:val="nil"/>
                    <w:tr2bl w:val="nil"/>
                  </w:tcBorders>
                  <w:tcMar>
                    <w:left w:w="0" w:type="dxa"/>
                    <w:right w:w="0" w:type="dxa"/>
                  </w:tcMar>
                  <w:vAlign w:val="center"/>
                </w:tcPr>
                <w:p w14:paraId="1B256F75">
                  <w:pPr>
                    <w:adjustRightInd w:val="0"/>
                    <w:snapToGrid w:val="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危险废物（类别：HW49</w:t>
                  </w:r>
                </w:p>
                <w:p w14:paraId="2BD55641">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eastAsiaTheme="minorEastAsia"/>
                      <w:color w:val="auto"/>
                      <w:spacing w:val="-20"/>
                      <w:kern w:val="0"/>
                      <w:szCs w:val="21"/>
                    </w:rPr>
                    <w:t>900-041-49</w:t>
                  </w:r>
                  <w:r>
                    <w:rPr>
                      <w:rFonts w:hint="default" w:ascii="Times New Roman" w:hAnsi="Times New Roman" w:cs="Times New Roman"/>
                      <w:color w:val="auto"/>
                      <w:kern w:val="0"/>
                      <w:szCs w:val="21"/>
                      <w:lang w:bidi="ar"/>
                    </w:rPr>
                    <w:t>）</w:t>
                  </w:r>
                </w:p>
              </w:tc>
              <w:tc>
                <w:tcPr>
                  <w:tcW w:w="1814" w:type="pct"/>
                  <w:tcBorders>
                    <w:tl2br w:val="nil"/>
                    <w:tr2bl w:val="nil"/>
                  </w:tcBorders>
                  <w:tcMar>
                    <w:left w:w="0" w:type="dxa"/>
                    <w:right w:w="0" w:type="dxa"/>
                  </w:tcMar>
                  <w:vAlign w:val="center"/>
                </w:tcPr>
                <w:p w14:paraId="41B92BED">
                  <w:pPr>
                    <w:adjustRightInd w:val="0"/>
                    <w:snapToGrid w:val="0"/>
                    <w:rPr>
                      <w:rFonts w:hint="default" w:ascii="Times New Roman" w:hAnsi="Times New Roman" w:cs="Times New Roman"/>
                      <w:color w:val="auto"/>
                      <w:szCs w:val="21"/>
                    </w:rPr>
                  </w:pPr>
                  <w:r>
                    <w:rPr>
                      <w:rFonts w:hint="default" w:ascii="Times New Roman" w:hAnsi="Times New Roman" w:cs="Times New Roman" w:eastAsiaTheme="minorEastAsia"/>
                      <w:color w:val="auto"/>
                    </w:rPr>
                    <w:t>由原料厂家回收再利用</w:t>
                  </w:r>
                </w:p>
              </w:tc>
            </w:tr>
            <w:tr w14:paraId="06F0B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continue"/>
                  <w:tcBorders>
                    <w:tl2br w:val="nil"/>
                    <w:tr2bl w:val="nil"/>
                  </w:tcBorders>
                  <w:tcMar>
                    <w:left w:w="0" w:type="dxa"/>
                    <w:right w:w="0" w:type="dxa"/>
                  </w:tcMar>
                  <w:vAlign w:val="center"/>
                </w:tcPr>
                <w:p w14:paraId="464C29B9">
                  <w:pPr>
                    <w:adjustRightInd w:val="0"/>
                    <w:snapToGrid w:val="0"/>
                    <w:jc w:val="center"/>
                    <w:rPr>
                      <w:rFonts w:hint="default" w:ascii="Times New Roman" w:hAnsi="Times New Roman" w:cs="Times New Roman"/>
                      <w:color w:val="auto"/>
                      <w:szCs w:val="21"/>
                    </w:rPr>
                  </w:pPr>
                </w:p>
              </w:tc>
              <w:tc>
                <w:tcPr>
                  <w:tcW w:w="434" w:type="pct"/>
                  <w:tcBorders>
                    <w:tl2br w:val="nil"/>
                    <w:tr2bl w:val="nil"/>
                  </w:tcBorders>
                  <w:tcMar>
                    <w:left w:w="0" w:type="dxa"/>
                    <w:right w:w="0" w:type="dxa"/>
                  </w:tcMar>
                  <w:vAlign w:val="center"/>
                </w:tcPr>
                <w:p w14:paraId="3A7148E7">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S8</w:t>
                  </w:r>
                </w:p>
              </w:tc>
              <w:tc>
                <w:tcPr>
                  <w:tcW w:w="1046" w:type="pct"/>
                  <w:tcBorders>
                    <w:tl2br w:val="nil"/>
                    <w:tr2bl w:val="nil"/>
                  </w:tcBorders>
                  <w:shd w:val="clear" w:color="auto" w:fill="auto"/>
                  <w:tcMar>
                    <w:top w:w="0" w:type="dxa"/>
                    <w:left w:w="0" w:type="dxa"/>
                    <w:bottom w:w="0" w:type="dxa"/>
                    <w:right w:w="0" w:type="dxa"/>
                  </w:tcMar>
                  <w:vAlign w:val="center"/>
                </w:tcPr>
                <w:p w14:paraId="38525E22">
                  <w:pPr>
                    <w:pStyle w:val="13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废包装袋（表面处理原料包装）</w:t>
                  </w:r>
                </w:p>
              </w:tc>
              <w:tc>
                <w:tcPr>
                  <w:tcW w:w="1247" w:type="pct"/>
                  <w:tcBorders>
                    <w:tl2br w:val="nil"/>
                    <w:tr2bl w:val="nil"/>
                  </w:tcBorders>
                  <w:tcMar>
                    <w:left w:w="0" w:type="dxa"/>
                    <w:right w:w="0" w:type="dxa"/>
                  </w:tcMar>
                  <w:vAlign w:val="center"/>
                </w:tcPr>
                <w:p w14:paraId="11A9E55E">
                  <w:pPr>
                    <w:adjustRightInd w:val="0"/>
                    <w:snapToGrid w:val="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危险废物（类别：HW49</w:t>
                  </w:r>
                </w:p>
                <w:p w14:paraId="636D0344">
                  <w:pPr>
                    <w:adjustRightInd w:val="0"/>
                    <w:snapToGrid w:val="0"/>
                    <w:jc w:val="center"/>
                    <w:rPr>
                      <w:rFonts w:hint="default" w:ascii="Times New Roman" w:hAnsi="Times New Roman" w:cs="Times New Roman"/>
                      <w:color w:val="auto"/>
                      <w:kern w:val="0"/>
                      <w:szCs w:val="21"/>
                      <w:lang w:bidi="ar"/>
                    </w:rPr>
                  </w:pPr>
                  <w:r>
                    <w:rPr>
                      <w:rFonts w:hint="default" w:ascii="Times New Roman" w:hAnsi="Times New Roman" w:cs="Times New Roman" w:eastAsiaTheme="minorEastAsia"/>
                      <w:color w:val="auto"/>
                      <w:spacing w:val="-20"/>
                      <w:kern w:val="0"/>
                      <w:szCs w:val="21"/>
                    </w:rPr>
                    <w:t>900-041-49</w:t>
                  </w:r>
                  <w:r>
                    <w:rPr>
                      <w:rFonts w:hint="default" w:ascii="Times New Roman" w:hAnsi="Times New Roman" w:cs="Times New Roman"/>
                      <w:color w:val="auto"/>
                      <w:kern w:val="0"/>
                      <w:szCs w:val="21"/>
                      <w:lang w:bidi="ar"/>
                    </w:rPr>
                    <w:t>）</w:t>
                  </w:r>
                </w:p>
              </w:tc>
              <w:tc>
                <w:tcPr>
                  <w:tcW w:w="1814" w:type="pct"/>
                  <w:vMerge w:val="restart"/>
                  <w:tcBorders>
                    <w:tl2br w:val="nil"/>
                    <w:tr2bl w:val="nil"/>
                  </w:tcBorders>
                  <w:tcMar>
                    <w:left w:w="0" w:type="dxa"/>
                    <w:right w:w="0" w:type="dxa"/>
                  </w:tcMar>
                  <w:vAlign w:val="center"/>
                </w:tcPr>
                <w:p w14:paraId="3DAA41B2">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暂存危废贮存间，委托有资质单位处置</w:t>
                  </w:r>
                </w:p>
              </w:tc>
            </w:tr>
            <w:tr w14:paraId="20EB4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continue"/>
                  <w:tcBorders>
                    <w:tl2br w:val="nil"/>
                    <w:tr2bl w:val="nil"/>
                  </w:tcBorders>
                  <w:tcMar>
                    <w:left w:w="0" w:type="dxa"/>
                    <w:right w:w="0" w:type="dxa"/>
                  </w:tcMar>
                  <w:vAlign w:val="center"/>
                </w:tcPr>
                <w:p w14:paraId="4C24D7F6">
                  <w:pPr>
                    <w:adjustRightInd w:val="0"/>
                    <w:snapToGrid w:val="0"/>
                    <w:jc w:val="center"/>
                    <w:rPr>
                      <w:rFonts w:hint="default" w:ascii="Times New Roman" w:hAnsi="Times New Roman" w:cs="Times New Roman"/>
                      <w:color w:val="auto"/>
                      <w:szCs w:val="21"/>
                    </w:rPr>
                  </w:pPr>
                </w:p>
              </w:tc>
              <w:tc>
                <w:tcPr>
                  <w:tcW w:w="434" w:type="pct"/>
                  <w:tcBorders>
                    <w:tl2br w:val="nil"/>
                    <w:tr2bl w:val="nil"/>
                  </w:tcBorders>
                  <w:tcMar>
                    <w:left w:w="0" w:type="dxa"/>
                    <w:right w:w="0" w:type="dxa"/>
                  </w:tcMar>
                  <w:vAlign w:val="center"/>
                </w:tcPr>
                <w:p w14:paraId="22B10D0E">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S9</w:t>
                  </w:r>
                </w:p>
              </w:tc>
              <w:tc>
                <w:tcPr>
                  <w:tcW w:w="1046" w:type="pct"/>
                  <w:tcBorders>
                    <w:tl2br w:val="nil"/>
                    <w:tr2bl w:val="nil"/>
                  </w:tcBorders>
                  <w:shd w:val="clear" w:color="auto" w:fill="auto"/>
                  <w:tcMar>
                    <w:top w:w="0" w:type="dxa"/>
                    <w:left w:w="0" w:type="dxa"/>
                    <w:bottom w:w="0" w:type="dxa"/>
                    <w:right w:w="0" w:type="dxa"/>
                  </w:tcMar>
                  <w:vAlign w:val="center"/>
                </w:tcPr>
                <w:p w14:paraId="5FC76576">
                  <w:pPr>
                    <w:pStyle w:val="13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污水处理站污泥</w:t>
                  </w:r>
                </w:p>
              </w:tc>
              <w:tc>
                <w:tcPr>
                  <w:tcW w:w="1247" w:type="pct"/>
                  <w:tcBorders>
                    <w:tl2br w:val="nil"/>
                    <w:tr2bl w:val="nil"/>
                  </w:tcBorders>
                  <w:tcMar>
                    <w:left w:w="0" w:type="dxa"/>
                    <w:right w:w="0" w:type="dxa"/>
                  </w:tcMar>
                  <w:vAlign w:val="center"/>
                </w:tcPr>
                <w:p w14:paraId="2851881F">
                  <w:pPr>
                    <w:adjustRightInd w:val="0"/>
                    <w:snapToGrid w:val="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危险废物（类别：HW17</w:t>
                  </w:r>
                </w:p>
                <w:p w14:paraId="7730712A">
                  <w:pPr>
                    <w:adjustRightInd w:val="0"/>
                    <w:snapToGrid w:val="0"/>
                    <w:jc w:val="center"/>
                    <w:rPr>
                      <w:rFonts w:hint="default" w:ascii="Times New Roman" w:hAnsi="Times New Roman" w:cs="Times New Roman"/>
                      <w:color w:val="auto"/>
                      <w:kern w:val="0"/>
                      <w:szCs w:val="21"/>
                      <w:lang w:bidi="ar"/>
                    </w:rPr>
                  </w:pPr>
                  <w:r>
                    <w:rPr>
                      <w:rFonts w:hint="default" w:ascii="Times New Roman" w:hAnsi="Times New Roman" w:cs="Times New Roman" w:eastAsiaTheme="minorEastAsia"/>
                      <w:color w:val="auto"/>
                      <w:spacing w:val="-20"/>
                      <w:kern w:val="0"/>
                      <w:szCs w:val="21"/>
                    </w:rPr>
                    <w:t>336-064-17</w:t>
                  </w:r>
                  <w:r>
                    <w:rPr>
                      <w:rFonts w:hint="default" w:ascii="Times New Roman" w:hAnsi="Times New Roman" w:cs="Times New Roman"/>
                      <w:color w:val="auto"/>
                      <w:kern w:val="0"/>
                      <w:szCs w:val="21"/>
                      <w:lang w:bidi="ar"/>
                    </w:rPr>
                    <w:t>）</w:t>
                  </w:r>
                </w:p>
              </w:tc>
              <w:tc>
                <w:tcPr>
                  <w:tcW w:w="1814" w:type="pct"/>
                  <w:vMerge w:val="continue"/>
                  <w:tcBorders>
                    <w:tl2br w:val="nil"/>
                    <w:tr2bl w:val="nil"/>
                  </w:tcBorders>
                  <w:tcMar>
                    <w:left w:w="0" w:type="dxa"/>
                    <w:right w:w="0" w:type="dxa"/>
                  </w:tcMar>
                  <w:vAlign w:val="center"/>
                </w:tcPr>
                <w:p w14:paraId="30FA3404">
                  <w:pPr>
                    <w:adjustRightInd w:val="0"/>
                    <w:snapToGrid w:val="0"/>
                    <w:rPr>
                      <w:rFonts w:hint="default" w:ascii="Times New Roman" w:hAnsi="Times New Roman" w:cs="Times New Roman"/>
                      <w:color w:val="auto"/>
                      <w:szCs w:val="21"/>
                    </w:rPr>
                  </w:pPr>
                </w:p>
              </w:tc>
            </w:tr>
            <w:tr w14:paraId="283BF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continue"/>
                  <w:tcBorders>
                    <w:tl2br w:val="nil"/>
                    <w:tr2bl w:val="nil"/>
                  </w:tcBorders>
                  <w:tcMar>
                    <w:left w:w="0" w:type="dxa"/>
                    <w:right w:w="0" w:type="dxa"/>
                  </w:tcMar>
                  <w:vAlign w:val="center"/>
                </w:tcPr>
                <w:p w14:paraId="175A7625">
                  <w:pPr>
                    <w:adjustRightInd w:val="0"/>
                    <w:snapToGrid w:val="0"/>
                    <w:jc w:val="center"/>
                    <w:rPr>
                      <w:rFonts w:hint="default" w:ascii="Times New Roman" w:hAnsi="Times New Roman" w:cs="Times New Roman"/>
                      <w:color w:val="auto"/>
                      <w:szCs w:val="21"/>
                    </w:rPr>
                  </w:pPr>
                </w:p>
              </w:tc>
              <w:tc>
                <w:tcPr>
                  <w:tcW w:w="434" w:type="pct"/>
                  <w:tcBorders>
                    <w:tl2br w:val="nil"/>
                    <w:tr2bl w:val="nil"/>
                  </w:tcBorders>
                  <w:tcMar>
                    <w:left w:w="0" w:type="dxa"/>
                    <w:right w:w="0" w:type="dxa"/>
                  </w:tcMar>
                  <w:vAlign w:val="center"/>
                </w:tcPr>
                <w:p w14:paraId="4C4F0713">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S10</w:t>
                  </w:r>
                </w:p>
              </w:tc>
              <w:tc>
                <w:tcPr>
                  <w:tcW w:w="1046" w:type="pct"/>
                  <w:tcBorders>
                    <w:tl2br w:val="nil"/>
                    <w:tr2bl w:val="nil"/>
                  </w:tcBorders>
                  <w:shd w:val="clear" w:color="auto" w:fill="auto"/>
                  <w:tcMar>
                    <w:top w:w="0" w:type="dxa"/>
                    <w:left w:w="0" w:type="dxa"/>
                    <w:bottom w:w="0" w:type="dxa"/>
                    <w:right w:w="0" w:type="dxa"/>
                  </w:tcMar>
                  <w:vAlign w:val="center"/>
                </w:tcPr>
                <w:p w14:paraId="4EF277EE">
                  <w:pPr>
                    <w:pStyle w:val="130"/>
                    <w:rPr>
                      <w:rFonts w:hint="default" w:ascii="Times New Roman" w:hAnsi="Times New Roman" w:cs="Times New Roman"/>
                      <w:color w:val="auto"/>
                    </w:rPr>
                  </w:pPr>
                  <w:r>
                    <w:rPr>
                      <w:rFonts w:hint="default" w:ascii="Times New Roman" w:hAnsi="Times New Roman" w:cs="Times New Roman"/>
                      <w:color w:val="auto"/>
                    </w:rPr>
                    <w:t>废润滑油</w:t>
                  </w:r>
                </w:p>
              </w:tc>
              <w:tc>
                <w:tcPr>
                  <w:tcW w:w="1247" w:type="pct"/>
                  <w:tcBorders>
                    <w:tl2br w:val="nil"/>
                    <w:tr2bl w:val="nil"/>
                  </w:tcBorders>
                  <w:tcMar>
                    <w:left w:w="0" w:type="dxa"/>
                    <w:right w:w="0" w:type="dxa"/>
                  </w:tcMar>
                  <w:vAlign w:val="center"/>
                </w:tcPr>
                <w:p w14:paraId="392EADE9">
                  <w:pPr>
                    <w:adjustRightInd w:val="0"/>
                    <w:snapToGrid w:val="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危险废物（类别：HW08</w:t>
                  </w:r>
                </w:p>
                <w:p w14:paraId="2AA6606D">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900-214-08）</w:t>
                  </w:r>
                </w:p>
              </w:tc>
              <w:tc>
                <w:tcPr>
                  <w:tcW w:w="1814" w:type="pct"/>
                  <w:tcBorders>
                    <w:tl2br w:val="nil"/>
                    <w:tr2bl w:val="nil"/>
                  </w:tcBorders>
                  <w:tcMar>
                    <w:left w:w="0" w:type="dxa"/>
                    <w:right w:w="0" w:type="dxa"/>
                  </w:tcMar>
                  <w:vAlign w:val="center"/>
                </w:tcPr>
                <w:p w14:paraId="297BB57D">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rPr>
                    <w:t>回用于企业机械设备的润滑作业</w:t>
                  </w:r>
                </w:p>
              </w:tc>
            </w:tr>
            <w:tr w14:paraId="0E69B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7" w:type="pct"/>
                  <w:vMerge w:val="continue"/>
                  <w:tcBorders>
                    <w:tl2br w:val="nil"/>
                    <w:tr2bl w:val="nil"/>
                  </w:tcBorders>
                  <w:tcMar>
                    <w:left w:w="0" w:type="dxa"/>
                    <w:right w:w="0" w:type="dxa"/>
                  </w:tcMar>
                  <w:vAlign w:val="center"/>
                </w:tcPr>
                <w:p w14:paraId="0EF47D2E">
                  <w:pPr>
                    <w:adjustRightInd w:val="0"/>
                    <w:snapToGrid w:val="0"/>
                    <w:jc w:val="center"/>
                    <w:rPr>
                      <w:rFonts w:hint="default" w:ascii="Times New Roman" w:hAnsi="Times New Roman" w:cs="Times New Roman"/>
                      <w:color w:val="auto"/>
                      <w:szCs w:val="21"/>
                    </w:rPr>
                  </w:pPr>
                </w:p>
              </w:tc>
              <w:tc>
                <w:tcPr>
                  <w:tcW w:w="434" w:type="pct"/>
                  <w:tcBorders>
                    <w:tl2br w:val="nil"/>
                    <w:tr2bl w:val="nil"/>
                  </w:tcBorders>
                  <w:tcMar>
                    <w:left w:w="0" w:type="dxa"/>
                    <w:right w:w="0" w:type="dxa"/>
                  </w:tcMar>
                  <w:vAlign w:val="center"/>
                </w:tcPr>
                <w:p w14:paraId="400E9BD9">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S1</w:t>
                  </w:r>
                  <w:r>
                    <w:rPr>
                      <w:rFonts w:hint="default" w:ascii="Times New Roman" w:hAnsi="Times New Roman" w:cs="Times New Roman"/>
                      <w:color w:val="auto"/>
                      <w:szCs w:val="21"/>
                      <w:lang w:val="en-US" w:eastAsia="zh-CN"/>
                    </w:rPr>
                    <w:t>1</w:t>
                  </w:r>
                </w:p>
              </w:tc>
              <w:tc>
                <w:tcPr>
                  <w:tcW w:w="1046" w:type="pct"/>
                  <w:tcBorders>
                    <w:tl2br w:val="nil"/>
                    <w:tr2bl w:val="nil"/>
                  </w:tcBorders>
                  <w:shd w:val="clear" w:color="auto" w:fill="auto"/>
                  <w:tcMar>
                    <w:top w:w="0" w:type="dxa"/>
                    <w:left w:w="0" w:type="dxa"/>
                    <w:bottom w:w="0" w:type="dxa"/>
                    <w:right w:w="0" w:type="dxa"/>
                  </w:tcMar>
                  <w:vAlign w:val="center"/>
                </w:tcPr>
                <w:p w14:paraId="0FE6E291">
                  <w:pPr>
                    <w:pStyle w:val="130"/>
                    <w:rPr>
                      <w:rFonts w:hint="default" w:ascii="Times New Roman" w:hAnsi="Times New Roman" w:cs="Times New Roman"/>
                      <w:color w:val="auto"/>
                    </w:rPr>
                  </w:pPr>
                  <w:r>
                    <w:rPr>
                      <w:rFonts w:hint="default" w:ascii="Times New Roman" w:hAnsi="Times New Roman" w:cs="Times New Roman"/>
                      <w:color w:val="auto"/>
                    </w:rPr>
                    <w:t>生活垃圾</w:t>
                  </w:r>
                </w:p>
              </w:tc>
              <w:tc>
                <w:tcPr>
                  <w:tcW w:w="1247" w:type="pct"/>
                  <w:tcBorders>
                    <w:tl2br w:val="nil"/>
                    <w:tr2bl w:val="nil"/>
                  </w:tcBorders>
                  <w:tcMar>
                    <w:left w:w="0" w:type="dxa"/>
                    <w:right w:w="0" w:type="dxa"/>
                  </w:tcMar>
                  <w:vAlign w:val="center"/>
                </w:tcPr>
                <w:p w14:paraId="075CC663">
                  <w:pPr>
                    <w:adjustRightInd w:val="0"/>
                    <w:snapToGrid w:val="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rPr>
                    <w:t>生活垃圾900-002-S64</w:t>
                  </w:r>
                </w:p>
              </w:tc>
              <w:tc>
                <w:tcPr>
                  <w:tcW w:w="1814" w:type="pct"/>
                  <w:tcBorders>
                    <w:tl2br w:val="nil"/>
                    <w:tr2bl w:val="nil"/>
                  </w:tcBorders>
                  <w:tcMar>
                    <w:left w:w="0" w:type="dxa"/>
                    <w:right w:w="0" w:type="dxa"/>
                  </w:tcMar>
                  <w:vAlign w:val="center"/>
                </w:tcPr>
                <w:p w14:paraId="298ADBA4">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由园区环卫部门清运和处置</w:t>
                  </w:r>
                </w:p>
              </w:tc>
            </w:tr>
          </w:tbl>
          <w:p w14:paraId="7F5CAF58">
            <w:pPr>
              <w:pStyle w:val="17"/>
              <w:rPr>
                <w:rFonts w:hint="default" w:ascii="Times New Roman" w:hAnsi="Times New Roman" w:cs="Times New Roman"/>
                <w:color w:val="auto"/>
                <w:vertAlign w:val="baseline"/>
              </w:rPr>
            </w:pPr>
          </w:p>
        </w:tc>
      </w:tr>
    </w:tbl>
    <w:tbl>
      <w:tblPr>
        <w:tblStyle w:val="3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861"/>
      </w:tblGrid>
      <w:tr w14:paraId="6CE917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223" w:type="pct"/>
            <w:vAlign w:val="center"/>
          </w:tcPr>
          <w:p w14:paraId="3D02C935">
            <w:pPr>
              <w:pStyle w:val="30"/>
              <w:widowControl w:val="0"/>
              <w:adjustRightInd w:val="0"/>
              <w:spacing w:before="0" w:beforeAutospacing="0" w:after="0" w:afterAutospacing="0"/>
              <w:jc w:val="center"/>
              <w:rPr>
                <w:rFonts w:hint="default" w:ascii="Times New Roman" w:hAnsi="Times New Roman" w:cs="Times New Roman"/>
                <w:color w:val="auto"/>
                <w:sz w:val="21"/>
                <w:szCs w:val="21"/>
              </w:rPr>
            </w:pPr>
            <w:bookmarkStart w:id="113" w:name="OLE_LINK21"/>
            <w:r>
              <w:rPr>
                <w:rFonts w:hint="default" w:ascii="Times New Roman" w:hAnsi="Times New Roman" w:cs="Times New Roman"/>
                <w:bCs/>
                <w:color w:val="auto"/>
                <w:kern w:val="2"/>
                <w:sz w:val="21"/>
                <w:szCs w:val="21"/>
              </w:rPr>
              <w:t>与项目有关的原有环境污染问题</w:t>
            </w:r>
            <w:bookmarkEnd w:id="113"/>
          </w:p>
        </w:tc>
        <w:tc>
          <w:tcPr>
            <w:tcW w:w="4776" w:type="pct"/>
          </w:tcPr>
          <w:p w14:paraId="5104BD88">
            <w:pPr>
              <w:pStyle w:val="113"/>
              <w:keepLines/>
              <w:spacing w:before="189" w:beforeLines="50" w:after="264" w:afterLines="70" w:line="240" w:lineRule="auto"/>
              <w:rPr>
                <w:rFonts w:hint="default" w:ascii="Times New Roman" w:hAnsi="Times New Roman" w:cs="Times New Roman"/>
                <w:color w:val="auto"/>
                <w:szCs w:val="30"/>
              </w:rPr>
            </w:pPr>
            <w:bookmarkStart w:id="114" w:name="_Toc16231"/>
            <w:bookmarkStart w:id="115" w:name="_Toc23833"/>
            <w:bookmarkStart w:id="116" w:name="_Toc3939"/>
            <w:bookmarkStart w:id="117" w:name="_Toc26489"/>
            <w:bookmarkStart w:id="118" w:name="_Toc16486"/>
            <w:bookmarkStart w:id="119" w:name="_Toc26082"/>
            <w:bookmarkStart w:id="120" w:name="_Toc27986"/>
            <w:bookmarkStart w:id="121" w:name="_Toc25056"/>
            <w:bookmarkStart w:id="122" w:name="_Toc7038"/>
            <w:bookmarkStart w:id="123" w:name="_Toc1871"/>
            <w:bookmarkStart w:id="124" w:name="_Toc21181"/>
            <w:r>
              <w:rPr>
                <w:rFonts w:hint="default" w:ascii="Times New Roman" w:hAnsi="Times New Roman" w:cs="Times New Roman"/>
                <w:color w:val="auto"/>
                <w:szCs w:val="30"/>
              </w:rPr>
              <w:t>2.4 现有工程概况</w:t>
            </w:r>
            <w:bookmarkEnd w:id="114"/>
            <w:bookmarkEnd w:id="115"/>
            <w:bookmarkEnd w:id="116"/>
            <w:bookmarkEnd w:id="117"/>
            <w:bookmarkEnd w:id="118"/>
            <w:bookmarkEnd w:id="119"/>
            <w:bookmarkEnd w:id="120"/>
            <w:bookmarkEnd w:id="121"/>
            <w:bookmarkEnd w:id="122"/>
            <w:bookmarkEnd w:id="123"/>
            <w:bookmarkEnd w:id="124"/>
          </w:p>
          <w:p w14:paraId="544D55CC">
            <w:pPr>
              <w:pStyle w:val="132"/>
              <w:keepNext w:val="0"/>
              <w:keepLines w:val="0"/>
              <w:pageBreakBefore w:val="0"/>
              <w:widowControl w:val="0"/>
              <w:kinsoku/>
              <w:wordWrap/>
              <w:overflowPunct/>
              <w:topLinePunct w:val="0"/>
              <w:autoSpaceDE/>
              <w:autoSpaceDN/>
              <w:bidi w:val="0"/>
              <w:adjustRightInd w:val="0"/>
              <w:snapToGrid w:val="0"/>
              <w:spacing w:beforeAutospacing="0" w:afterAutospacing="0"/>
              <w:textAlignment w:val="auto"/>
              <w:rPr>
                <w:rFonts w:hint="default" w:ascii="Times New Roman" w:hAnsi="Times New Roman" w:cs="Times New Roman"/>
                <w:color w:val="auto"/>
              </w:rPr>
            </w:pPr>
            <w:r>
              <w:rPr>
                <w:rFonts w:hint="default" w:ascii="Times New Roman" w:hAnsi="Times New Roman" w:cs="Times New Roman"/>
                <w:color w:val="auto"/>
              </w:rPr>
              <w:t>福建省明光新型材料有限公司厂址位于沙县金古工业开发区内，原为年产16万吨彩涂板、年产26万吨热镀锌板的新型材料加工中心，整个中心占地28.7万m</w:t>
            </w:r>
            <w:r>
              <w:rPr>
                <w:rFonts w:hint="default" w:ascii="Times New Roman" w:hAnsi="Times New Roman" w:cs="Times New Roman"/>
                <w:color w:val="auto"/>
                <w:vertAlign w:val="superscript"/>
              </w:rPr>
              <w:t>2</w:t>
            </w:r>
            <w:r>
              <w:rPr>
                <w:rFonts w:hint="default" w:ascii="Times New Roman" w:hAnsi="Times New Roman" w:cs="Times New Roman"/>
                <w:color w:val="auto"/>
              </w:rPr>
              <w:t>。该项目于2004年3月由三明市环境保护科学研究所编制完成《福建省明光新型材料有限公司新建年产26万吨热镀锌板及16万吨彩涂板生产线建设项目环境影响报告书》，沙县环保局以沙环〔2004〕89号文件进行批复，该工程为年产26万吨热镀锌板及16万吨彩涂板，于2005年8月17日通过阶段性环保竣工验收。</w:t>
            </w:r>
            <w:r>
              <w:rPr>
                <w:rFonts w:hint="default" w:ascii="Times New Roman" w:hAnsi="Times New Roman" w:cs="Times New Roman"/>
                <w:color w:val="auto"/>
                <w:szCs w:val="24"/>
              </w:rPr>
              <w:t>2009年因市场原因该项目已停产，设备全部拆除，并且后续不再重启（详见附件</w:t>
            </w:r>
            <w:r>
              <w:rPr>
                <w:rFonts w:hint="default" w:ascii="Times New Roman" w:hAnsi="Times New Roman" w:cs="Times New Roman"/>
                <w:color w:val="auto"/>
                <w:szCs w:val="24"/>
                <w:lang w:val="en-US" w:eastAsia="zh-CN"/>
              </w:rPr>
              <w:t>十四</w:t>
            </w:r>
            <w:r>
              <w:rPr>
                <w:rFonts w:hint="default" w:ascii="Times New Roman" w:hAnsi="Times New Roman" w:cs="Times New Roman"/>
                <w:color w:val="auto"/>
                <w:szCs w:val="24"/>
              </w:rPr>
              <w:t>）。</w:t>
            </w:r>
          </w:p>
          <w:p w14:paraId="5DD023BA">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b/>
                <w:bCs/>
                <w:color w:val="auto"/>
              </w:rPr>
            </w:pPr>
            <w:r>
              <w:rPr>
                <w:rFonts w:hint="default" w:ascii="Times New Roman" w:hAnsi="Times New Roman" w:cs="Times New Roman"/>
                <w:color w:val="auto"/>
              </w:rPr>
              <w:t>2011年7月。福建省明光新型材料有限公司进行产业调整。从2011年起分四期建设PC钢棒生产项目，每期建设6万吨生产加工线，至2019年四期工程全部建成投产。</w:t>
            </w:r>
          </w:p>
          <w:p w14:paraId="00D2737D">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rPr>
            </w:pPr>
            <w:r>
              <w:rPr>
                <w:rFonts w:hint="default" w:ascii="Times New Roman" w:hAnsi="Times New Roman" w:cs="Times New Roman"/>
                <w:color w:val="auto"/>
              </w:rPr>
              <w:t>2016年1月，福建省明光新型材料有限公司建设年产36万t磷化线材生产线项目，2016年5月10日原沙县环境保护局以沙环函〔2016〕49号批复。2017年5月，项目已转至三明市海西闽光金属制品有限公司投资建设运营。2021年11月，三明市海西闽光金属制品有限公司进行了磷化线材生产建设项目现阶段年产磷化线材12万吨项目阶段性竣工环境保护验收。2022年3月，该项目已停产，设备已拆除</w:t>
            </w:r>
            <w:r>
              <w:rPr>
                <w:rFonts w:hint="default" w:ascii="Times New Roman" w:hAnsi="Times New Roman" w:cs="Times New Roman"/>
                <w:color w:val="auto"/>
                <w:szCs w:val="24"/>
              </w:rPr>
              <w:t>（详见附件</w:t>
            </w:r>
            <w:r>
              <w:rPr>
                <w:rFonts w:hint="default" w:ascii="Times New Roman" w:hAnsi="Times New Roman" w:cs="Times New Roman"/>
                <w:color w:val="auto"/>
                <w:szCs w:val="24"/>
                <w:lang w:val="en-US" w:eastAsia="zh-CN"/>
              </w:rPr>
              <w:t>十五）</w:t>
            </w:r>
            <w:r>
              <w:rPr>
                <w:rFonts w:hint="default" w:ascii="Times New Roman" w:hAnsi="Times New Roman" w:cs="Times New Roman"/>
                <w:color w:val="auto"/>
              </w:rPr>
              <w:t>。</w:t>
            </w:r>
          </w:p>
          <w:p w14:paraId="57A89508">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rPr>
            </w:pPr>
            <w:r>
              <w:rPr>
                <w:rFonts w:hint="default" w:ascii="Times New Roman" w:hAnsi="Times New Roman" w:cs="Times New Roman"/>
                <w:color w:val="auto"/>
                <w:szCs w:val="24"/>
              </w:rPr>
              <w:t>根据市场需求，福建省明光新型材料有限公司需要进一步拓宽产品品种，拟投资226万元建设</w:t>
            </w:r>
            <w:r>
              <w:rPr>
                <w:rFonts w:hint="default" w:ascii="Times New Roman" w:hAnsi="Times New Roman" w:cs="Times New Roman"/>
                <w:color w:val="auto"/>
                <w:szCs w:val="21"/>
              </w:rPr>
              <w:t>明光新型钢丝生产线项目，建设3条钢丝生产线，项目达产后，可形成年产1.55万吨钢丝的生产能力。项目于2026年2月取得三明市</w:t>
            </w:r>
            <w:r>
              <w:rPr>
                <w:rFonts w:hint="default" w:ascii="Times New Roman" w:hAnsi="Times New Roman" w:cs="Times New Roman"/>
                <w:color w:val="auto"/>
              </w:rPr>
              <w:t>沙县生态环境局批复（明环评沙函〔2026〕1号），目前未验收。</w:t>
            </w:r>
          </w:p>
          <w:p w14:paraId="44333B85">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rPr>
            </w:pPr>
            <w:r>
              <w:rPr>
                <w:rFonts w:hint="default" w:ascii="Times New Roman" w:hAnsi="Times New Roman" w:cs="Times New Roman"/>
                <w:color w:val="auto"/>
              </w:rPr>
              <w:t>福建省明光新型材料有限公司最新版排污许可证于2025年8月5日由三明市生态环境局核发，证号91350427757372121H002Q（详见附件</w:t>
            </w:r>
            <w:r>
              <w:rPr>
                <w:rFonts w:hint="default" w:ascii="Times New Roman" w:hAnsi="Times New Roman" w:cs="Times New Roman"/>
                <w:color w:val="auto"/>
                <w:lang w:val="en-US" w:eastAsia="zh-CN"/>
              </w:rPr>
              <w:t>十</w:t>
            </w:r>
            <w:r>
              <w:rPr>
                <w:rFonts w:hint="default" w:ascii="Times New Roman" w:hAnsi="Times New Roman" w:cs="Times New Roman"/>
                <w:color w:val="auto"/>
              </w:rPr>
              <w:t>）。</w:t>
            </w:r>
          </w:p>
          <w:p w14:paraId="3C302F14">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表2.4-1  现有及在建工程环评审批及验收情况</w:t>
            </w:r>
          </w:p>
          <w:tbl>
            <w:tblPr>
              <w:tblStyle w:val="34"/>
              <w:tblW w:w="8622"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899"/>
              <w:gridCol w:w="1388"/>
              <w:gridCol w:w="1934"/>
              <w:gridCol w:w="1444"/>
              <w:gridCol w:w="1958"/>
              <w:gridCol w:w="999"/>
            </w:tblGrid>
            <w:tr w14:paraId="34F9297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899" w:type="dxa"/>
                  <w:tcBorders>
                    <w:tl2br w:val="nil"/>
                    <w:tr2bl w:val="nil"/>
                  </w:tcBorders>
                  <w:vAlign w:val="center"/>
                </w:tcPr>
                <w:p w14:paraId="080B4A1C">
                  <w:pPr>
                    <w:pStyle w:val="131"/>
                    <w:rPr>
                      <w:rFonts w:hint="default" w:ascii="Times New Roman" w:hAnsi="Times New Roman" w:cs="Times New Roman"/>
                      <w:color w:val="auto"/>
                    </w:rPr>
                  </w:pPr>
                  <w:r>
                    <w:rPr>
                      <w:rFonts w:hint="default" w:ascii="Times New Roman" w:hAnsi="Times New Roman" w:cs="Times New Roman"/>
                      <w:color w:val="auto"/>
                    </w:rPr>
                    <w:t>时间</w:t>
                  </w:r>
                </w:p>
              </w:tc>
              <w:tc>
                <w:tcPr>
                  <w:tcW w:w="1388" w:type="dxa"/>
                  <w:tcBorders>
                    <w:tl2br w:val="nil"/>
                    <w:tr2bl w:val="nil"/>
                  </w:tcBorders>
                  <w:vAlign w:val="center"/>
                </w:tcPr>
                <w:p w14:paraId="2168FAC8">
                  <w:pPr>
                    <w:pStyle w:val="131"/>
                    <w:rPr>
                      <w:rFonts w:hint="default" w:ascii="Times New Roman" w:hAnsi="Times New Roman" w:cs="Times New Roman"/>
                      <w:color w:val="auto"/>
                    </w:rPr>
                  </w:pPr>
                  <w:r>
                    <w:rPr>
                      <w:rFonts w:hint="default" w:ascii="Times New Roman" w:hAnsi="Times New Roman" w:cs="Times New Roman"/>
                      <w:color w:val="auto"/>
                    </w:rPr>
                    <w:t>企业产品方案</w:t>
                  </w:r>
                </w:p>
              </w:tc>
              <w:tc>
                <w:tcPr>
                  <w:tcW w:w="1934" w:type="dxa"/>
                  <w:tcBorders>
                    <w:tl2br w:val="nil"/>
                    <w:tr2bl w:val="nil"/>
                  </w:tcBorders>
                  <w:vAlign w:val="center"/>
                </w:tcPr>
                <w:p w14:paraId="0A397B03">
                  <w:pPr>
                    <w:pStyle w:val="131"/>
                    <w:rPr>
                      <w:rFonts w:hint="default" w:ascii="Times New Roman" w:hAnsi="Times New Roman" w:cs="Times New Roman"/>
                      <w:color w:val="auto"/>
                    </w:rPr>
                  </w:pPr>
                  <w:r>
                    <w:rPr>
                      <w:rFonts w:hint="default" w:ascii="Times New Roman" w:hAnsi="Times New Roman" w:cs="Times New Roman"/>
                      <w:color w:val="auto"/>
                    </w:rPr>
                    <w:t>生产规模</w:t>
                  </w:r>
                </w:p>
              </w:tc>
              <w:tc>
                <w:tcPr>
                  <w:tcW w:w="1444" w:type="dxa"/>
                  <w:tcBorders>
                    <w:tl2br w:val="nil"/>
                    <w:tr2bl w:val="nil"/>
                  </w:tcBorders>
                  <w:vAlign w:val="center"/>
                </w:tcPr>
                <w:p w14:paraId="66416B2B">
                  <w:pPr>
                    <w:pStyle w:val="131"/>
                    <w:rPr>
                      <w:rFonts w:hint="default" w:ascii="Times New Roman" w:hAnsi="Times New Roman" w:cs="Times New Roman"/>
                      <w:color w:val="auto"/>
                    </w:rPr>
                  </w:pPr>
                  <w:r>
                    <w:rPr>
                      <w:rFonts w:hint="default" w:ascii="Times New Roman" w:hAnsi="Times New Roman" w:cs="Times New Roman"/>
                      <w:color w:val="auto"/>
                    </w:rPr>
                    <w:t>审批情况</w:t>
                  </w:r>
                </w:p>
              </w:tc>
              <w:tc>
                <w:tcPr>
                  <w:tcW w:w="1958" w:type="dxa"/>
                  <w:tcBorders>
                    <w:tl2br w:val="nil"/>
                    <w:tr2bl w:val="nil"/>
                  </w:tcBorders>
                  <w:vAlign w:val="center"/>
                </w:tcPr>
                <w:p w14:paraId="627E7FAD">
                  <w:pPr>
                    <w:pStyle w:val="131"/>
                    <w:rPr>
                      <w:rFonts w:hint="default" w:ascii="Times New Roman" w:hAnsi="Times New Roman" w:cs="Times New Roman"/>
                      <w:color w:val="auto"/>
                    </w:rPr>
                  </w:pPr>
                  <w:r>
                    <w:rPr>
                      <w:rFonts w:hint="default" w:ascii="Times New Roman" w:hAnsi="Times New Roman" w:cs="Times New Roman"/>
                      <w:color w:val="auto"/>
                    </w:rPr>
                    <w:t>验收情况</w:t>
                  </w:r>
                </w:p>
              </w:tc>
              <w:tc>
                <w:tcPr>
                  <w:tcW w:w="999" w:type="dxa"/>
                  <w:tcBorders>
                    <w:tl2br w:val="nil"/>
                    <w:tr2bl w:val="nil"/>
                  </w:tcBorders>
                  <w:vAlign w:val="center"/>
                </w:tcPr>
                <w:p w14:paraId="5F442FF6">
                  <w:pPr>
                    <w:pStyle w:val="131"/>
                    <w:rPr>
                      <w:rFonts w:hint="default" w:ascii="Times New Roman" w:hAnsi="Times New Roman" w:cs="Times New Roman"/>
                      <w:color w:val="auto"/>
                    </w:rPr>
                  </w:pPr>
                  <w:r>
                    <w:rPr>
                      <w:rFonts w:hint="default" w:ascii="Times New Roman" w:hAnsi="Times New Roman" w:cs="Times New Roman"/>
                      <w:color w:val="auto"/>
                    </w:rPr>
                    <w:t>备注</w:t>
                  </w:r>
                </w:p>
              </w:tc>
            </w:tr>
            <w:tr w14:paraId="7E4E193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219" w:hRule="atLeast"/>
                <w:jc w:val="center"/>
              </w:trPr>
              <w:tc>
                <w:tcPr>
                  <w:tcW w:w="899" w:type="dxa"/>
                  <w:tcBorders>
                    <w:tl2br w:val="nil"/>
                    <w:tr2bl w:val="nil"/>
                  </w:tcBorders>
                  <w:vAlign w:val="center"/>
                </w:tcPr>
                <w:p w14:paraId="47D9B4F4">
                  <w:pPr>
                    <w:pStyle w:val="131"/>
                    <w:rPr>
                      <w:rFonts w:hint="default" w:ascii="Times New Roman" w:hAnsi="Times New Roman" w:cs="Times New Roman"/>
                      <w:color w:val="auto"/>
                    </w:rPr>
                  </w:pPr>
                  <w:r>
                    <w:rPr>
                      <w:rFonts w:hint="default" w:ascii="Times New Roman" w:hAnsi="Times New Roman" w:cs="Times New Roman"/>
                      <w:color w:val="auto"/>
                    </w:rPr>
                    <w:t>2011.7</w:t>
                  </w:r>
                </w:p>
              </w:tc>
              <w:tc>
                <w:tcPr>
                  <w:tcW w:w="1388" w:type="dxa"/>
                  <w:tcBorders>
                    <w:tl2br w:val="nil"/>
                    <w:tr2bl w:val="nil"/>
                  </w:tcBorders>
                  <w:vAlign w:val="center"/>
                </w:tcPr>
                <w:p w14:paraId="531A5321">
                  <w:pPr>
                    <w:pStyle w:val="131"/>
                    <w:jc w:val="both"/>
                    <w:rPr>
                      <w:rFonts w:hint="default" w:ascii="Times New Roman" w:hAnsi="Times New Roman" w:cs="Times New Roman"/>
                      <w:color w:val="auto"/>
                    </w:rPr>
                  </w:pPr>
                  <w:r>
                    <w:rPr>
                      <w:rFonts w:hint="default" w:ascii="Times New Roman" w:hAnsi="Times New Roman" w:cs="Times New Roman"/>
                      <w:color w:val="auto"/>
                    </w:rPr>
                    <w:t>年产6万吨PC钢棒生产项目（1期）</w:t>
                  </w:r>
                </w:p>
              </w:tc>
              <w:tc>
                <w:tcPr>
                  <w:tcW w:w="1934" w:type="dxa"/>
                  <w:tcBorders>
                    <w:tl2br w:val="nil"/>
                    <w:tr2bl w:val="nil"/>
                  </w:tcBorders>
                  <w:vAlign w:val="center"/>
                </w:tcPr>
                <w:p w14:paraId="5D7AE7FD">
                  <w:pPr>
                    <w:pStyle w:val="131"/>
                    <w:jc w:val="both"/>
                    <w:rPr>
                      <w:rFonts w:hint="default" w:ascii="Times New Roman" w:hAnsi="Times New Roman" w:cs="Times New Roman"/>
                      <w:color w:val="auto"/>
                    </w:rPr>
                  </w:pPr>
                  <w:r>
                    <w:rPr>
                      <w:rFonts w:hint="default" w:ascii="Times New Roman" w:hAnsi="Times New Roman" w:cs="Times New Roman"/>
                      <w:color w:val="auto"/>
                      <w:szCs w:val="21"/>
                    </w:rPr>
                    <w:t>建设4条生产线，全厂有4条生产线，PC钢棒产量达6万吨/年。</w:t>
                  </w:r>
                </w:p>
              </w:tc>
              <w:tc>
                <w:tcPr>
                  <w:tcW w:w="1444" w:type="dxa"/>
                  <w:tcBorders>
                    <w:tl2br w:val="nil"/>
                    <w:tr2bl w:val="nil"/>
                  </w:tcBorders>
                  <w:vAlign w:val="center"/>
                </w:tcPr>
                <w:p w14:paraId="2D2E459B">
                  <w:pPr>
                    <w:pStyle w:val="131"/>
                    <w:jc w:val="both"/>
                    <w:rPr>
                      <w:rFonts w:hint="default" w:ascii="Times New Roman" w:hAnsi="Times New Roman" w:cs="Times New Roman"/>
                      <w:color w:val="auto"/>
                    </w:rPr>
                  </w:pPr>
                  <w:r>
                    <w:rPr>
                      <w:rFonts w:hint="default" w:ascii="Times New Roman" w:hAnsi="Times New Roman" w:cs="Times New Roman"/>
                      <w:color w:val="auto"/>
                    </w:rPr>
                    <w:t>2011.8.8沙县环保局批复</w:t>
                  </w:r>
                </w:p>
              </w:tc>
              <w:tc>
                <w:tcPr>
                  <w:tcW w:w="1958" w:type="dxa"/>
                  <w:tcBorders>
                    <w:tl2br w:val="nil"/>
                    <w:tr2bl w:val="nil"/>
                  </w:tcBorders>
                  <w:vAlign w:val="center"/>
                </w:tcPr>
                <w:p w14:paraId="42B6552E">
                  <w:pPr>
                    <w:pStyle w:val="131"/>
                    <w:jc w:val="both"/>
                    <w:rPr>
                      <w:rFonts w:hint="default" w:ascii="Times New Roman" w:hAnsi="Times New Roman" w:cs="Times New Roman"/>
                      <w:color w:val="auto"/>
                    </w:rPr>
                  </w:pPr>
                  <w:r>
                    <w:rPr>
                      <w:rFonts w:hint="default" w:ascii="Times New Roman" w:hAnsi="Times New Roman" w:cs="Times New Roman"/>
                      <w:color w:val="auto"/>
                    </w:rPr>
                    <w:t>2011年12月18日沙环验〔2011〕16号通过沙县环保局验收</w:t>
                  </w:r>
                </w:p>
              </w:tc>
              <w:tc>
                <w:tcPr>
                  <w:tcW w:w="999" w:type="dxa"/>
                  <w:vMerge w:val="restart"/>
                  <w:tcBorders>
                    <w:tl2br w:val="nil"/>
                    <w:tr2bl w:val="nil"/>
                  </w:tcBorders>
                  <w:vAlign w:val="center"/>
                </w:tcPr>
                <w:p w14:paraId="5086DC73">
                  <w:pPr>
                    <w:pStyle w:val="131"/>
                    <w:jc w:val="center"/>
                    <w:rPr>
                      <w:rFonts w:hint="default" w:ascii="Times New Roman" w:hAnsi="Times New Roman" w:cs="Times New Roman"/>
                      <w:color w:val="auto"/>
                    </w:rPr>
                  </w:pPr>
                  <w:r>
                    <w:rPr>
                      <w:rFonts w:hint="default" w:ascii="Times New Roman" w:hAnsi="Times New Roman" w:cs="Times New Roman"/>
                      <w:color w:val="auto"/>
                    </w:rPr>
                    <w:t>现有</w:t>
                  </w:r>
                </w:p>
                <w:p w14:paraId="718D5E9D">
                  <w:pPr>
                    <w:pStyle w:val="131"/>
                    <w:jc w:val="center"/>
                    <w:rPr>
                      <w:rFonts w:hint="default" w:ascii="Times New Roman" w:hAnsi="Times New Roman" w:cs="Times New Roman"/>
                      <w:color w:val="auto"/>
                    </w:rPr>
                  </w:pPr>
                  <w:r>
                    <w:rPr>
                      <w:rFonts w:hint="default" w:ascii="Times New Roman" w:hAnsi="Times New Roman" w:cs="Times New Roman"/>
                      <w:color w:val="auto"/>
                    </w:rPr>
                    <w:t>工程</w:t>
                  </w:r>
                </w:p>
              </w:tc>
            </w:tr>
            <w:tr w14:paraId="322491C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275" w:hRule="atLeast"/>
                <w:jc w:val="center"/>
              </w:trPr>
              <w:tc>
                <w:tcPr>
                  <w:tcW w:w="899" w:type="dxa"/>
                  <w:tcBorders>
                    <w:tl2br w:val="nil"/>
                    <w:tr2bl w:val="nil"/>
                  </w:tcBorders>
                  <w:vAlign w:val="center"/>
                </w:tcPr>
                <w:p w14:paraId="68453A59">
                  <w:pPr>
                    <w:pStyle w:val="131"/>
                    <w:rPr>
                      <w:rFonts w:hint="default" w:ascii="Times New Roman" w:hAnsi="Times New Roman" w:cs="Times New Roman"/>
                      <w:color w:val="auto"/>
                    </w:rPr>
                  </w:pPr>
                  <w:r>
                    <w:rPr>
                      <w:rFonts w:hint="default" w:ascii="Times New Roman" w:hAnsi="Times New Roman" w:cs="Times New Roman"/>
                      <w:color w:val="auto"/>
                    </w:rPr>
                    <w:t>2013.7</w:t>
                  </w:r>
                </w:p>
              </w:tc>
              <w:tc>
                <w:tcPr>
                  <w:tcW w:w="1388" w:type="dxa"/>
                  <w:tcBorders>
                    <w:tl2br w:val="nil"/>
                    <w:tr2bl w:val="nil"/>
                  </w:tcBorders>
                  <w:vAlign w:val="center"/>
                </w:tcPr>
                <w:p w14:paraId="287EE022">
                  <w:pPr>
                    <w:pStyle w:val="131"/>
                    <w:jc w:val="both"/>
                    <w:rPr>
                      <w:rFonts w:hint="default" w:ascii="Times New Roman" w:hAnsi="Times New Roman" w:cs="Times New Roman"/>
                      <w:color w:val="auto"/>
                    </w:rPr>
                  </w:pPr>
                  <w:r>
                    <w:rPr>
                      <w:rFonts w:hint="default" w:ascii="Times New Roman" w:hAnsi="Times New Roman" w:cs="Times New Roman"/>
                      <w:color w:val="auto"/>
                    </w:rPr>
                    <w:t>年产6万吨PC钢棒扩建项目（2期）</w:t>
                  </w:r>
                </w:p>
              </w:tc>
              <w:tc>
                <w:tcPr>
                  <w:tcW w:w="1934" w:type="dxa"/>
                  <w:tcBorders>
                    <w:tl2br w:val="nil"/>
                    <w:tr2bl w:val="nil"/>
                  </w:tcBorders>
                  <w:vAlign w:val="center"/>
                </w:tcPr>
                <w:p w14:paraId="442E9D23">
                  <w:pPr>
                    <w:pStyle w:val="131"/>
                    <w:jc w:val="both"/>
                    <w:rPr>
                      <w:rFonts w:hint="default" w:ascii="Times New Roman" w:hAnsi="Times New Roman" w:cs="Times New Roman"/>
                      <w:color w:val="auto"/>
                    </w:rPr>
                  </w:pPr>
                  <w:r>
                    <w:rPr>
                      <w:rFonts w:hint="default" w:ascii="Times New Roman" w:hAnsi="Times New Roman" w:cs="Times New Roman"/>
                      <w:color w:val="auto"/>
                      <w:szCs w:val="21"/>
                    </w:rPr>
                    <w:t>新增4条生产线，扩建后全厂有8条生产线，PC钢棒产量达12万吨/年。</w:t>
                  </w:r>
                </w:p>
              </w:tc>
              <w:tc>
                <w:tcPr>
                  <w:tcW w:w="1444" w:type="dxa"/>
                  <w:tcBorders>
                    <w:tl2br w:val="nil"/>
                    <w:tr2bl w:val="nil"/>
                  </w:tcBorders>
                  <w:vAlign w:val="center"/>
                </w:tcPr>
                <w:p w14:paraId="16750DDE">
                  <w:pPr>
                    <w:pStyle w:val="131"/>
                    <w:jc w:val="both"/>
                    <w:rPr>
                      <w:rFonts w:hint="default" w:ascii="Times New Roman" w:hAnsi="Times New Roman" w:cs="Times New Roman"/>
                      <w:color w:val="auto"/>
                    </w:rPr>
                  </w:pPr>
                  <w:r>
                    <w:rPr>
                      <w:rFonts w:hint="default" w:ascii="Times New Roman" w:hAnsi="Times New Roman" w:cs="Times New Roman"/>
                      <w:color w:val="auto"/>
                    </w:rPr>
                    <w:t>2013.8.9沙县环保局批复</w:t>
                  </w:r>
                </w:p>
              </w:tc>
              <w:tc>
                <w:tcPr>
                  <w:tcW w:w="1958" w:type="dxa"/>
                  <w:tcBorders>
                    <w:tl2br w:val="nil"/>
                    <w:tr2bl w:val="nil"/>
                  </w:tcBorders>
                  <w:vAlign w:val="center"/>
                </w:tcPr>
                <w:p w14:paraId="2FEF4D8F">
                  <w:pPr>
                    <w:pStyle w:val="131"/>
                    <w:jc w:val="both"/>
                    <w:rPr>
                      <w:rFonts w:hint="default" w:ascii="Times New Roman" w:hAnsi="Times New Roman" w:cs="Times New Roman"/>
                      <w:color w:val="auto"/>
                    </w:rPr>
                  </w:pPr>
                  <w:r>
                    <w:rPr>
                      <w:rFonts w:hint="default" w:ascii="Times New Roman" w:hAnsi="Times New Roman" w:cs="Times New Roman"/>
                      <w:color w:val="auto"/>
                    </w:rPr>
                    <w:t>2013年11月6日沙环验〔2013〕25号通过沙县环保局验收</w:t>
                  </w:r>
                </w:p>
              </w:tc>
              <w:tc>
                <w:tcPr>
                  <w:tcW w:w="999" w:type="dxa"/>
                  <w:vMerge w:val="continue"/>
                  <w:tcBorders>
                    <w:tl2br w:val="nil"/>
                    <w:tr2bl w:val="nil"/>
                  </w:tcBorders>
                  <w:vAlign w:val="center"/>
                </w:tcPr>
                <w:p w14:paraId="7BD5A690">
                  <w:pPr>
                    <w:pStyle w:val="131"/>
                    <w:jc w:val="center"/>
                    <w:rPr>
                      <w:rFonts w:hint="default" w:ascii="Times New Roman" w:hAnsi="Times New Roman" w:cs="Times New Roman"/>
                      <w:color w:val="auto"/>
                    </w:rPr>
                  </w:pPr>
                </w:p>
              </w:tc>
            </w:tr>
            <w:tr w14:paraId="6790074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899" w:type="dxa"/>
                  <w:tcBorders>
                    <w:tl2br w:val="nil"/>
                    <w:tr2bl w:val="nil"/>
                  </w:tcBorders>
                  <w:vAlign w:val="center"/>
                </w:tcPr>
                <w:p w14:paraId="259FD56F">
                  <w:pPr>
                    <w:pStyle w:val="131"/>
                    <w:rPr>
                      <w:rFonts w:hint="default" w:ascii="Times New Roman" w:hAnsi="Times New Roman" w:cs="Times New Roman"/>
                      <w:color w:val="auto"/>
                    </w:rPr>
                  </w:pPr>
                  <w:r>
                    <w:rPr>
                      <w:rFonts w:hint="default" w:ascii="Times New Roman" w:hAnsi="Times New Roman" w:cs="Times New Roman"/>
                      <w:color w:val="auto"/>
                    </w:rPr>
                    <w:t>2014.6</w:t>
                  </w:r>
                </w:p>
              </w:tc>
              <w:tc>
                <w:tcPr>
                  <w:tcW w:w="1388" w:type="dxa"/>
                  <w:tcBorders>
                    <w:tl2br w:val="nil"/>
                    <w:tr2bl w:val="nil"/>
                  </w:tcBorders>
                  <w:vAlign w:val="center"/>
                </w:tcPr>
                <w:p w14:paraId="63105DE8">
                  <w:pPr>
                    <w:pStyle w:val="131"/>
                    <w:jc w:val="both"/>
                    <w:rPr>
                      <w:rFonts w:hint="default" w:ascii="Times New Roman" w:hAnsi="Times New Roman" w:cs="Times New Roman"/>
                      <w:color w:val="auto"/>
                    </w:rPr>
                  </w:pPr>
                  <w:r>
                    <w:rPr>
                      <w:rFonts w:hint="default" w:ascii="Times New Roman" w:hAnsi="Times New Roman" w:cs="Times New Roman"/>
                      <w:color w:val="auto"/>
                    </w:rPr>
                    <w:t>年产6万吨PC钢棒扩建项目（3期）</w:t>
                  </w:r>
                </w:p>
              </w:tc>
              <w:tc>
                <w:tcPr>
                  <w:tcW w:w="1934" w:type="dxa"/>
                  <w:tcBorders>
                    <w:tl2br w:val="nil"/>
                    <w:tr2bl w:val="nil"/>
                  </w:tcBorders>
                  <w:vAlign w:val="center"/>
                </w:tcPr>
                <w:p w14:paraId="0A9C28BD">
                  <w:pPr>
                    <w:pStyle w:val="131"/>
                    <w:jc w:val="both"/>
                    <w:rPr>
                      <w:rFonts w:hint="default" w:ascii="Times New Roman" w:hAnsi="Times New Roman" w:cs="Times New Roman"/>
                      <w:color w:val="auto"/>
                    </w:rPr>
                  </w:pPr>
                  <w:r>
                    <w:rPr>
                      <w:rFonts w:hint="default" w:ascii="Times New Roman" w:hAnsi="Times New Roman" w:cs="Times New Roman"/>
                      <w:color w:val="auto"/>
                      <w:szCs w:val="21"/>
                    </w:rPr>
                    <w:t>新增4条生产线，扩建后全厂有12条生产线，PC钢棒产量达18万吨/年。</w:t>
                  </w:r>
                </w:p>
              </w:tc>
              <w:tc>
                <w:tcPr>
                  <w:tcW w:w="1444" w:type="dxa"/>
                  <w:tcBorders>
                    <w:tl2br w:val="nil"/>
                    <w:tr2bl w:val="nil"/>
                  </w:tcBorders>
                  <w:vAlign w:val="center"/>
                </w:tcPr>
                <w:p w14:paraId="5C3687F9">
                  <w:pPr>
                    <w:pStyle w:val="131"/>
                    <w:jc w:val="both"/>
                    <w:rPr>
                      <w:rFonts w:hint="default" w:ascii="Times New Roman" w:hAnsi="Times New Roman" w:cs="Times New Roman"/>
                      <w:color w:val="auto"/>
                    </w:rPr>
                  </w:pPr>
                  <w:r>
                    <w:rPr>
                      <w:rFonts w:hint="default" w:ascii="Times New Roman" w:hAnsi="Times New Roman" w:cs="Times New Roman"/>
                      <w:color w:val="auto"/>
                    </w:rPr>
                    <w:t>2014.7.8沙县环保局批复（沙环函〔2014〕113号）</w:t>
                  </w:r>
                </w:p>
              </w:tc>
              <w:tc>
                <w:tcPr>
                  <w:tcW w:w="1958" w:type="dxa"/>
                  <w:tcBorders>
                    <w:tl2br w:val="nil"/>
                    <w:tr2bl w:val="nil"/>
                  </w:tcBorders>
                  <w:vAlign w:val="center"/>
                </w:tcPr>
                <w:p w14:paraId="46FC2EBE">
                  <w:pPr>
                    <w:pStyle w:val="131"/>
                    <w:jc w:val="both"/>
                    <w:rPr>
                      <w:rFonts w:hint="default" w:ascii="Times New Roman" w:hAnsi="Times New Roman" w:cs="Times New Roman"/>
                      <w:color w:val="auto"/>
                    </w:rPr>
                  </w:pPr>
                  <w:r>
                    <w:rPr>
                      <w:rFonts w:hint="default" w:ascii="Times New Roman" w:hAnsi="Times New Roman" w:cs="Times New Roman"/>
                      <w:color w:val="auto"/>
                    </w:rPr>
                    <w:t>2014年10月28日沙环验〔2014〕16号通过沙县环保局验收</w:t>
                  </w:r>
                </w:p>
              </w:tc>
              <w:tc>
                <w:tcPr>
                  <w:tcW w:w="999" w:type="dxa"/>
                  <w:vMerge w:val="continue"/>
                  <w:tcBorders>
                    <w:tl2br w:val="nil"/>
                    <w:tr2bl w:val="nil"/>
                  </w:tcBorders>
                  <w:vAlign w:val="center"/>
                </w:tcPr>
                <w:p w14:paraId="7BC6FC67">
                  <w:pPr>
                    <w:pStyle w:val="131"/>
                    <w:jc w:val="center"/>
                    <w:rPr>
                      <w:rFonts w:hint="default" w:ascii="Times New Roman" w:hAnsi="Times New Roman" w:cs="Times New Roman"/>
                      <w:color w:val="auto"/>
                    </w:rPr>
                  </w:pPr>
                </w:p>
              </w:tc>
            </w:tr>
            <w:tr w14:paraId="49A80FE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899" w:type="dxa"/>
                  <w:tcBorders>
                    <w:tl2br w:val="nil"/>
                    <w:tr2bl w:val="nil"/>
                  </w:tcBorders>
                  <w:vAlign w:val="center"/>
                </w:tcPr>
                <w:p w14:paraId="1C323734">
                  <w:pPr>
                    <w:pStyle w:val="131"/>
                    <w:rPr>
                      <w:rFonts w:hint="default" w:ascii="Times New Roman" w:hAnsi="Times New Roman" w:cs="Times New Roman"/>
                      <w:color w:val="auto"/>
                    </w:rPr>
                  </w:pPr>
                  <w:r>
                    <w:rPr>
                      <w:rFonts w:hint="default" w:ascii="Times New Roman" w:hAnsi="Times New Roman" w:cs="Times New Roman"/>
                      <w:color w:val="auto"/>
                    </w:rPr>
                    <w:t>2018.5</w:t>
                  </w:r>
                </w:p>
              </w:tc>
              <w:tc>
                <w:tcPr>
                  <w:tcW w:w="1388" w:type="dxa"/>
                  <w:tcBorders>
                    <w:tl2br w:val="nil"/>
                    <w:tr2bl w:val="nil"/>
                  </w:tcBorders>
                  <w:vAlign w:val="center"/>
                </w:tcPr>
                <w:p w14:paraId="200C7454">
                  <w:pPr>
                    <w:pStyle w:val="131"/>
                    <w:jc w:val="both"/>
                    <w:rPr>
                      <w:rFonts w:hint="default" w:ascii="Times New Roman" w:hAnsi="Times New Roman" w:cs="Times New Roman"/>
                      <w:color w:val="auto"/>
                    </w:rPr>
                  </w:pPr>
                  <w:r>
                    <w:rPr>
                      <w:rFonts w:hint="default" w:ascii="Times New Roman" w:hAnsi="Times New Roman" w:cs="Times New Roman"/>
                      <w:color w:val="auto"/>
                      <w:szCs w:val="21"/>
                    </w:rPr>
                    <w:t>年产6万吨PC钢棒扩建项目</w:t>
                  </w:r>
                  <w:r>
                    <w:rPr>
                      <w:rFonts w:hint="default" w:ascii="Times New Roman" w:hAnsi="Times New Roman" w:cs="Times New Roman"/>
                      <w:color w:val="auto"/>
                    </w:rPr>
                    <w:t>（4期）</w:t>
                  </w:r>
                </w:p>
              </w:tc>
              <w:tc>
                <w:tcPr>
                  <w:tcW w:w="1934" w:type="dxa"/>
                  <w:tcBorders>
                    <w:tl2br w:val="nil"/>
                    <w:tr2bl w:val="nil"/>
                  </w:tcBorders>
                  <w:vAlign w:val="center"/>
                </w:tcPr>
                <w:p w14:paraId="3C1ADEC2">
                  <w:pPr>
                    <w:pStyle w:val="131"/>
                    <w:jc w:val="both"/>
                    <w:rPr>
                      <w:rFonts w:hint="default" w:ascii="Times New Roman" w:hAnsi="Times New Roman" w:cs="Times New Roman"/>
                      <w:color w:val="auto"/>
                    </w:rPr>
                  </w:pPr>
                  <w:r>
                    <w:rPr>
                      <w:rFonts w:hint="default" w:ascii="Times New Roman" w:hAnsi="Times New Roman" w:cs="Times New Roman"/>
                      <w:color w:val="auto"/>
                      <w:szCs w:val="21"/>
                    </w:rPr>
                    <w:t>新增4条生产线，扩建后全厂有16条生产线，PC钢棒产量达24万吨/年</w:t>
                  </w:r>
                </w:p>
              </w:tc>
              <w:tc>
                <w:tcPr>
                  <w:tcW w:w="1444" w:type="dxa"/>
                  <w:tcBorders>
                    <w:tl2br w:val="nil"/>
                    <w:tr2bl w:val="nil"/>
                  </w:tcBorders>
                  <w:vAlign w:val="center"/>
                </w:tcPr>
                <w:p w14:paraId="0D1E5655">
                  <w:pPr>
                    <w:pStyle w:val="131"/>
                    <w:jc w:val="both"/>
                    <w:rPr>
                      <w:rFonts w:hint="default" w:ascii="Times New Roman" w:hAnsi="Times New Roman" w:cs="Times New Roman"/>
                      <w:color w:val="auto"/>
                    </w:rPr>
                  </w:pPr>
                  <w:r>
                    <w:rPr>
                      <w:rFonts w:hint="default" w:ascii="Times New Roman" w:hAnsi="Times New Roman" w:cs="Times New Roman"/>
                      <w:color w:val="auto"/>
                    </w:rPr>
                    <w:t>2018年7月16日沙县环保局批复（沙环函〔2018〕201号）</w:t>
                  </w:r>
                </w:p>
              </w:tc>
              <w:tc>
                <w:tcPr>
                  <w:tcW w:w="1958" w:type="dxa"/>
                  <w:tcBorders>
                    <w:tl2br w:val="nil"/>
                    <w:tr2bl w:val="nil"/>
                  </w:tcBorders>
                  <w:vAlign w:val="center"/>
                </w:tcPr>
                <w:p w14:paraId="72C768AD">
                  <w:pPr>
                    <w:pStyle w:val="131"/>
                    <w:jc w:val="both"/>
                    <w:rPr>
                      <w:rFonts w:hint="default" w:ascii="Times New Roman" w:hAnsi="Times New Roman" w:cs="Times New Roman"/>
                      <w:color w:val="auto"/>
                    </w:rPr>
                  </w:pPr>
                  <w:r>
                    <w:rPr>
                      <w:rFonts w:hint="default" w:ascii="Times New Roman" w:hAnsi="Times New Roman" w:cs="Times New Roman"/>
                      <w:color w:val="auto"/>
                    </w:rPr>
                    <w:t>2019年1月12日企业自主验收</w:t>
                  </w:r>
                </w:p>
              </w:tc>
              <w:tc>
                <w:tcPr>
                  <w:tcW w:w="999" w:type="dxa"/>
                  <w:vMerge w:val="continue"/>
                  <w:tcBorders>
                    <w:tl2br w:val="nil"/>
                    <w:tr2bl w:val="nil"/>
                  </w:tcBorders>
                  <w:vAlign w:val="center"/>
                </w:tcPr>
                <w:p w14:paraId="428873D5">
                  <w:pPr>
                    <w:pStyle w:val="131"/>
                    <w:jc w:val="center"/>
                    <w:rPr>
                      <w:rFonts w:hint="default" w:ascii="Times New Roman" w:hAnsi="Times New Roman" w:cs="Times New Roman"/>
                      <w:color w:val="auto"/>
                    </w:rPr>
                  </w:pPr>
                </w:p>
              </w:tc>
            </w:tr>
            <w:tr w14:paraId="7ADD2FD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899" w:type="dxa"/>
                  <w:tcBorders>
                    <w:tl2br w:val="nil"/>
                    <w:tr2bl w:val="nil"/>
                  </w:tcBorders>
                  <w:vAlign w:val="center"/>
                </w:tcPr>
                <w:p w14:paraId="32C0A267">
                  <w:pPr>
                    <w:pStyle w:val="131"/>
                    <w:rPr>
                      <w:rFonts w:hint="default" w:ascii="Times New Roman" w:hAnsi="Times New Roman" w:cs="Times New Roman"/>
                      <w:color w:val="auto"/>
                    </w:rPr>
                  </w:pPr>
                  <w:r>
                    <w:rPr>
                      <w:rFonts w:hint="default" w:ascii="Times New Roman" w:hAnsi="Times New Roman" w:cs="Times New Roman"/>
                      <w:color w:val="auto"/>
                    </w:rPr>
                    <w:t>2026.1</w:t>
                  </w:r>
                </w:p>
              </w:tc>
              <w:tc>
                <w:tcPr>
                  <w:tcW w:w="1388" w:type="dxa"/>
                  <w:tcBorders>
                    <w:tl2br w:val="nil"/>
                    <w:tr2bl w:val="nil"/>
                  </w:tcBorders>
                  <w:vAlign w:val="center"/>
                </w:tcPr>
                <w:p w14:paraId="1F7142E4">
                  <w:pPr>
                    <w:pStyle w:val="131"/>
                    <w:jc w:val="both"/>
                    <w:rPr>
                      <w:rFonts w:hint="default" w:ascii="Times New Roman" w:hAnsi="Times New Roman" w:cs="Times New Roman"/>
                      <w:color w:val="auto"/>
                      <w:szCs w:val="21"/>
                    </w:rPr>
                  </w:pPr>
                  <w:r>
                    <w:rPr>
                      <w:rFonts w:hint="default" w:ascii="Times New Roman" w:hAnsi="Times New Roman" w:cs="Times New Roman"/>
                      <w:color w:val="auto"/>
                    </w:rPr>
                    <w:t>年产1.55万吨钢丝</w:t>
                  </w:r>
                </w:p>
              </w:tc>
              <w:tc>
                <w:tcPr>
                  <w:tcW w:w="1934" w:type="dxa"/>
                  <w:tcBorders>
                    <w:tl2br w:val="nil"/>
                    <w:tr2bl w:val="nil"/>
                  </w:tcBorders>
                  <w:vAlign w:val="center"/>
                </w:tcPr>
                <w:p w14:paraId="71009D3C">
                  <w:pPr>
                    <w:pStyle w:val="131"/>
                    <w:jc w:val="both"/>
                    <w:rPr>
                      <w:rFonts w:hint="default" w:ascii="Times New Roman" w:hAnsi="Times New Roman" w:cs="Times New Roman"/>
                      <w:color w:val="auto"/>
                      <w:szCs w:val="21"/>
                    </w:rPr>
                  </w:pPr>
                  <w:r>
                    <w:rPr>
                      <w:rFonts w:hint="default" w:ascii="Times New Roman" w:hAnsi="Times New Roman" w:cs="Times New Roman"/>
                      <w:color w:val="auto"/>
                    </w:rPr>
                    <w:t>新增三条钢丝生产线及其配套设施，建成后全厂</w:t>
                  </w:r>
                  <w:r>
                    <w:rPr>
                      <w:rFonts w:hint="default" w:ascii="Times New Roman" w:hAnsi="Times New Roman" w:cs="Times New Roman"/>
                      <w:color w:val="auto"/>
                      <w:szCs w:val="21"/>
                    </w:rPr>
                    <w:t>PC钢棒产量24万吨/年，</w:t>
                  </w:r>
                  <w:r>
                    <w:rPr>
                      <w:rFonts w:hint="default" w:ascii="Times New Roman" w:hAnsi="Times New Roman" w:cs="Times New Roman"/>
                      <w:color w:val="auto"/>
                    </w:rPr>
                    <w:t>钢丝1.55万吨</w:t>
                  </w:r>
                  <w:r>
                    <w:rPr>
                      <w:rFonts w:hint="default" w:ascii="Times New Roman" w:hAnsi="Times New Roman" w:cs="Times New Roman"/>
                      <w:color w:val="auto"/>
                      <w:szCs w:val="21"/>
                    </w:rPr>
                    <w:t>/年</w:t>
                  </w:r>
                </w:p>
              </w:tc>
              <w:tc>
                <w:tcPr>
                  <w:tcW w:w="1444" w:type="dxa"/>
                  <w:tcBorders>
                    <w:tl2br w:val="nil"/>
                    <w:tr2bl w:val="nil"/>
                  </w:tcBorders>
                  <w:vAlign w:val="center"/>
                </w:tcPr>
                <w:p w14:paraId="5FC03326">
                  <w:pPr>
                    <w:pStyle w:val="131"/>
                    <w:jc w:val="both"/>
                    <w:rPr>
                      <w:rFonts w:hint="default" w:ascii="Times New Roman" w:hAnsi="Times New Roman" w:cs="Times New Roman"/>
                      <w:color w:val="auto"/>
                    </w:rPr>
                  </w:pPr>
                  <w:r>
                    <w:rPr>
                      <w:rFonts w:hint="default" w:ascii="Times New Roman" w:hAnsi="Times New Roman" w:cs="Times New Roman"/>
                      <w:color w:val="auto"/>
                      <w:szCs w:val="21"/>
                    </w:rPr>
                    <w:t>2026年2月三明市沙县生态环境局批复（明环评沙函〔2026〕1号）</w:t>
                  </w:r>
                </w:p>
              </w:tc>
              <w:tc>
                <w:tcPr>
                  <w:tcW w:w="1958" w:type="dxa"/>
                  <w:tcBorders>
                    <w:tl2br w:val="nil"/>
                    <w:tr2bl w:val="nil"/>
                  </w:tcBorders>
                  <w:vAlign w:val="center"/>
                </w:tcPr>
                <w:p w14:paraId="6DC3CA23">
                  <w:pPr>
                    <w:pStyle w:val="131"/>
                    <w:jc w:val="both"/>
                    <w:rPr>
                      <w:rFonts w:hint="default" w:ascii="Times New Roman" w:hAnsi="Times New Roman" w:cs="Times New Roman"/>
                      <w:color w:val="auto"/>
                    </w:rPr>
                  </w:pPr>
                  <w:r>
                    <w:rPr>
                      <w:rFonts w:hint="default" w:ascii="Times New Roman" w:hAnsi="Times New Roman" w:cs="Times New Roman"/>
                      <w:color w:val="auto"/>
                    </w:rPr>
                    <w:t>未验收</w:t>
                  </w:r>
                </w:p>
              </w:tc>
              <w:tc>
                <w:tcPr>
                  <w:tcW w:w="999" w:type="dxa"/>
                  <w:tcBorders>
                    <w:tl2br w:val="nil"/>
                    <w:tr2bl w:val="nil"/>
                  </w:tcBorders>
                  <w:vAlign w:val="center"/>
                </w:tcPr>
                <w:p w14:paraId="6544A235">
                  <w:pPr>
                    <w:pStyle w:val="131"/>
                    <w:jc w:val="center"/>
                    <w:rPr>
                      <w:rFonts w:hint="default" w:ascii="Times New Roman" w:hAnsi="Times New Roman" w:cs="Times New Roman"/>
                      <w:color w:val="auto"/>
                    </w:rPr>
                  </w:pPr>
                  <w:r>
                    <w:rPr>
                      <w:rFonts w:hint="default" w:ascii="Times New Roman" w:hAnsi="Times New Roman" w:cs="Times New Roman"/>
                      <w:color w:val="auto"/>
                    </w:rPr>
                    <w:t>在建</w:t>
                  </w:r>
                </w:p>
                <w:p w14:paraId="76B664A4">
                  <w:pPr>
                    <w:pStyle w:val="131"/>
                    <w:jc w:val="center"/>
                    <w:rPr>
                      <w:rFonts w:hint="default" w:ascii="Times New Roman" w:hAnsi="Times New Roman" w:cs="Times New Roman"/>
                      <w:color w:val="auto"/>
                    </w:rPr>
                  </w:pPr>
                  <w:r>
                    <w:rPr>
                      <w:rFonts w:hint="default" w:ascii="Times New Roman" w:hAnsi="Times New Roman" w:cs="Times New Roman"/>
                      <w:color w:val="auto"/>
                    </w:rPr>
                    <w:t>工程</w:t>
                  </w:r>
                </w:p>
              </w:tc>
            </w:tr>
            <w:tr w14:paraId="4896EB9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491" w:hRule="atLeast"/>
                <w:jc w:val="center"/>
              </w:trPr>
              <w:tc>
                <w:tcPr>
                  <w:tcW w:w="899" w:type="dxa"/>
                  <w:tcBorders>
                    <w:tl2br w:val="nil"/>
                    <w:tr2bl w:val="nil"/>
                  </w:tcBorders>
                  <w:vAlign w:val="center"/>
                </w:tcPr>
                <w:p w14:paraId="1BFFFF07">
                  <w:pPr>
                    <w:pStyle w:val="131"/>
                    <w:rPr>
                      <w:rFonts w:hint="default" w:ascii="Times New Roman" w:hAnsi="Times New Roman" w:cs="Times New Roman"/>
                      <w:color w:val="auto"/>
                    </w:rPr>
                  </w:pPr>
                  <w:r>
                    <w:rPr>
                      <w:rFonts w:hint="default" w:ascii="Times New Roman" w:hAnsi="Times New Roman" w:cs="Times New Roman"/>
                      <w:color w:val="auto"/>
                    </w:rPr>
                    <w:t>2003.12</w:t>
                  </w:r>
                </w:p>
              </w:tc>
              <w:tc>
                <w:tcPr>
                  <w:tcW w:w="1388" w:type="dxa"/>
                  <w:tcBorders>
                    <w:tl2br w:val="nil"/>
                    <w:tr2bl w:val="nil"/>
                  </w:tcBorders>
                  <w:vAlign w:val="center"/>
                </w:tcPr>
                <w:p w14:paraId="233D15E2">
                  <w:pPr>
                    <w:pStyle w:val="131"/>
                    <w:jc w:val="both"/>
                    <w:rPr>
                      <w:rFonts w:hint="default" w:ascii="Times New Roman" w:hAnsi="Times New Roman" w:cs="Times New Roman"/>
                      <w:color w:val="auto"/>
                      <w:szCs w:val="21"/>
                    </w:rPr>
                  </w:pPr>
                  <w:r>
                    <w:rPr>
                      <w:rFonts w:hint="default" w:ascii="Times New Roman" w:hAnsi="Times New Roman" w:cs="Times New Roman"/>
                      <w:color w:val="auto"/>
                    </w:rPr>
                    <w:t>新建年产26万吨热镀锌板及16万吨彩涂板生产线建设项目</w:t>
                  </w:r>
                </w:p>
              </w:tc>
              <w:tc>
                <w:tcPr>
                  <w:tcW w:w="1934" w:type="dxa"/>
                  <w:tcBorders>
                    <w:tl2br w:val="nil"/>
                    <w:tr2bl w:val="nil"/>
                  </w:tcBorders>
                  <w:vAlign w:val="center"/>
                </w:tcPr>
                <w:p w14:paraId="64FA8C9C">
                  <w:pPr>
                    <w:pStyle w:val="131"/>
                    <w:jc w:val="both"/>
                    <w:rPr>
                      <w:rFonts w:hint="default" w:ascii="Times New Roman" w:hAnsi="Times New Roman" w:cs="Times New Roman"/>
                      <w:color w:val="auto"/>
                      <w:szCs w:val="21"/>
                    </w:rPr>
                  </w:pPr>
                  <w:r>
                    <w:rPr>
                      <w:rFonts w:hint="default" w:ascii="Times New Roman" w:hAnsi="Times New Roman" w:cs="Times New Roman"/>
                      <w:color w:val="auto"/>
                    </w:rPr>
                    <w:t>年产26万吨热镀锌板及16万吨彩涂板</w:t>
                  </w:r>
                </w:p>
              </w:tc>
              <w:tc>
                <w:tcPr>
                  <w:tcW w:w="1444" w:type="dxa"/>
                  <w:tcBorders>
                    <w:tl2br w:val="nil"/>
                    <w:tr2bl w:val="nil"/>
                  </w:tcBorders>
                  <w:vAlign w:val="center"/>
                </w:tcPr>
                <w:p w14:paraId="7128264F">
                  <w:pPr>
                    <w:pStyle w:val="131"/>
                    <w:jc w:val="both"/>
                    <w:rPr>
                      <w:rFonts w:hint="default" w:ascii="Times New Roman" w:hAnsi="Times New Roman" w:cs="Times New Roman"/>
                      <w:color w:val="auto"/>
                    </w:rPr>
                  </w:pPr>
                  <w:r>
                    <w:rPr>
                      <w:rFonts w:hint="default" w:ascii="Times New Roman" w:hAnsi="Times New Roman" w:cs="Times New Roman"/>
                      <w:color w:val="auto"/>
                    </w:rPr>
                    <w:t>2004.9沙县环保局批复</w:t>
                  </w:r>
                </w:p>
              </w:tc>
              <w:tc>
                <w:tcPr>
                  <w:tcW w:w="1958" w:type="dxa"/>
                  <w:tcBorders>
                    <w:tl2br w:val="nil"/>
                    <w:tr2bl w:val="nil"/>
                  </w:tcBorders>
                  <w:vAlign w:val="center"/>
                </w:tcPr>
                <w:p w14:paraId="486DC583">
                  <w:pPr>
                    <w:pStyle w:val="131"/>
                    <w:jc w:val="both"/>
                    <w:rPr>
                      <w:rFonts w:hint="default" w:ascii="Times New Roman" w:hAnsi="Times New Roman" w:cs="Times New Roman"/>
                      <w:color w:val="auto"/>
                    </w:rPr>
                  </w:pPr>
                  <w:r>
                    <w:rPr>
                      <w:rFonts w:hint="default" w:ascii="Times New Roman" w:hAnsi="Times New Roman" w:cs="Times New Roman"/>
                      <w:color w:val="auto"/>
                    </w:rPr>
                    <w:t>2005年5月通过沙县环保局验收，2009年该项目已停产。</w:t>
                  </w:r>
                </w:p>
              </w:tc>
              <w:tc>
                <w:tcPr>
                  <w:tcW w:w="999" w:type="dxa"/>
                  <w:tcBorders>
                    <w:tl2br w:val="nil"/>
                    <w:tr2bl w:val="nil"/>
                  </w:tcBorders>
                  <w:vAlign w:val="center"/>
                </w:tcPr>
                <w:p w14:paraId="3E8D87DA">
                  <w:pPr>
                    <w:pStyle w:val="131"/>
                    <w:jc w:val="both"/>
                    <w:rPr>
                      <w:rFonts w:hint="default" w:ascii="Times New Roman" w:hAnsi="Times New Roman" w:cs="Times New Roman"/>
                      <w:color w:val="auto"/>
                    </w:rPr>
                  </w:pPr>
                  <w:r>
                    <w:rPr>
                      <w:rFonts w:hint="default" w:ascii="Times New Roman" w:hAnsi="Times New Roman" w:cs="Times New Roman"/>
                      <w:color w:val="auto"/>
                    </w:rPr>
                    <w:t>停产，后续不再重启</w:t>
                  </w:r>
                </w:p>
              </w:tc>
            </w:tr>
            <w:tr w14:paraId="1F2C153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899" w:type="dxa"/>
                  <w:tcBorders>
                    <w:tl2br w:val="nil"/>
                    <w:tr2bl w:val="nil"/>
                  </w:tcBorders>
                  <w:vAlign w:val="center"/>
                </w:tcPr>
                <w:p w14:paraId="46DE46E9">
                  <w:pPr>
                    <w:pStyle w:val="131"/>
                    <w:rPr>
                      <w:rFonts w:hint="default" w:ascii="Times New Roman" w:hAnsi="Times New Roman" w:cs="Times New Roman"/>
                      <w:color w:val="auto"/>
                    </w:rPr>
                  </w:pPr>
                  <w:r>
                    <w:rPr>
                      <w:rFonts w:hint="default" w:ascii="Times New Roman" w:hAnsi="Times New Roman" w:cs="Times New Roman"/>
                      <w:color w:val="auto"/>
                    </w:rPr>
                    <w:t>2016.1</w:t>
                  </w:r>
                </w:p>
              </w:tc>
              <w:tc>
                <w:tcPr>
                  <w:tcW w:w="1388" w:type="dxa"/>
                  <w:tcBorders>
                    <w:tl2br w:val="nil"/>
                    <w:tr2bl w:val="nil"/>
                  </w:tcBorders>
                  <w:vAlign w:val="center"/>
                </w:tcPr>
                <w:p w14:paraId="0FD085C1">
                  <w:pPr>
                    <w:pStyle w:val="131"/>
                    <w:jc w:val="both"/>
                    <w:rPr>
                      <w:rFonts w:hint="default" w:ascii="Times New Roman" w:hAnsi="Times New Roman" w:cs="Times New Roman"/>
                      <w:color w:val="auto"/>
                      <w:szCs w:val="21"/>
                    </w:rPr>
                  </w:pPr>
                  <w:r>
                    <w:rPr>
                      <w:rFonts w:hint="default" w:ascii="Times New Roman" w:hAnsi="Times New Roman" w:cs="Times New Roman"/>
                      <w:color w:val="auto"/>
                    </w:rPr>
                    <w:t>磷化线材生产建设项目</w:t>
                  </w:r>
                </w:p>
              </w:tc>
              <w:tc>
                <w:tcPr>
                  <w:tcW w:w="1934" w:type="dxa"/>
                  <w:tcBorders>
                    <w:tl2br w:val="nil"/>
                    <w:tr2bl w:val="nil"/>
                  </w:tcBorders>
                  <w:vAlign w:val="center"/>
                </w:tcPr>
                <w:p w14:paraId="655B2BAE">
                  <w:pPr>
                    <w:pStyle w:val="131"/>
                    <w:jc w:val="both"/>
                    <w:rPr>
                      <w:rFonts w:hint="default" w:ascii="Times New Roman" w:hAnsi="Times New Roman" w:cs="Times New Roman"/>
                      <w:color w:val="auto"/>
                      <w:szCs w:val="21"/>
                    </w:rPr>
                  </w:pPr>
                  <w:r>
                    <w:rPr>
                      <w:rFonts w:hint="default" w:ascii="Times New Roman" w:hAnsi="Times New Roman" w:cs="Times New Roman"/>
                      <w:color w:val="auto"/>
                    </w:rPr>
                    <w:t>3条磷化生产线，年产36万t磷化线材产品；</w:t>
                  </w:r>
                  <w:r>
                    <w:rPr>
                      <w:rFonts w:hint="default" w:ascii="Times New Roman" w:hAnsi="Times New Roman" w:cs="Times New Roman"/>
                      <w:color w:val="auto"/>
                      <w:szCs w:val="21"/>
                    </w:rPr>
                    <w:t>12条PC钢棒生产线，年产18万吨/年PC钢棒</w:t>
                  </w:r>
                </w:p>
              </w:tc>
              <w:tc>
                <w:tcPr>
                  <w:tcW w:w="1444" w:type="dxa"/>
                  <w:tcBorders>
                    <w:tl2br w:val="nil"/>
                    <w:tr2bl w:val="nil"/>
                  </w:tcBorders>
                  <w:vAlign w:val="center"/>
                </w:tcPr>
                <w:p w14:paraId="2726AB1B">
                  <w:pPr>
                    <w:pStyle w:val="131"/>
                    <w:jc w:val="both"/>
                    <w:rPr>
                      <w:rFonts w:hint="default" w:ascii="Times New Roman" w:hAnsi="Times New Roman" w:cs="Times New Roman"/>
                      <w:color w:val="auto"/>
                    </w:rPr>
                  </w:pPr>
                  <w:r>
                    <w:rPr>
                      <w:rFonts w:hint="default" w:ascii="Times New Roman" w:hAnsi="Times New Roman" w:cs="Times New Roman"/>
                      <w:color w:val="auto"/>
                    </w:rPr>
                    <w:t>2016年5月10日，沙县环保局批复，</w:t>
                  </w:r>
                </w:p>
              </w:tc>
              <w:tc>
                <w:tcPr>
                  <w:tcW w:w="1958" w:type="dxa"/>
                  <w:tcBorders>
                    <w:tl2br w:val="nil"/>
                    <w:tr2bl w:val="nil"/>
                  </w:tcBorders>
                  <w:vAlign w:val="center"/>
                </w:tcPr>
                <w:p w14:paraId="13E8F733">
                  <w:pPr>
                    <w:pStyle w:val="131"/>
                    <w:jc w:val="both"/>
                    <w:rPr>
                      <w:rFonts w:hint="default" w:ascii="Times New Roman" w:hAnsi="Times New Roman" w:cs="Times New Roman"/>
                      <w:color w:val="auto"/>
                    </w:rPr>
                  </w:pPr>
                  <w:r>
                    <w:rPr>
                      <w:rFonts w:hint="default" w:ascii="Times New Roman" w:hAnsi="Times New Roman" w:cs="Times New Roman"/>
                      <w:color w:val="auto"/>
                    </w:rPr>
                    <w:t>2017年5月，项目租给三明市海西闽光金属制品有限公司投资建设</w:t>
                  </w:r>
                </w:p>
                <w:p w14:paraId="1DDB5574">
                  <w:pPr>
                    <w:pStyle w:val="131"/>
                    <w:jc w:val="both"/>
                    <w:rPr>
                      <w:rFonts w:hint="default" w:ascii="Times New Roman" w:hAnsi="Times New Roman" w:cs="Times New Roman"/>
                      <w:color w:val="auto"/>
                    </w:rPr>
                  </w:pPr>
                  <w:r>
                    <w:rPr>
                      <w:rFonts w:hint="default" w:ascii="Times New Roman" w:hAnsi="Times New Roman" w:cs="Times New Roman"/>
                      <w:color w:val="auto"/>
                    </w:rPr>
                    <w:t>2022年3月，该项目已停产，设备已拆除。</w:t>
                  </w:r>
                </w:p>
              </w:tc>
              <w:tc>
                <w:tcPr>
                  <w:tcW w:w="999" w:type="dxa"/>
                  <w:tcBorders>
                    <w:tl2br w:val="nil"/>
                    <w:tr2bl w:val="nil"/>
                  </w:tcBorders>
                  <w:vAlign w:val="center"/>
                </w:tcPr>
                <w:p w14:paraId="5F7CAD2A">
                  <w:pPr>
                    <w:pStyle w:val="131"/>
                    <w:jc w:val="both"/>
                    <w:rPr>
                      <w:rFonts w:hint="default" w:ascii="Times New Roman" w:hAnsi="Times New Roman" w:cs="Times New Roman"/>
                      <w:color w:val="auto"/>
                    </w:rPr>
                  </w:pPr>
                  <w:r>
                    <w:rPr>
                      <w:rFonts w:hint="default" w:ascii="Times New Roman" w:hAnsi="Times New Roman" w:cs="Times New Roman"/>
                      <w:color w:val="auto"/>
                    </w:rPr>
                    <w:t>已停产，设备已拆除</w:t>
                  </w:r>
                </w:p>
              </w:tc>
            </w:tr>
          </w:tbl>
          <w:p w14:paraId="02048270">
            <w:pPr>
              <w:keepNext w:val="0"/>
              <w:keepLines w:val="0"/>
              <w:pageBreakBefore w:val="0"/>
              <w:widowControl w:val="0"/>
              <w:kinsoku/>
              <w:wordWrap/>
              <w:overflowPunct/>
              <w:topLinePunct w:val="0"/>
              <w:autoSpaceDE/>
              <w:autoSpaceDN/>
              <w:bidi w:val="0"/>
              <w:adjustRightInd w:val="0"/>
              <w:snapToGrid w:val="0"/>
              <w:spacing w:before="115" w:beforeLines="30" w:after="189" w:afterLines="50"/>
              <w:textAlignment w:val="auto"/>
              <w:outlineLvl w:val="2"/>
              <w:rPr>
                <w:rFonts w:hint="default" w:ascii="Times New Roman" w:hAnsi="Times New Roman" w:eastAsia="黑体" w:cs="Times New Roman"/>
                <w:color w:val="auto"/>
                <w:sz w:val="28"/>
                <w:szCs w:val="28"/>
              </w:rPr>
            </w:pPr>
            <w:r>
              <w:rPr>
                <w:rFonts w:hint="default" w:ascii="Times New Roman" w:hAnsi="Times New Roman" w:eastAsia="黑体" w:cs="Times New Roman"/>
                <w:color w:val="auto"/>
                <w:sz w:val="28"/>
                <w:szCs w:val="28"/>
              </w:rPr>
              <w:t>2.4.1现有工程</w:t>
            </w:r>
          </w:p>
          <w:p w14:paraId="1A17EC2C">
            <w:pPr>
              <w:pStyle w:val="14"/>
              <w:widowControl w:val="0"/>
              <w:adjustRightInd w:val="0"/>
              <w:spacing w:before="0" w:after="0" w:line="360" w:lineRule="auto"/>
              <w:ind w:right="0"/>
              <w:rPr>
                <w:rFonts w:hint="default" w:ascii="Times New Roman" w:hAnsi="Times New Roman" w:eastAsia="黑体" w:cs="Times New Roman"/>
                <w:color w:val="auto"/>
                <w:spacing w:val="4"/>
                <w:sz w:val="24"/>
              </w:rPr>
            </w:pPr>
            <w:r>
              <w:rPr>
                <w:rFonts w:hint="default" w:ascii="Times New Roman" w:hAnsi="Times New Roman" w:eastAsia="黑体" w:cs="Times New Roman"/>
                <w:color w:val="auto"/>
                <w:spacing w:val="4"/>
                <w:sz w:val="24"/>
              </w:rPr>
              <w:t>2.4.1.1现有已建投产工程</w:t>
            </w:r>
          </w:p>
          <w:p w14:paraId="2731D1CD">
            <w:pPr>
              <w:pStyle w:val="14"/>
              <w:widowControl w:val="0"/>
              <w:adjustRightInd w:val="0"/>
              <w:spacing w:before="0" w:after="0" w:line="360" w:lineRule="auto"/>
              <w:ind w:right="0" w:firstLine="496" w:firstLineChars="200"/>
              <w:rPr>
                <w:rFonts w:hint="default" w:ascii="Times New Roman" w:hAnsi="Times New Roman" w:cs="Times New Roman"/>
                <w:color w:val="auto"/>
                <w:spacing w:val="4"/>
                <w:sz w:val="24"/>
              </w:rPr>
            </w:pPr>
            <w:r>
              <w:rPr>
                <w:rFonts w:hint="default" w:ascii="Times New Roman" w:hAnsi="Times New Roman" w:cs="Times New Roman"/>
                <w:color w:val="auto"/>
                <w:spacing w:val="4"/>
                <w:sz w:val="24"/>
              </w:rPr>
              <w:t>（1）工程组成</w:t>
            </w:r>
          </w:p>
          <w:p w14:paraId="7F672BF2">
            <w:pPr>
              <w:pStyle w:val="14"/>
              <w:widowControl w:val="0"/>
              <w:adjustRightInd w:val="0"/>
              <w:spacing w:before="0" w:after="0" w:line="360" w:lineRule="auto"/>
              <w:ind w:right="0" w:firstLine="496" w:firstLineChars="200"/>
              <w:rPr>
                <w:rFonts w:hint="default" w:ascii="Times New Roman" w:hAnsi="Times New Roman" w:cs="Times New Roman"/>
                <w:color w:val="auto"/>
                <w:spacing w:val="4"/>
                <w:sz w:val="24"/>
              </w:rPr>
            </w:pPr>
            <w:r>
              <w:rPr>
                <w:rFonts w:hint="default" w:ascii="Times New Roman" w:hAnsi="Times New Roman" w:cs="Times New Roman"/>
                <w:color w:val="auto"/>
                <w:spacing w:val="4"/>
                <w:sz w:val="24"/>
              </w:rPr>
              <w:t>公司现有已建投产工程组成详见表2.4-2。</w:t>
            </w:r>
          </w:p>
          <w:p w14:paraId="401F4B9B">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表2.4-2  现有已建投产工程组成</w:t>
            </w:r>
          </w:p>
          <w:tbl>
            <w:tblPr>
              <w:tblStyle w:val="34"/>
              <w:tblW w:w="4998"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752"/>
              <w:gridCol w:w="885"/>
              <w:gridCol w:w="1290"/>
              <w:gridCol w:w="5695"/>
            </w:tblGrid>
            <w:tr w14:paraId="7B8DF05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3" w:hRule="atLeast"/>
                <w:jc w:val="center"/>
              </w:trPr>
              <w:tc>
                <w:tcPr>
                  <w:tcW w:w="436" w:type="pct"/>
                  <w:tcBorders>
                    <w:tl2br w:val="nil"/>
                    <w:tr2bl w:val="nil"/>
                  </w:tcBorders>
                  <w:vAlign w:val="center"/>
                </w:tcPr>
                <w:p w14:paraId="5C4A20E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序号</w:t>
                  </w:r>
                </w:p>
              </w:tc>
              <w:tc>
                <w:tcPr>
                  <w:tcW w:w="1261" w:type="pct"/>
                  <w:gridSpan w:val="2"/>
                  <w:tcBorders>
                    <w:tl2br w:val="nil"/>
                    <w:tr2bl w:val="nil"/>
                  </w:tcBorders>
                  <w:vAlign w:val="center"/>
                </w:tcPr>
                <w:p w14:paraId="5BE9392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项目组成</w:t>
                  </w:r>
                </w:p>
              </w:tc>
              <w:tc>
                <w:tcPr>
                  <w:tcW w:w="3302" w:type="pct"/>
                  <w:tcBorders>
                    <w:tl2br w:val="nil"/>
                    <w:tr2bl w:val="nil"/>
                  </w:tcBorders>
                  <w:vAlign w:val="center"/>
                </w:tcPr>
                <w:p w14:paraId="79C7933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主要内容</w:t>
                  </w:r>
                </w:p>
              </w:tc>
            </w:tr>
            <w:tr w14:paraId="4571E08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176" w:hRule="atLeast"/>
                <w:jc w:val="center"/>
              </w:trPr>
              <w:tc>
                <w:tcPr>
                  <w:tcW w:w="436" w:type="pct"/>
                  <w:vMerge w:val="restart"/>
                  <w:tcBorders>
                    <w:tl2br w:val="nil"/>
                    <w:tr2bl w:val="nil"/>
                  </w:tcBorders>
                  <w:vAlign w:val="center"/>
                </w:tcPr>
                <w:p w14:paraId="4206728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1</w:t>
                  </w:r>
                </w:p>
              </w:tc>
              <w:tc>
                <w:tcPr>
                  <w:tcW w:w="513" w:type="pct"/>
                  <w:vMerge w:val="restart"/>
                  <w:tcBorders>
                    <w:tl2br w:val="nil"/>
                    <w:tr2bl w:val="nil"/>
                  </w:tcBorders>
                  <w:vAlign w:val="center"/>
                </w:tcPr>
                <w:p w14:paraId="20BB4E6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主体</w:t>
                  </w:r>
                </w:p>
                <w:p w14:paraId="3B5ED28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工程</w:t>
                  </w:r>
                </w:p>
              </w:tc>
              <w:tc>
                <w:tcPr>
                  <w:tcW w:w="748" w:type="pct"/>
                  <w:tcBorders>
                    <w:tl2br w:val="nil"/>
                    <w:tr2bl w:val="nil"/>
                  </w:tcBorders>
                  <w:vAlign w:val="center"/>
                </w:tcPr>
                <w:p w14:paraId="1738322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1#生产车间（原镀锌车间）</w:t>
                  </w:r>
                </w:p>
              </w:tc>
              <w:tc>
                <w:tcPr>
                  <w:tcW w:w="3302" w:type="pct"/>
                  <w:tcBorders>
                    <w:tl2br w:val="nil"/>
                    <w:tr2bl w:val="nil"/>
                  </w:tcBorders>
                  <w:vAlign w:val="center"/>
                </w:tcPr>
                <w:p w14:paraId="0D41D2D4">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b w:val="0"/>
                      <w:bCs/>
                      <w:color w:val="auto"/>
                      <w:kern w:val="0"/>
                      <w:szCs w:val="21"/>
                    </w:rPr>
                  </w:pPr>
                  <w:r>
                    <w:rPr>
                      <w:rFonts w:hint="default" w:ascii="Times New Roman" w:hAnsi="Times New Roman" w:cs="Times New Roman"/>
                      <w:b w:val="0"/>
                      <w:bCs/>
                      <w:color w:val="auto"/>
                      <w:kern w:val="0"/>
                      <w:szCs w:val="21"/>
                    </w:rPr>
                    <w:t>厂房总占地14000m</w:t>
                  </w:r>
                  <w:r>
                    <w:rPr>
                      <w:rFonts w:hint="default" w:ascii="Times New Roman" w:hAnsi="Times New Roman" w:cs="Times New Roman"/>
                      <w:b w:val="0"/>
                      <w:bCs/>
                      <w:color w:val="auto"/>
                      <w:kern w:val="0"/>
                      <w:szCs w:val="21"/>
                      <w:vertAlign w:val="superscript"/>
                    </w:rPr>
                    <w:t>2</w:t>
                  </w:r>
                  <w:r>
                    <w:rPr>
                      <w:rFonts w:hint="default" w:ascii="Times New Roman" w:hAnsi="Times New Roman" w:cs="Times New Roman"/>
                      <w:b w:val="0"/>
                      <w:bCs/>
                      <w:color w:val="auto"/>
                      <w:kern w:val="0"/>
                      <w:szCs w:val="21"/>
                    </w:rPr>
                    <w:t>，其中6300m</w:t>
                  </w:r>
                  <w:r>
                    <w:rPr>
                      <w:rFonts w:hint="default" w:ascii="Times New Roman" w:hAnsi="Times New Roman" w:cs="Times New Roman"/>
                      <w:b w:val="0"/>
                      <w:bCs/>
                      <w:color w:val="auto"/>
                      <w:kern w:val="0"/>
                      <w:szCs w:val="21"/>
                      <w:vertAlign w:val="superscript"/>
                    </w:rPr>
                    <w:t>2</w:t>
                  </w:r>
                  <w:r>
                    <w:rPr>
                      <w:rFonts w:hint="default" w:ascii="Times New Roman" w:hAnsi="Times New Roman" w:cs="Times New Roman"/>
                      <w:b w:val="0"/>
                      <w:bCs/>
                      <w:color w:val="auto"/>
                      <w:kern w:val="0"/>
                      <w:szCs w:val="21"/>
                    </w:rPr>
                    <w:t>布设了4条</w:t>
                  </w:r>
                  <w:r>
                    <w:rPr>
                      <w:rFonts w:hint="default" w:ascii="Times New Roman" w:hAnsi="Times New Roman" w:cs="Times New Roman"/>
                      <w:b w:val="0"/>
                      <w:bCs/>
                      <w:color w:val="auto"/>
                      <w:szCs w:val="21"/>
                    </w:rPr>
                    <w:t>PC钢棒生产线，分别是13#-16#</w:t>
                  </w:r>
                  <w:r>
                    <w:rPr>
                      <w:rFonts w:hint="default" w:ascii="Times New Roman" w:hAnsi="Times New Roman" w:cs="Times New Roman"/>
                      <w:b w:val="0"/>
                      <w:bCs/>
                      <w:color w:val="auto"/>
                      <w:kern w:val="0"/>
                      <w:szCs w:val="21"/>
                    </w:rPr>
                    <w:t>生产线、7200m</w:t>
                  </w:r>
                  <w:r>
                    <w:rPr>
                      <w:rFonts w:hint="default" w:ascii="Times New Roman" w:hAnsi="Times New Roman" w:cs="Times New Roman"/>
                      <w:b w:val="0"/>
                      <w:bCs/>
                      <w:color w:val="auto"/>
                      <w:kern w:val="0"/>
                      <w:szCs w:val="21"/>
                      <w:vertAlign w:val="superscript"/>
                    </w:rPr>
                    <w:t>2</w:t>
                  </w:r>
                  <w:r>
                    <w:rPr>
                      <w:rFonts w:hint="default" w:ascii="Times New Roman" w:hAnsi="Times New Roman" w:cs="Times New Roman"/>
                      <w:b w:val="0"/>
                      <w:bCs/>
                      <w:color w:val="auto"/>
                      <w:kern w:val="0"/>
                      <w:szCs w:val="21"/>
                    </w:rPr>
                    <w:t>为子公司“福建明光同鑫晟金属制品有限公司”建设“增建预应力钢丝生产线建设项目”，剩余用地用于仓库。</w:t>
                  </w:r>
                </w:p>
              </w:tc>
            </w:tr>
            <w:tr w14:paraId="6EF9315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469" w:hRule="atLeast"/>
                <w:jc w:val="center"/>
              </w:trPr>
              <w:tc>
                <w:tcPr>
                  <w:tcW w:w="436" w:type="pct"/>
                  <w:vMerge w:val="continue"/>
                  <w:tcBorders>
                    <w:tl2br w:val="nil"/>
                    <w:tr2bl w:val="nil"/>
                  </w:tcBorders>
                  <w:vAlign w:val="center"/>
                </w:tcPr>
                <w:p w14:paraId="37E0633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p>
              </w:tc>
              <w:tc>
                <w:tcPr>
                  <w:tcW w:w="513" w:type="pct"/>
                  <w:vMerge w:val="continue"/>
                  <w:tcBorders>
                    <w:tl2br w:val="nil"/>
                    <w:tr2bl w:val="nil"/>
                  </w:tcBorders>
                  <w:vAlign w:val="center"/>
                </w:tcPr>
                <w:p w14:paraId="6F49B58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p>
              </w:tc>
              <w:tc>
                <w:tcPr>
                  <w:tcW w:w="748" w:type="pct"/>
                  <w:tcBorders>
                    <w:tl2br w:val="nil"/>
                    <w:tr2bl w:val="nil"/>
                  </w:tcBorders>
                  <w:vAlign w:val="center"/>
                </w:tcPr>
                <w:p w14:paraId="038B934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2#生产车间（原彩涂车间）</w:t>
                  </w:r>
                </w:p>
              </w:tc>
              <w:tc>
                <w:tcPr>
                  <w:tcW w:w="3302" w:type="pct"/>
                  <w:tcBorders>
                    <w:tl2br w:val="nil"/>
                    <w:tr2bl w:val="nil"/>
                  </w:tcBorders>
                  <w:vAlign w:val="center"/>
                </w:tcPr>
                <w:p w14:paraId="4D848A21">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bidi="ar"/>
                    </w:rPr>
                    <w:t>目前为仓库和租赁（出租部分由租赁公司自行编制环评）。厂房占地12800m</w:t>
                  </w:r>
                  <w:r>
                    <w:rPr>
                      <w:rFonts w:hint="default" w:ascii="Times New Roman" w:hAnsi="Times New Roman" w:cs="Times New Roman"/>
                      <w:color w:val="auto"/>
                      <w:kern w:val="0"/>
                      <w:szCs w:val="21"/>
                      <w:vertAlign w:val="superscript"/>
                      <w:lang w:bidi="ar"/>
                    </w:rPr>
                    <w:t>2</w:t>
                  </w:r>
                  <w:r>
                    <w:rPr>
                      <w:rFonts w:hint="default" w:ascii="Times New Roman" w:hAnsi="Times New Roman" w:cs="Times New Roman"/>
                      <w:color w:val="auto"/>
                      <w:kern w:val="0"/>
                      <w:szCs w:val="21"/>
                      <w:lang w:bidi="ar"/>
                    </w:rPr>
                    <w:t>，其中9300m</w:t>
                  </w:r>
                  <w:r>
                    <w:rPr>
                      <w:rFonts w:hint="default" w:ascii="Times New Roman" w:hAnsi="Times New Roman" w:cs="Times New Roman"/>
                      <w:color w:val="auto"/>
                      <w:kern w:val="0"/>
                      <w:szCs w:val="21"/>
                      <w:vertAlign w:val="superscript"/>
                      <w:lang w:bidi="ar"/>
                    </w:rPr>
                    <w:t>2</w:t>
                  </w:r>
                  <w:r>
                    <w:rPr>
                      <w:rFonts w:hint="default" w:ascii="Times New Roman" w:hAnsi="Times New Roman" w:cs="Times New Roman"/>
                      <w:color w:val="auto"/>
                      <w:kern w:val="0"/>
                      <w:szCs w:val="21"/>
                      <w:lang w:bidi="ar"/>
                    </w:rPr>
                    <w:t>用于子公司“福建明光同鑫晟金属制品有限公司”建设钢绞线生产项目，剩余一部分租赁给福建德桥工程材料公司建设钢绞线、预应力塑料波纹管生产项目，另一部分为仓库</w:t>
                  </w:r>
                  <w:r>
                    <w:rPr>
                      <w:rFonts w:hint="default" w:ascii="Times New Roman" w:hAnsi="Times New Roman" w:cs="Times New Roman"/>
                      <w:color w:val="auto"/>
                      <w:kern w:val="0"/>
                      <w:szCs w:val="21"/>
                      <w:lang w:eastAsia="zh-CN" w:bidi="ar"/>
                    </w:rPr>
                    <w:t>。</w:t>
                  </w:r>
                </w:p>
              </w:tc>
            </w:tr>
            <w:tr w14:paraId="1A61170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31" w:hRule="atLeast"/>
                <w:jc w:val="center"/>
              </w:trPr>
              <w:tc>
                <w:tcPr>
                  <w:tcW w:w="436" w:type="pct"/>
                  <w:vMerge w:val="continue"/>
                  <w:tcBorders>
                    <w:tl2br w:val="nil"/>
                    <w:tr2bl w:val="nil"/>
                  </w:tcBorders>
                  <w:vAlign w:val="center"/>
                </w:tcPr>
                <w:p w14:paraId="2BBD983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rPr>
                  </w:pPr>
                </w:p>
              </w:tc>
              <w:tc>
                <w:tcPr>
                  <w:tcW w:w="513" w:type="pct"/>
                  <w:vMerge w:val="continue"/>
                  <w:tcBorders>
                    <w:tl2br w:val="nil"/>
                    <w:tr2bl w:val="nil"/>
                  </w:tcBorders>
                  <w:vAlign w:val="center"/>
                </w:tcPr>
                <w:p w14:paraId="40DF2FF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rPr>
                  </w:pPr>
                </w:p>
              </w:tc>
              <w:tc>
                <w:tcPr>
                  <w:tcW w:w="748" w:type="pct"/>
                  <w:tcBorders>
                    <w:tl2br w:val="nil"/>
                    <w:tr2bl w:val="nil"/>
                  </w:tcBorders>
                  <w:vAlign w:val="center"/>
                </w:tcPr>
                <w:p w14:paraId="506774B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3#生产车间</w:t>
                  </w:r>
                </w:p>
              </w:tc>
              <w:tc>
                <w:tcPr>
                  <w:tcW w:w="3302" w:type="pct"/>
                  <w:tcBorders>
                    <w:tl2br w:val="nil"/>
                    <w:tr2bl w:val="nil"/>
                  </w:tcBorders>
                  <w:vAlign w:val="center"/>
                </w:tcPr>
                <w:p w14:paraId="238C2EB4">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color w:val="auto"/>
                      <w:szCs w:val="21"/>
                    </w:rPr>
                  </w:pPr>
                  <w:r>
                    <w:rPr>
                      <w:rFonts w:hint="default" w:ascii="Times New Roman" w:hAnsi="Times New Roman" w:cs="Times New Roman"/>
                      <w:color w:val="auto"/>
                      <w:kern w:val="0"/>
                      <w:szCs w:val="21"/>
                    </w:rPr>
                    <w:t>厂房占地16280m</w:t>
                  </w:r>
                  <w:r>
                    <w:rPr>
                      <w:rFonts w:hint="default" w:ascii="Times New Roman" w:hAnsi="Times New Roman" w:cs="Times New Roman"/>
                      <w:color w:val="auto"/>
                      <w:kern w:val="0"/>
                      <w:szCs w:val="21"/>
                      <w:vertAlign w:val="superscript"/>
                    </w:rPr>
                    <w:t>2</w:t>
                  </w:r>
                  <w:r>
                    <w:rPr>
                      <w:rFonts w:hint="default" w:ascii="Times New Roman" w:hAnsi="Times New Roman" w:cs="Times New Roman"/>
                      <w:color w:val="auto"/>
                      <w:kern w:val="0"/>
                      <w:szCs w:val="21"/>
                    </w:rPr>
                    <w:t>，在其中布设12条</w:t>
                  </w:r>
                  <w:r>
                    <w:rPr>
                      <w:rFonts w:hint="default" w:ascii="Times New Roman" w:hAnsi="Times New Roman" w:cs="Times New Roman"/>
                      <w:color w:val="auto"/>
                      <w:szCs w:val="21"/>
                    </w:rPr>
                    <w:t>PC钢棒</w:t>
                  </w:r>
                  <w:r>
                    <w:rPr>
                      <w:rFonts w:hint="default" w:ascii="Times New Roman" w:hAnsi="Times New Roman" w:cs="Times New Roman"/>
                      <w:color w:val="auto"/>
                      <w:kern w:val="0"/>
                      <w:szCs w:val="21"/>
                    </w:rPr>
                    <w:t>生产线，分别是</w:t>
                  </w:r>
                  <w:r>
                    <w:rPr>
                      <w:rFonts w:hint="default" w:ascii="Times New Roman" w:hAnsi="Times New Roman" w:cs="Times New Roman"/>
                      <w:color w:val="auto"/>
                      <w:szCs w:val="21"/>
                    </w:rPr>
                    <w:t>1#-12#</w:t>
                  </w:r>
                  <w:r>
                    <w:rPr>
                      <w:rFonts w:hint="default" w:ascii="Times New Roman" w:hAnsi="Times New Roman" w:cs="Times New Roman"/>
                      <w:color w:val="auto"/>
                      <w:kern w:val="0"/>
                      <w:szCs w:val="21"/>
                    </w:rPr>
                    <w:t>生产线。</w:t>
                  </w:r>
                </w:p>
              </w:tc>
            </w:tr>
            <w:tr w14:paraId="06CF684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3" w:hRule="atLeast"/>
                <w:jc w:val="center"/>
              </w:trPr>
              <w:tc>
                <w:tcPr>
                  <w:tcW w:w="436" w:type="pct"/>
                  <w:vMerge w:val="continue"/>
                  <w:tcBorders>
                    <w:tl2br w:val="nil"/>
                    <w:tr2bl w:val="nil"/>
                  </w:tcBorders>
                  <w:vAlign w:val="center"/>
                </w:tcPr>
                <w:p w14:paraId="4F81D31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rPr>
                  </w:pPr>
                </w:p>
              </w:tc>
              <w:tc>
                <w:tcPr>
                  <w:tcW w:w="513" w:type="pct"/>
                  <w:vMerge w:val="continue"/>
                  <w:tcBorders>
                    <w:tl2br w:val="nil"/>
                    <w:tr2bl w:val="nil"/>
                  </w:tcBorders>
                  <w:vAlign w:val="center"/>
                </w:tcPr>
                <w:p w14:paraId="1CCAAFE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rPr>
                  </w:pPr>
                </w:p>
              </w:tc>
              <w:tc>
                <w:tcPr>
                  <w:tcW w:w="748" w:type="pct"/>
                  <w:tcBorders>
                    <w:tl2br w:val="nil"/>
                    <w:tr2bl w:val="nil"/>
                  </w:tcBorders>
                  <w:vAlign w:val="center"/>
                </w:tcPr>
                <w:p w14:paraId="5DED229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4#生产车间</w:t>
                  </w:r>
                </w:p>
              </w:tc>
              <w:tc>
                <w:tcPr>
                  <w:tcW w:w="3302" w:type="pct"/>
                  <w:tcBorders>
                    <w:tl2br w:val="nil"/>
                    <w:tr2bl w:val="nil"/>
                  </w:tcBorders>
                  <w:vAlign w:val="center"/>
                </w:tcPr>
                <w:p w14:paraId="04B7142F">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color w:val="auto"/>
                      <w:szCs w:val="21"/>
                    </w:rPr>
                  </w:pPr>
                  <w:r>
                    <w:rPr>
                      <w:rFonts w:hint="default" w:ascii="Times New Roman" w:hAnsi="Times New Roman" w:cs="Times New Roman"/>
                      <w:color w:val="auto"/>
                      <w:kern w:val="0"/>
                      <w:szCs w:val="21"/>
                    </w:rPr>
                    <w:t>厂房占地12200m</w:t>
                  </w:r>
                  <w:r>
                    <w:rPr>
                      <w:rFonts w:hint="default" w:ascii="Times New Roman" w:hAnsi="Times New Roman" w:cs="Times New Roman"/>
                      <w:color w:val="auto"/>
                      <w:kern w:val="0"/>
                      <w:szCs w:val="21"/>
                      <w:vertAlign w:val="superscript"/>
                    </w:rPr>
                    <w:t>2</w:t>
                  </w:r>
                  <w:r>
                    <w:rPr>
                      <w:rFonts w:hint="default" w:ascii="Times New Roman" w:hAnsi="Times New Roman" w:cs="Times New Roman"/>
                      <w:color w:val="auto"/>
                      <w:kern w:val="0"/>
                      <w:szCs w:val="21"/>
                    </w:rPr>
                    <w:t>，原料仓库。</w:t>
                  </w:r>
                </w:p>
              </w:tc>
            </w:tr>
            <w:tr w14:paraId="63E2E02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31" w:hRule="atLeast"/>
                <w:jc w:val="center"/>
              </w:trPr>
              <w:tc>
                <w:tcPr>
                  <w:tcW w:w="436" w:type="pct"/>
                  <w:vMerge w:val="continue"/>
                  <w:tcBorders>
                    <w:tl2br w:val="nil"/>
                    <w:tr2bl w:val="nil"/>
                  </w:tcBorders>
                  <w:vAlign w:val="center"/>
                </w:tcPr>
                <w:p w14:paraId="1EB6747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rPr>
                  </w:pPr>
                </w:p>
              </w:tc>
              <w:tc>
                <w:tcPr>
                  <w:tcW w:w="513" w:type="pct"/>
                  <w:vMerge w:val="continue"/>
                  <w:tcBorders>
                    <w:tl2br w:val="nil"/>
                    <w:tr2bl w:val="nil"/>
                  </w:tcBorders>
                  <w:vAlign w:val="center"/>
                </w:tcPr>
                <w:p w14:paraId="1CB3153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rPr>
                  </w:pPr>
                </w:p>
              </w:tc>
              <w:tc>
                <w:tcPr>
                  <w:tcW w:w="748" w:type="pct"/>
                  <w:tcBorders>
                    <w:tl2br w:val="nil"/>
                    <w:tr2bl w:val="nil"/>
                  </w:tcBorders>
                  <w:vAlign w:val="center"/>
                </w:tcPr>
                <w:p w14:paraId="106CFC8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仓库（原磷化线车间）</w:t>
                  </w:r>
                </w:p>
              </w:tc>
              <w:tc>
                <w:tcPr>
                  <w:tcW w:w="3302" w:type="pct"/>
                  <w:tcBorders>
                    <w:tl2br w:val="nil"/>
                    <w:tr2bl w:val="nil"/>
                  </w:tcBorders>
                  <w:shd w:val="clear" w:color="auto" w:fill="auto"/>
                  <w:vAlign w:val="center"/>
                </w:tcPr>
                <w:p w14:paraId="08A6E8BE">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占地3500m</w:t>
                  </w:r>
                  <w:r>
                    <w:rPr>
                      <w:rFonts w:hint="default" w:ascii="Times New Roman" w:hAnsi="Times New Roman" w:cs="Times New Roman"/>
                      <w:color w:val="auto"/>
                      <w:kern w:val="0"/>
                      <w:szCs w:val="21"/>
                      <w:vertAlign w:val="superscript"/>
                    </w:rPr>
                    <w:t>2</w:t>
                  </w:r>
                  <w:r>
                    <w:rPr>
                      <w:rFonts w:hint="default" w:ascii="Times New Roman" w:hAnsi="Times New Roman" w:cs="Times New Roman"/>
                      <w:color w:val="auto"/>
                      <w:kern w:val="0"/>
                      <w:szCs w:val="21"/>
                    </w:rPr>
                    <w:t>，</w:t>
                  </w:r>
                  <w:r>
                    <w:rPr>
                      <w:rFonts w:hint="default" w:ascii="Times New Roman" w:hAnsi="Times New Roman" w:cs="Times New Roman"/>
                      <w:color w:val="auto"/>
                    </w:rPr>
                    <w:t>2022年3月，该项目已停产，厂房和设备已拆除，目前作为仓库。</w:t>
                  </w:r>
                </w:p>
              </w:tc>
            </w:tr>
            <w:tr w14:paraId="10071E8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3" w:hRule="atLeast"/>
                <w:jc w:val="center"/>
              </w:trPr>
              <w:tc>
                <w:tcPr>
                  <w:tcW w:w="436" w:type="pct"/>
                  <w:vMerge w:val="restart"/>
                  <w:tcBorders>
                    <w:tl2br w:val="nil"/>
                    <w:tr2bl w:val="nil"/>
                  </w:tcBorders>
                  <w:vAlign w:val="center"/>
                </w:tcPr>
                <w:p w14:paraId="529BBBC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2</w:t>
                  </w:r>
                </w:p>
              </w:tc>
              <w:tc>
                <w:tcPr>
                  <w:tcW w:w="513" w:type="pct"/>
                  <w:vMerge w:val="restart"/>
                  <w:tcBorders>
                    <w:tl2br w:val="nil"/>
                    <w:tr2bl w:val="nil"/>
                  </w:tcBorders>
                  <w:vAlign w:val="center"/>
                </w:tcPr>
                <w:p w14:paraId="2CFB1A9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辅助</w:t>
                  </w:r>
                </w:p>
                <w:p w14:paraId="78799DC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工程</w:t>
                  </w:r>
                </w:p>
              </w:tc>
              <w:tc>
                <w:tcPr>
                  <w:tcW w:w="748" w:type="pct"/>
                  <w:tcBorders>
                    <w:tl2br w:val="nil"/>
                    <w:tr2bl w:val="nil"/>
                  </w:tcBorders>
                  <w:vAlign w:val="center"/>
                </w:tcPr>
                <w:p w14:paraId="1FB9189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办公区</w:t>
                  </w:r>
                </w:p>
              </w:tc>
              <w:tc>
                <w:tcPr>
                  <w:tcW w:w="3302" w:type="pct"/>
                  <w:tcBorders>
                    <w:tl2br w:val="nil"/>
                    <w:tr2bl w:val="nil"/>
                  </w:tcBorders>
                  <w:vAlign w:val="center"/>
                </w:tcPr>
                <w:p w14:paraId="595F9098">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占地面积约200m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，二层砖混结构，位于厂区西侧</w:t>
                  </w:r>
                </w:p>
              </w:tc>
            </w:tr>
            <w:tr w14:paraId="4C221CF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3" w:hRule="atLeast"/>
                <w:jc w:val="center"/>
              </w:trPr>
              <w:tc>
                <w:tcPr>
                  <w:tcW w:w="436" w:type="pct"/>
                  <w:vMerge w:val="continue"/>
                  <w:tcBorders>
                    <w:tl2br w:val="nil"/>
                    <w:tr2bl w:val="nil"/>
                  </w:tcBorders>
                  <w:vAlign w:val="center"/>
                </w:tcPr>
                <w:p w14:paraId="5EF0FE0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p>
              </w:tc>
              <w:tc>
                <w:tcPr>
                  <w:tcW w:w="513" w:type="pct"/>
                  <w:vMerge w:val="continue"/>
                  <w:tcBorders>
                    <w:tl2br w:val="nil"/>
                    <w:tr2bl w:val="nil"/>
                  </w:tcBorders>
                  <w:vAlign w:val="center"/>
                </w:tcPr>
                <w:p w14:paraId="4D2ADD6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p>
              </w:tc>
              <w:tc>
                <w:tcPr>
                  <w:tcW w:w="748" w:type="pct"/>
                  <w:tcBorders>
                    <w:tl2br w:val="nil"/>
                    <w:tr2bl w:val="nil"/>
                  </w:tcBorders>
                  <w:vAlign w:val="center"/>
                </w:tcPr>
                <w:p w14:paraId="4980138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宿舍</w:t>
                  </w:r>
                </w:p>
              </w:tc>
              <w:tc>
                <w:tcPr>
                  <w:tcW w:w="3302" w:type="pct"/>
                  <w:tcBorders>
                    <w:tl2br w:val="nil"/>
                    <w:tr2bl w:val="nil"/>
                  </w:tcBorders>
                  <w:vAlign w:val="center"/>
                </w:tcPr>
                <w:p w14:paraId="76BA7005">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占地面积约300m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，位于厂区西侧</w:t>
                  </w:r>
                </w:p>
              </w:tc>
            </w:tr>
            <w:tr w14:paraId="24803FB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55" w:hRule="atLeast"/>
                <w:jc w:val="center"/>
              </w:trPr>
              <w:tc>
                <w:tcPr>
                  <w:tcW w:w="436" w:type="pct"/>
                  <w:vMerge w:val="restart"/>
                  <w:tcBorders>
                    <w:tl2br w:val="nil"/>
                    <w:tr2bl w:val="nil"/>
                  </w:tcBorders>
                  <w:vAlign w:val="center"/>
                </w:tcPr>
                <w:p w14:paraId="076CF3D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3</w:t>
                  </w:r>
                </w:p>
              </w:tc>
              <w:tc>
                <w:tcPr>
                  <w:tcW w:w="513" w:type="pct"/>
                  <w:vMerge w:val="restart"/>
                  <w:tcBorders>
                    <w:tl2br w:val="nil"/>
                    <w:tr2bl w:val="nil"/>
                  </w:tcBorders>
                  <w:vAlign w:val="center"/>
                </w:tcPr>
                <w:p w14:paraId="03D1C37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公用</w:t>
                  </w:r>
                </w:p>
                <w:p w14:paraId="44C3964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工程</w:t>
                  </w:r>
                </w:p>
              </w:tc>
              <w:tc>
                <w:tcPr>
                  <w:tcW w:w="748" w:type="pct"/>
                  <w:tcBorders>
                    <w:tl2br w:val="nil"/>
                    <w:tr2bl w:val="nil"/>
                  </w:tcBorders>
                  <w:vAlign w:val="center"/>
                </w:tcPr>
                <w:p w14:paraId="40BABB6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电力</w:t>
                  </w:r>
                </w:p>
              </w:tc>
              <w:tc>
                <w:tcPr>
                  <w:tcW w:w="3302" w:type="pct"/>
                  <w:tcBorders>
                    <w:tl2br w:val="nil"/>
                    <w:tr2bl w:val="nil"/>
                  </w:tcBorders>
                  <w:vAlign w:val="center"/>
                </w:tcPr>
                <w:p w14:paraId="0D5932F6">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总装机容量5000kW，供电来自园区35kV变电站，主变容量为16000kVA，园区已建工程用电为3500kVA</w:t>
                  </w:r>
                </w:p>
              </w:tc>
            </w:tr>
            <w:tr w14:paraId="1BB54B1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3" w:hRule="atLeast"/>
                <w:jc w:val="center"/>
              </w:trPr>
              <w:tc>
                <w:tcPr>
                  <w:tcW w:w="436" w:type="pct"/>
                  <w:vMerge w:val="continue"/>
                  <w:tcBorders>
                    <w:tl2br w:val="nil"/>
                    <w:tr2bl w:val="nil"/>
                  </w:tcBorders>
                  <w:vAlign w:val="center"/>
                </w:tcPr>
                <w:p w14:paraId="0A1321E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p>
              </w:tc>
              <w:tc>
                <w:tcPr>
                  <w:tcW w:w="513" w:type="pct"/>
                  <w:vMerge w:val="continue"/>
                  <w:tcBorders>
                    <w:tl2br w:val="nil"/>
                    <w:tr2bl w:val="nil"/>
                  </w:tcBorders>
                  <w:vAlign w:val="center"/>
                </w:tcPr>
                <w:p w14:paraId="0C0A0E5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p>
              </w:tc>
              <w:tc>
                <w:tcPr>
                  <w:tcW w:w="748" w:type="pct"/>
                  <w:tcBorders>
                    <w:tl2br w:val="nil"/>
                    <w:tr2bl w:val="nil"/>
                  </w:tcBorders>
                  <w:vAlign w:val="center"/>
                </w:tcPr>
                <w:p w14:paraId="7FB833E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供水</w:t>
                  </w:r>
                </w:p>
              </w:tc>
              <w:tc>
                <w:tcPr>
                  <w:tcW w:w="3302" w:type="pct"/>
                  <w:tcBorders>
                    <w:tl2br w:val="nil"/>
                    <w:tr2bl w:val="nil"/>
                  </w:tcBorders>
                  <w:vAlign w:val="center"/>
                </w:tcPr>
                <w:p w14:paraId="0C5317C3">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由市政管网供给</w:t>
                  </w:r>
                </w:p>
              </w:tc>
            </w:tr>
            <w:tr w14:paraId="6463561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3" w:hRule="atLeast"/>
                <w:jc w:val="center"/>
              </w:trPr>
              <w:tc>
                <w:tcPr>
                  <w:tcW w:w="436" w:type="pct"/>
                  <w:vMerge w:val="restart"/>
                  <w:tcBorders>
                    <w:tl2br w:val="nil"/>
                    <w:tr2bl w:val="nil"/>
                  </w:tcBorders>
                  <w:vAlign w:val="center"/>
                </w:tcPr>
                <w:p w14:paraId="0536582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4</w:t>
                  </w:r>
                </w:p>
              </w:tc>
              <w:tc>
                <w:tcPr>
                  <w:tcW w:w="513" w:type="pct"/>
                  <w:vMerge w:val="restart"/>
                  <w:tcBorders>
                    <w:tl2br w:val="nil"/>
                    <w:tr2bl w:val="nil"/>
                  </w:tcBorders>
                  <w:vAlign w:val="center"/>
                </w:tcPr>
                <w:p w14:paraId="2BD0956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环</w:t>
                  </w:r>
                </w:p>
                <w:p w14:paraId="7F26C47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保</w:t>
                  </w:r>
                </w:p>
                <w:p w14:paraId="36B4082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工</w:t>
                  </w:r>
                </w:p>
                <w:p w14:paraId="129BFF2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程</w:t>
                  </w:r>
                </w:p>
              </w:tc>
              <w:tc>
                <w:tcPr>
                  <w:tcW w:w="748" w:type="pct"/>
                  <w:tcBorders>
                    <w:tl2br w:val="nil"/>
                    <w:tr2bl w:val="nil"/>
                  </w:tcBorders>
                  <w:vAlign w:val="center"/>
                </w:tcPr>
                <w:p w14:paraId="2BF1CE7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废气</w:t>
                  </w:r>
                </w:p>
              </w:tc>
              <w:tc>
                <w:tcPr>
                  <w:tcW w:w="3302" w:type="pct"/>
                  <w:tcBorders>
                    <w:tl2br w:val="nil"/>
                    <w:tr2bl w:val="nil"/>
                  </w:tcBorders>
                  <w:vAlign w:val="center"/>
                </w:tcPr>
                <w:p w14:paraId="78B64E74">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现有项目16条生产线，共有5根排气筒。废气主要是感应加热炉使用电能加热产生的烟气，由抽烟罩吸附处理后通过15m排气筒排放。</w:t>
                  </w:r>
                </w:p>
              </w:tc>
            </w:tr>
            <w:tr w14:paraId="1A50A23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3" w:hRule="atLeast"/>
                <w:jc w:val="center"/>
              </w:trPr>
              <w:tc>
                <w:tcPr>
                  <w:tcW w:w="436" w:type="pct"/>
                  <w:vMerge w:val="continue"/>
                  <w:tcBorders>
                    <w:tl2br w:val="nil"/>
                    <w:tr2bl w:val="nil"/>
                  </w:tcBorders>
                  <w:vAlign w:val="center"/>
                </w:tcPr>
                <w:p w14:paraId="759B65B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p>
              </w:tc>
              <w:tc>
                <w:tcPr>
                  <w:tcW w:w="513" w:type="pct"/>
                  <w:vMerge w:val="continue"/>
                  <w:tcBorders>
                    <w:tl2br w:val="nil"/>
                    <w:tr2bl w:val="nil"/>
                  </w:tcBorders>
                  <w:vAlign w:val="center"/>
                </w:tcPr>
                <w:p w14:paraId="24332DB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p>
              </w:tc>
              <w:tc>
                <w:tcPr>
                  <w:tcW w:w="748" w:type="pct"/>
                  <w:tcBorders>
                    <w:tl2br w:val="nil"/>
                    <w:tr2bl w:val="nil"/>
                  </w:tcBorders>
                  <w:vAlign w:val="center"/>
                </w:tcPr>
                <w:p w14:paraId="068B9B2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固废</w:t>
                  </w:r>
                </w:p>
              </w:tc>
              <w:tc>
                <w:tcPr>
                  <w:tcW w:w="3302" w:type="pct"/>
                  <w:tcBorders>
                    <w:tl2br w:val="nil"/>
                    <w:tr2bl w:val="nil"/>
                  </w:tcBorders>
                  <w:vAlign w:val="center"/>
                </w:tcPr>
                <w:p w14:paraId="0975E493">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工业废物储存间、危废间、垃圾桶等</w:t>
                  </w:r>
                </w:p>
              </w:tc>
            </w:tr>
            <w:tr w14:paraId="082E5FE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3" w:hRule="atLeast"/>
                <w:jc w:val="center"/>
              </w:trPr>
              <w:tc>
                <w:tcPr>
                  <w:tcW w:w="436" w:type="pct"/>
                  <w:vMerge w:val="continue"/>
                  <w:tcBorders>
                    <w:tl2br w:val="nil"/>
                    <w:tr2bl w:val="nil"/>
                  </w:tcBorders>
                  <w:vAlign w:val="center"/>
                </w:tcPr>
                <w:p w14:paraId="60F9C42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p>
              </w:tc>
              <w:tc>
                <w:tcPr>
                  <w:tcW w:w="513" w:type="pct"/>
                  <w:vMerge w:val="continue"/>
                  <w:tcBorders>
                    <w:tl2br w:val="nil"/>
                    <w:tr2bl w:val="nil"/>
                  </w:tcBorders>
                  <w:vAlign w:val="center"/>
                </w:tcPr>
                <w:p w14:paraId="4988D94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p>
              </w:tc>
              <w:tc>
                <w:tcPr>
                  <w:tcW w:w="748" w:type="pct"/>
                  <w:tcBorders>
                    <w:tl2br w:val="nil"/>
                    <w:tr2bl w:val="nil"/>
                  </w:tcBorders>
                  <w:vAlign w:val="center"/>
                </w:tcPr>
                <w:p w14:paraId="1523DB3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噪声</w:t>
                  </w:r>
                </w:p>
              </w:tc>
              <w:tc>
                <w:tcPr>
                  <w:tcW w:w="3302" w:type="pct"/>
                  <w:tcBorders>
                    <w:tl2br w:val="nil"/>
                    <w:tr2bl w:val="nil"/>
                  </w:tcBorders>
                  <w:vAlign w:val="center"/>
                </w:tcPr>
                <w:p w14:paraId="54B80803">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隔音、减振措施</w:t>
                  </w:r>
                </w:p>
              </w:tc>
            </w:tr>
            <w:tr w14:paraId="4225C6F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3" w:hRule="atLeast"/>
                <w:jc w:val="center"/>
              </w:trPr>
              <w:tc>
                <w:tcPr>
                  <w:tcW w:w="436" w:type="pct"/>
                  <w:vMerge w:val="continue"/>
                  <w:tcBorders>
                    <w:tl2br w:val="nil"/>
                    <w:tr2bl w:val="nil"/>
                  </w:tcBorders>
                  <w:vAlign w:val="center"/>
                </w:tcPr>
                <w:p w14:paraId="605E0DE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p>
              </w:tc>
              <w:tc>
                <w:tcPr>
                  <w:tcW w:w="513" w:type="pct"/>
                  <w:vMerge w:val="continue"/>
                  <w:tcBorders>
                    <w:tl2br w:val="nil"/>
                    <w:tr2bl w:val="nil"/>
                  </w:tcBorders>
                  <w:vAlign w:val="center"/>
                </w:tcPr>
                <w:p w14:paraId="2E487C3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p>
              </w:tc>
              <w:tc>
                <w:tcPr>
                  <w:tcW w:w="748" w:type="pct"/>
                  <w:tcBorders>
                    <w:tl2br w:val="nil"/>
                    <w:tr2bl w:val="nil"/>
                  </w:tcBorders>
                  <w:vAlign w:val="center"/>
                </w:tcPr>
                <w:p w14:paraId="49C614F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生活污水</w:t>
                  </w:r>
                </w:p>
              </w:tc>
              <w:tc>
                <w:tcPr>
                  <w:tcW w:w="3302" w:type="pct"/>
                  <w:tcBorders>
                    <w:tl2br w:val="nil"/>
                    <w:tr2bl w:val="nil"/>
                  </w:tcBorders>
                  <w:vAlign w:val="center"/>
                </w:tcPr>
                <w:p w14:paraId="1936019E">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color w:val="auto"/>
                      <w:szCs w:val="21"/>
                    </w:rPr>
                  </w:pPr>
                  <w:r>
                    <w:rPr>
                      <w:rFonts w:hint="default" w:ascii="Times New Roman" w:hAnsi="Times New Roman" w:cs="Times New Roman"/>
                      <w:color w:val="auto"/>
                      <w:sz w:val="21"/>
                      <w:szCs w:val="21"/>
                    </w:rPr>
                    <w:t>生活污水经化粪池处理后暂存于企业原污水处理设施（现已停用）</w:t>
                  </w:r>
                </w:p>
              </w:tc>
            </w:tr>
            <w:tr w14:paraId="1135FEC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29" w:hRule="atLeast"/>
                <w:jc w:val="center"/>
              </w:trPr>
              <w:tc>
                <w:tcPr>
                  <w:tcW w:w="436" w:type="pct"/>
                  <w:vMerge w:val="continue"/>
                  <w:tcBorders>
                    <w:tl2br w:val="nil"/>
                    <w:tr2bl w:val="nil"/>
                  </w:tcBorders>
                  <w:vAlign w:val="center"/>
                </w:tcPr>
                <w:p w14:paraId="74354D4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p>
              </w:tc>
              <w:tc>
                <w:tcPr>
                  <w:tcW w:w="513" w:type="pct"/>
                  <w:vMerge w:val="continue"/>
                  <w:tcBorders>
                    <w:tl2br w:val="nil"/>
                    <w:tr2bl w:val="nil"/>
                  </w:tcBorders>
                  <w:vAlign w:val="center"/>
                </w:tcPr>
                <w:p w14:paraId="23B3DCD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p>
              </w:tc>
              <w:tc>
                <w:tcPr>
                  <w:tcW w:w="748" w:type="pct"/>
                  <w:tcBorders>
                    <w:tl2br w:val="nil"/>
                    <w:tr2bl w:val="nil"/>
                  </w:tcBorders>
                  <w:vAlign w:val="center"/>
                </w:tcPr>
                <w:p w14:paraId="7185D5E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生产废水</w:t>
                  </w:r>
                </w:p>
              </w:tc>
              <w:tc>
                <w:tcPr>
                  <w:tcW w:w="3302" w:type="pct"/>
                  <w:tcBorders>
                    <w:tl2br w:val="nil"/>
                    <w:tr2bl w:val="nil"/>
                  </w:tcBorders>
                  <w:vAlign w:val="center"/>
                </w:tcPr>
                <w:p w14:paraId="3A609F8C">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感应加热炉用冷却水循环系统循环水量1600m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/h，回水水温升高。回水余压上冷却塔冷却降温后回到循环水泵房吸水井，再用加压泵送至车间循环使用</w:t>
                  </w:r>
                  <w:r>
                    <w:rPr>
                      <w:rFonts w:hint="default" w:ascii="Times New Roman" w:hAnsi="Times New Roman" w:cs="Times New Roman"/>
                      <w:color w:val="auto"/>
                    </w:rPr>
                    <w:t>。</w:t>
                  </w:r>
                </w:p>
              </w:tc>
            </w:tr>
          </w:tbl>
          <w:p w14:paraId="1851703D">
            <w:pPr>
              <w:pStyle w:val="30"/>
              <w:keepNext w:val="0"/>
              <w:keepLines w:val="0"/>
              <w:pageBreakBefore w:val="0"/>
              <w:widowControl/>
              <w:kinsoku/>
              <w:wordWrap/>
              <w:overflowPunct/>
              <w:topLinePunct w:val="0"/>
              <w:autoSpaceDE/>
              <w:autoSpaceDN/>
              <w:bidi w:val="0"/>
              <w:adjustRightInd w:val="0"/>
              <w:snapToGrid w:val="0"/>
              <w:spacing w:before="190" w:beforeLines="50" w:beforeAutospacing="0" w:after="0" w:afterAutospacing="0" w:line="360" w:lineRule="auto"/>
              <w:ind w:firstLine="496" w:firstLineChars="200"/>
              <w:jc w:val="both"/>
              <w:textAlignment w:val="auto"/>
              <w:rPr>
                <w:rFonts w:hint="default" w:ascii="Times New Roman" w:hAnsi="Times New Roman" w:cs="Times New Roman"/>
                <w:color w:val="auto"/>
                <w:spacing w:val="4"/>
                <w:szCs w:val="24"/>
              </w:rPr>
            </w:pPr>
            <w:r>
              <w:rPr>
                <w:rFonts w:hint="default" w:ascii="Times New Roman" w:hAnsi="Times New Roman" w:cs="Times New Roman"/>
                <w:color w:val="auto"/>
                <w:spacing w:val="4"/>
                <w:szCs w:val="24"/>
              </w:rPr>
              <w:t>（2）已建投产</w:t>
            </w:r>
            <w:r>
              <w:rPr>
                <w:rFonts w:hint="default" w:ascii="Times New Roman" w:hAnsi="Times New Roman" w:cs="Times New Roman"/>
                <w:color w:val="auto"/>
                <w:szCs w:val="24"/>
              </w:rPr>
              <w:t>工程</w:t>
            </w:r>
            <w:r>
              <w:rPr>
                <w:rFonts w:hint="default" w:ascii="Times New Roman" w:hAnsi="Times New Roman" w:cs="Times New Roman"/>
                <w:color w:val="auto"/>
                <w:spacing w:val="4"/>
                <w:szCs w:val="24"/>
              </w:rPr>
              <w:t>污染物排放情况</w:t>
            </w:r>
          </w:p>
          <w:p w14:paraId="6F302AB8">
            <w:pPr>
              <w:pStyle w:val="41"/>
              <w:adjustRightInd w:val="0"/>
              <w:snapToGrid w:val="0"/>
              <w:spacing w:before="0" w:beforeAutospacing="0" w:after="0" w:afterAutospacing="0"/>
              <w:ind w:firstLine="480"/>
              <w:rPr>
                <w:rFonts w:hint="default" w:ascii="Times New Roman" w:hAnsi="Times New Roman" w:cs="Times New Roman"/>
                <w:color w:val="auto"/>
                <w:szCs w:val="24"/>
              </w:rPr>
            </w:pPr>
            <w:r>
              <w:rPr>
                <w:rFonts w:hint="default" w:ascii="Times New Roman" w:hAnsi="Times New Roman" w:cs="Times New Roman"/>
                <w:color w:val="auto"/>
                <w:szCs w:val="24"/>
              </w:rPr>
              <w:t>福建省明光新型材料有限公司现有</w:t>
            </w:r>
            <w:r>
              <w:rPr>
                <w:rFonts w:hint="default" w:ascii="Times New Roman" w:hAnsi="Times New Roman" w:cs="Times New Roman"/>
                <w:color w:val="auto"/>
                <w:spacing w:val="4"/>
                <w:szCs w:val="24"/>
              </w:rPr>
              <w:t>已建投产</w:t>
            </w:r>
            <w:r>
              <w:rPr>
                <w:rFonts w:hint="default" w:ascii="Times New Roman" w:hAnsi="Times New Roman" w:cs="Times New Roman"/>
                <w:color w:val="auto"/>
                <w:szCs w:val="24"/>
              </w:rPr>
              <w:t>工程为PC钢棒生产项目，共四期，全厂有16条生产线，PC钢棒产量达24万吨/年。</w:t>
            </w:r>
          </w:p>
          <w:p w14:paraId="56D96B9A">
            <w:pPr>
              <w:pStyle w:val="41"/>
              <w:adjustRightInd w:val="0"/>
              <w:snapToGrid w:val="0"/>
              <w:spacing w:before="0" w:beforeAutospacing="0" w:after="0" w:afterAutospacing="0"/>
              <w:ind w:firstLine="480"/>
              <w:rPr>
                <w:rFonts w:hint="default" w:ascii="Times New Roman" w:hAnsi="Times New Roman" w:cs="Times New Roman"/>
                <w:color w:val="auto"/>
                <w:szCs w:val="24"/>
              </w:rPr>
            </w:pPr>
            <w:r>
              <w:rPr>
                <w:rFonts w:hint="default" w:ascii="Times New Roman" w:hAnsi="Times New Roman" w:cs="Times New Roman"/>
                <w:color w:val="auto"/>
                <w:szCs w:val="24"/>
              </w:rPr>
              <w:t>现有工程污染物排放情况如下：</w:t>
            </w:r>
          </w:p>
          <w:p w14:paraId="73813F19">
            <w:pPr>
              <w:pStyle w:val="41"/>
              <w:adjustRightInd w:val="0"/>
              <w:snapToGrid w:val="0"/>
              <w:spacing w:before="0" w:beforeAutospacing="0" w:after="0" w:afterAutospacing="0"/>
              <w:ind w:firstLine="480"/>
              <w:rPr>
                <w:rFonts w:hint="default" w:ascii="Times New Roman" w:hAnsi="Times New Roman" w:cs="Times New Roman"/>
                <w:color w:val="auto"/>
                <w:szCs w:val="24"/>
              </w:rPr>
            </w:pPr>
            <w:r>
              <w:rPr>
                <w:rFonts w:hint="default" w:ascii="Times New Roman" w:hAnsi="Times New Roman" w:cs="Times New Roman"/>
                <w:color w:val="auto"/>
                <w:szCs w:val="24"/>
              </w:rPr>
              <w:t>①废水</w:t>
            </w:r>
          </w:p>
          <w:p w14:paraId="3E1ED582">
            <w:pPr>
              <w:adjustRightInd w:val="0"/>
              <w:snapToGrid w:val="0"/>
              <w:spacing w:line="360" w:lineRule="auto"/>
              <w:ind w:firstLine="480" w:firstLineChars="200"/>
              <w:rPr>
                <w:rFonts w:hint="default" w:ascii="Times New Roman" w:hAnsi="Times New Roman" w:cs="Times New Roman"/>
                <w:color w:val="auto"/>
                <w:kern w:val="0"/>
                <w:sz w:val="24"/>
                <w:highlight w:val="yellow"/>
              </w:rPr>
            </w:pPr>
            <w:r>
              <w:rPr>
                <w:rFonts w:hint="default" w:ascii="Times New Roman" w:hAnsi="Times New Roman" w:cs="Times New Roman"/>
                <w:color w:val="auto"/>
                <w:kern w:val="0"/>
                <w:sz w:val="24"/>
              </w:rPr>
              <w:t>PC钢棒生产线项目生产废水循环使用，不外排，该项目排放废水主要为职工的生活污水。企业原有工程地埋式生化处理装置已停用，现有化粪池总容积20m</w:t>
            </w:r>
            <w:r>
              <w:rPr>
                <w:rFonts w:hint="default" w:ascii="Times New Roman" w:hAnsi="Times New Roman" w:cs="Times New Roman"/>
                <w:color w:val="auto"/>
                <w:kern w:val="0"/>
                <w:sz w:val="24"/>
                <w:vertAlign w:val="superscript"/>
              </w:rPr>
              <w:t>3</w:t>
            </w:r>
            <w:r>
              <w:rPr>
                <w:rFonts w:hint="default" w:ascii="Times New Roman" w:hAnsi="Times New Roman" w:cs="Times New Roman"/>
                <w:color w:val="auto"/>
                <w:kern w:val="0"/>
                <w:sz w:val="24"/>
              </w:rPr>
              <w:t>，现有工程生活污水采用三级化粪池处理达到《污水综合排放标准》（GB8978-1996）表4中三级标准，其中氨氮参照执行《污水排入城镇下水道水质标准》（GB/T 31962-2015表1中B等级标准）后，暂存于企业原污水处理设施（现已停用），待生活污水管道改造完成后，</w:t>
            </w:r>
            <w:r>
              <w:rPr>
                <w:rFonts w:hint="default" w:ascii="Times New Roman" w:hAnsi="Times New Roman" w:cs="Times New Roman"/>
                <w:color w:val="auto"/>
                <w:kern w:val="0"/>
                <w:sz w:val="24"/>
                <w:highlight w:val="none"/>
              </w:rPr>
              <w:t>接入沙县金古北片区污水处理厂。</w:t>
            </w:r>
          </w:p>
          <w:p w14:paraId="3E750DD9">
            <w:pPr>
              <w:pStyle w:val="41"/>
              <w:adjustRightInd w:val="0"/>
              <w:snapToGrid w:val="0"/>
              <w:spacing w:before="0" w:beforeAutospacing="0" w:after="0" w:afterAutospacing="0"/>
              <w:ind w:firstLine="480"/>
              <w:rPr>
                <w:rFonts w:hint="default" w:ascii="Times New Roman" w:hAnsi="Times New Roman" w:cs="Times New Roman"/>
                <w:color w:val="auto"/>
                <w:szCs w:val="24"/>
              </w:rPr>
            </w:pPr>
            <w:r>
              <w:rPr>
                <w:rFonts w:hint="default" w:ascii="Times New Roman" w:hAnsi="Times New Roman" w:cs="Times New Roman"/>
                <w:color w:val="auto"/>
                <w:szCs w:val="24"/>
              </w:rPr>
              <w:t>②废气</w:t>
            </w:r>
          </w:p>
          <w:p w14:paraId="0A30EA7B">
            <w:pPr>
              <w:pStyle w:val="2"/>
              <w:ind w:firstLine="480"/>
              <w:rPr>
                <w:rFonts w:hint="default" w:ascii="Times New Roman" w:hAnsi="Times New Roman" w:cs="Times New Roman"/>
                <w:color w:val="auto"/>
                <w:spacing w:val="4"/>
                <w:kern w:val="0"/>
                <w:sz w:val="24"/>
              </w:rPr>
            </w:pPr>
            <w:r>
              <w:rPr>
                <w:rFonts w:hint="default" w:ascii="Times New Roman" w:hAnsi="Times New Roman" w:cs="Times New Roman"/>
                <w:color w:val="auto"/>
                <w:sz w:val="24"/>
              </w:rPr>
              <w:t>现有项目16条PC钢棒生产线，共有5根排气筒。废气主要是感应加热炉使用电能加热产生的烟气，由</w:t>
            </w:r>
            <w:r>
              <w:rPr>
                <w:rFonts w:hint="default" w:ascii="Times New Roman" w:hAnsi="Times New Roman" w:cs="Times New Roman"/>
                <w:color w:val="auto"/>
                <w:sz w:val="24"/>
                <w:highlight w:val="none"/>
              </w:rPr>
              <w:t>抽烟罩吸附处理后通过15m排气筒排放。</w:t>
            </w:r>
            <w:r>
              <w:rPr>
                <w:rFonts w:hint="default" w:ascii="Times New Roman" w:hAnsi="Times New Roman" w:cs="Times New Roman"/>
                <w:color w:val="auto"/>
                <w:spacing w:val="4"/>
                <w:kern w:val="0"/>
                <w:sz w:val="24"/>
              </w:rPr>
              <w:t>根据公司2025年11月自行监测报告（</w:t>
            </w:r>
            <w:r>
              <w:rPr>
                <w:rFonts w:hint="default" w:ascii="Times New Roman" w:hAnsi="Times New Roman" w:cs="Times New Roman"/>
                <w:color w:val="auto"/>
                <w:spacing w:val="4"/>
                <w:kern w:val="0"/>
                <w:sz w:val="24"/>
                <w:highlight w:val="none"/>
              </w:rPr>
              <w:t>附件</w:t>
            </w:r>
            <w:r>
              <w:rPr>
                <w:rFonts w:hint="default" w:ascii="Times New Roman" w:hAnsi="Times New Roman" w:cs="Times New Roman"/>
                <w:color w:val="auto"/>
                <w:spacing w:val="4"/>
                <w:kern w:val="0"/>
                <w:sz w:val="24"/>
                <w:highlight w:val="none"/>
                <w:lang w:val="en-US" w:eastAsia="zh-CN"/>
              </w:rPr>
              <w:t>八</w:t>
            </w:r>
            <w:r>
              <w:rPr>
                <w:rFonts w:hint="default" w:ascii="Times New Roman" w:hAnsi="Times New Roman" w:cs="Times New Roman"/>
                <w:color w:val="auto"/>
                <w:spacing w:val="4"/>
                <w:kern w:val="0"/>
                <w:sz w:val="24"/>
              </w:rPr>
              <w:t>），现有工程有组织废气和无组织废气排放情况见表2.4-3和2.4-4。</w:t>
            </w:r>
          </w:p>
          <w:p w14:paraId="0131FA1E">
            <w:pPr>
              <w:pStyle w:val="129"/>
              <w:keepNext w:val="0"/>
              <w:keepLines w:val="0"/>
              <w:pageBreakBefore w:val="0"/>
              <w:widowControl w:val="0"/>
              <w:kinsoku/>
              <w:wordWrap/>
              <w:overflowPunct/>
              <w:topLinePunct w:val="0"/>
              <w:autoSpaceDE/>
              <w:autoSpaceDN/>
              <w:bidi w:val="0"/>
              <w:adjustRightInd/>
              <w:snapToGrid w:val="0"/>
              <w:spacing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 xml:space="preserve">表2.4-3 </w:t>
            </w:r>
            <w:r>
              <w:rPr>
                <w:rFonts w:hint="eastAsia" w:eastAsia="黑体" w:cs="Times New Roman"/>
                <w:b w:val="0"/>
                <w:bCs/>
                <w:color w:val="auto"/>
                <w:lang w:val="en-US" w:eastAsia="zh-CN"/>
              </w:rPr>
              <w:t xml:space="preserve"> </w:t>
            </w:r>
            <w:r>
              <w:rPr>
                <w:rFonts w:hint="default" w:ascii="Times New Roman" w:hAnsi="Times New Roman" w:eastAsia="黑体" w:cs="Times New Roman"/>
                <w:b w:val="0"/>
                <w:bCs/>
                <w:color w:val="auto"/>
              </w:rPr>
              <w:t>有组织废气排放情况</w:t>
            </w:r>
          </w:p>
          <w:tbl>
            <w:tblPr>
              <w:tblStyle w:val="34"/>
              <w:tblW w:w="8642" w:type="dxa"/>
              <w:tblInd w:w="0" w:type="dxa"/>
              <w:tblLayout w:type="autofit"/>
              <w:tblCellMar>
                <w:top w:w="0" w:type="dxa"/>
                <w:left w:w="108" w:type="dxa"/>
                <w:bottom w:w="0" w:type="dxa"/>
                <w:right w:w="108" w:type="dxa"/>
              </w:tblCellMar>
            </w:tblPr>
            <w:tblGrid>
              <w:gridCol w:w="1025"/>
              <w:gridCol w:w="1340"/>
              <w:gridCol w:w="854"/>
              <w:gridCol w:w="1160"/>
              <w:gridCol w:w="1162"/>
              <w:gridCol w:w="1162"/>
              <w:gridCol w:w="1169"/>
              <w:gridCol w:w="770"/>
            </w:tblGrid>
            <w:tr w14:paraId="41735DA3">
              <w:tblPrEx>
                <w:tblCellMar>
                  <w:top w:w="0" w:type="dxa"/>
                  <w:left w:w="108" w:type="dxa"/>
                  <w:bottom w:w="0" w:type="dxa"/>
                  <w:right w:w="108" w:type="dxa"/>
                </w:tblCellMar>
              </w:tblPrEx>
              <w:trPr>
                <w:trHeight w:val="363" w:hRule="atLeast"/>
              </w:trPr>
              <w:tc>
                <w:tcPr>
                  <w:tcW w:w="59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FDA3D8F">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采样点</w:t>
                  </w:r>
                </w:p>
              </w:tc>
              <w:tc>
                <w:tcPr>
                  <w:tcW w:w="77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750B77E">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检测项目</w:t>
                  </w:r>
                </w:p>
              </w:tc>
              <w:tc>
                <w:tcPr>
                  <w:tcW w:w="49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6F44299">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单位</w:t>
                  </w:r>
                </w:p>
              </w:tc>
              <w:tc>
                <w:tcPr>
                  <w:tcW w:w="2691"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2736D22">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检测结果</w:t>
                  </w:r>
                </w:p>
              </w:tc>
              <w:tc>
                <w:tcPr>
                  <w:tcW w:w="44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2FC89FB">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排放</w:t>
                  </w:r>
                  <w:r>
                    <w:rPr>
                      <w:rFonts w:hint="default" w:ascii="Times New Roman" w:hAnsi="Times New Roman" w:cs="Times New Roman"/>
                      <w:color w:val="auto"/>
                      <w:kern w:val="0"/>
                      <w:szCs w:val="21"/>
                      <w:lang w:bidi="ar"/>
                    </w:rPr>
                    <w:br w:type="textWrapping"/>
                  </w:r>
                  <w:r>
                    <w:rPr>
                      <w:rFonts w:hint="default" w:ascii="Times New Roman" w:hAnsi="Times New Roman" w:cs="Times New Roman"/>
                      <w:color w:val="auto"/>
                      <w:kern w:val="0"/>
                      <w:szCs w:val="21"/>
                      <w:lang w:bidi="ar"/>
                    </w:rPr>
                    <w:t>限值</w:t>
                  </w:r>
                </w:p>
              </w:tc>
            </w:tr>
            <w:tr w14:paraId="59645286">
              <w:tblPrEx>
                <w:tblCellMar>
                  <w:top w:w="0" w:type="dxa"/>
                  <w:left w:w="108" w:type="dxa"/>
                  <w:bottom w:w="0" w:type="dxa"/>
                  <w:right w:w="108" w:type="dxa"/>
                </w:tblCellMar>
              </w:tblPrEx>
              <w:trPr>
                <w:trHeight w:val="363" w:hRule="atLeast"/>
              </w:trPr>
              <w:tc>
                <w:tcPr>
                  <w:tcW w:w="59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8785A6">
                  <w:pPr>
                    <w:adjustRightInd w:val="0"/>
                    <w:snapToGrid w:val="0"/>
                    <w:jc w:val="center"/>
                    <w:rPr>
                      <w:rFonts w:hint="default" w:ascii="Times New Roman" w:hAnsi="Times New Roman" w:cs="Times New Roman"/>
                      <w:color w:val="auto"/>
                      <w:szCs w:val="21"/>
                    </w:rPr>
                  </w:pPr>
                </w:p>
              </w:tc>
              <w:tc>
                <w:tcPr>
                  <w:tcW w:w="77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5E26BF">
                  <w:pPr>
                    <w:adjustRightInd w:val="0"/>
                    <w:snapToGrid w:val="0"/>
                    <w:jc w:val="center"/>
                    <w:rPr>
                      <w:rFonts w:hint="default" w:ascii="Times New Roman" w:hAnsi="Times New Roman" w:cs="Times New Roman"/>
                      <w:color w:val="auto"/>
                      <w:szCs w:val="21"/>
                    </w:rPr>
                  </w:pPr>
                </w:p>
              </w:tc>
              <w:tc>
                <w:tcPr>
                  <w:tcW w:w="4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6F4F32">
                  <w:pPr>
                    <w:adjustRightInd w:val="0"/>
                    <w:snapToGrid w:val="0"/>
                    <w:jc w:val="center"/>
                    <w:rPr>
                      <w:rFonts w:hint="default" w:ascii="Times New Roman" w:hAnsi="Times New Roman" w:cs="Times New Roman"/>
                      <w:color w:val="auto"/>
                      <w:szCs w:val="21"/>
                    </w:rPr>
                  </w:pPr>
                </w:p>
              </w:tc>
              <w:tc>
                <w:tcPr>
                  <w:tcW w:w="6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3E8255">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D1FD19">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2</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115DF9">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B140A9">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平均值</w:t>
                  </w:r>
                </w:p>
              </w:tc>
              <w:tc>
                <w:tcPr>
                  <w:tcW w:w="44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389A88">
                  <w:pPr>
                    <w:adjustRightInd w:val="0"/>
                    <w:snapToGrid w:val="0"/>
                    <w:jc w:val="center"/>
                    <w:rPr>
                      <w:rFonts w:hint="default" w:ascii="Times New Roman" w:hAnsi="Times New Roman" w:cs="Times New Roman"/>
                      <w:color w:val="auto"/>
                      <w:szCs w:val="21"/>
                    </w:rPr>
                  </w:pPr>
                </w:p>
              </w:tc>
            </w:tr>
            <w:tr w14:paraId="042B757D">
              <w:tblPrEx>
                <w:tblCellMar>
                  <w:top w:w="0" w:type="dxa"/>
                  <w:left w:w="108" w:type="dxa"/>
                  <w:bottom w:w="0" w:type="dxa"/>
                  <w:right w:w="108" w:type="dxa"/>
                </w:tblCellMar>
              </w:tblPrEx>
              <w:trPr>
                <w:trHeight w:val="363" w:hRule="atLeast"/>
              </w:trPr>
              <w:tc>
                <w:tcPr>
                  <w:tcW w:w="59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2E959C2">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1-2#线感应加热废气排放口DA001</w:t>
                  </w: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7D0A07">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标干流量</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AE3A82">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m³/h</w:t>
                  </w:r>
                </w:p>
              </w:tc>
              <w:tc>
                <w:tcPr>
                  <w:tcW w:w="6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3A8D24">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4.37×10³</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B85669">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4.53×10³</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4B0E82">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4.48×10³</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436FFD">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4.46×10³</w:t>
                  </w: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F63AFE">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w:t>
                  </w:r>
                </w:p>
              </w:tc>
            </w:tr>
            <w:tr w14:paraId="1073279B">
              <w:tblPrEx>
                <w:tblCellMar>
                  <w:top w:w="0" w:type="dxa"/>
                  <w:left w:w="108" w:type="dxa"/>
                  <w:bottom w:w="0" w:type="dxa"/>
                  <w:right w:w="108" w:type="dxa"/>
                </w:tblCellMar>
              </w:tblPrEx>
              <w:trPr>
                <w:trHeight w:val="363" w:hRule="atLeast"/>
              </w:trPr>
              <w:tc>
                <w:tcPr>
                  <w:tcW w:w="59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94F36F">
                  <w:pPr>
                    <w:adjustRightInd w:val="0"/>
                    <w:snapToGrid w:val="0"/>
                    <w:jc w:val="center"/>
                    <w:rPr>
                      <w:rFonts w:hint="default" w:ascii="Times New Roman" w:hAnsi="Times New Roman" w:cs="Times New Roman"/>
                      <w:color w:val="auto"/>
                      <w:szCs w:val="21"/>
                    </w:rPr>
                  </w:pP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4DB647">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颗粒物浓度</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586177">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mg/m³</w:t>
                  </w:r>
                </w:p>
              </w:tc>
              <w:tc>
                <w:tcPr>
                  <w:tcW w:w="6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5A9077">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7.4</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2066AD">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8.5</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51E07F">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8.9</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16DD10">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8.27</w:t>
                  </w: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CAB1E5">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30</w:t>
                  </w:r>
                </w:p>
              </w:tc>
            </w:tr>
            <w:tr w14:paraId="54F2B948">
              <w:tblPrEx>
                <w:tblCellMar>
                  <w:top w:w="0" w:type="dxa"/>
                  <w:left w:w="108" w:type="dxa"/>
                  <w:bottom w:w="0" w:type="dxa"/>
                  <w:right w:w="108" w:type="dxa"/>
                </w:tblCellMar>
              </w:tblPrEx>
              <w:trPr>
                <w:trHeight w:val="363" w:hRule="atLeast"/>
              </w:trPr>
              <w:tc>
                <w:tcPr>
                  <w:tcW w:w="59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73AE0B">
                  <w:pPr>
                    <w:adjustRightInd w:val="0"/>
                    <w:snapToGrid w:val="0"/>
                    <w:jc w:val="center"/>
                    <w:rPr>
                      <w:rFonts w:hint="default" w:ascii="Times New Roman" w:hAnsi="Times New Roman" w:cs="Times New Roman"/>
                      <w:color w:val="auto"/>
                      <w:szCs w:val="21"/>
                    </w:rPr>
                  </w:pP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EACD46">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颗粒物排放速率</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C35245">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kg/h</w:t>
                  </w:r>
                </w:p>
              </w:tc>
              <w:tc>
                <w:tcPr>
                  <w:tcW w:w="6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1D39C8">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0.032</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07D21A">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0.039</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383546">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0.040</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F04FDA">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0.037</w:t>
                  </w: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CEE08E">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w:t>
                  </w:r>
                </w:p>
              </w:tc>
            </w:tr>
            <w:tr w14:paraId="24DA6F91">
              <w:tblPrEx>
                <w:tblCellMar>
                  <w:top w:w="0" w:type="dxa"/>
                  <w:left w:w="108" w:type="dxa"/>
                  <w:bottom w:w="0" w:type="dxa"/>
                  <w:right w:w="108" w:type="dxa"/>
                </w:tblCellMar>
              </w:tblPrEx>
              <w:trPr>
                <w:trHeight w:val="363" w:hRule="atLeast"/>
              </w:trPr>
              <w:tc>
                <w:tcPr>
                  <w:tcW w:w="59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E877E21">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3-4#线感应加热废气排放口</w:t>
                  </w:r>
                  <w:r>
                    <w:rPr>
                      <w:rFonts w:hint="default" w:ascii="Times New Roman" w:hAnsi="Times New Roman" w:cs="Times New Roman"/>
                      <w:color w:val="auto"/>
                      <w:kern w:val="0"/>
                      <w:szCs w:val="21"/>
                      <w:lang w:bidi="ar"/>
                    </w:rPr>
                    <w:br w:type="textWrapping"/>
                  </w:r>
                  <w:r>
                    <w:rPr>
                      <w:rFonts w:hint="default" w:ascii="Times New Roman" w:hAnsi="Times New Roman" w:cs="Times New Roman"/>
                      <w:color w:val="auto"/>
                      <w:kern w:val="0"/>
                      <w:szCs w:val="21"/>
                      <w:lang w:bidi="ar"/>
                    </w:rPr>
                    <w:t>DA002</w:t>
                  </w: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E05B35">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标干流量</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3FC9A9">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m³/h</w:t>
                  </w:r>
                </w:p>
              </w:tc>
              <w:tc>
                <w:tcPr>
                  <w:tcW w:w="6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A14DEA">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3.36×10³</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A0C7D4">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3.96×10³</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7330DE">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3.91×10³</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44AA71">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3.74×10³</w:t>
                  </w: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40AB60">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w:t>
                  </w:r>
                </w:p>
              </w:tc>
            </w:tr>
            <w:tr w14:paraId="2D989162">
              <w:tblPrEx>
                <w:tblCellMar>
                  <w:top w:w="0" w:type="dxa"/>
                  <w:left w:w="108" w:type="dxa"/>
                  <w:bottom w:w="0" w:type="dxa"/>
                  <w:right w:w="108" w:type="dxa"/>
                </w:tblCellMar>
              </w:tblPrEx>
              <w:trPr>
                <w:trHeight w:val="363" w:hRule="atLeast"/>
              </w:trPr>
              <w:tc>
                <w:tcPr>
                  <w:tcW w:w="59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9F26B3">
                  <w:pPr>
                    <w:adjustRightInd w:val="0"/>
                    <w:snapToGrid w:val="0"/>
                    <w:jc w:val="center"/>
                    <w:rPr>
                      <w:rFonts w:hint="default" w:ascii="Times New Roman" w:hAnsi="Times New Roman" w:cs="Times New Roman"/>
                      <w:color w:val="auto"/>
                      <w:szCs w:val="21"/>
                    </w:rPr>
                  </w:pP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B55DD4">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颗粒物浓度</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25A606">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mg/m³</w:t>
                  </w:r>
                </w:p>
              </w:tc>
              <w:tc>
                <w:tcPr>
                  <w:tcW w:w="6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051AFC">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14.5</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7D7632">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11.6</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44DF16">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10.7</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EFA79B">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12.27</w:t>
                  </w: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B183CD">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30</w:t>
                  </w:r>
                </w:p>
              </w:tc>
            </w:tr>
            <w:tr w14:paraId="253FA7A2">
              <w:tblPrEx>
                <w:tblCellMar>
                  <w:top w:w="0" w:type="dxa"/>
                  <w:left w:w="108" w:type="dxa"/>
                  <w:bottom w:w="0" w:type="dxa"/>
                  <w:right w:w="108" w:type="dxa"/>
                </w:tblCellMar>
              </w:tblPrEx>
              <w:trPr>
                <w:trHeight w:val="363" w:hRule="atLeast"/>
              </w:trPr>
              <w:tc>
                <w:tcPr>
                  <w:tcW w:w="59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445498">
                  <w:pPr>
                    <w:adjustRightInd w:val="0"/>
                    <w:snapToGrid w:val="0"/>
                    <w:jc w:val="center"/>
                    <w:rPr>
                      <w:rFonts w:hint="default" w:ascii="Times New Roman" w:hAnsi="Times New Roman" w:cs="Times New Roman"/>
                      <w:color w:val="auto"/>
                      <w:szCs w:val="21"/>
                    </w:rPr>
                  </w:pP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72953E">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颗粒物排放速率</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B75A75">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kg/h</w:t>
                  </w:r>
                </w:p>
              </w:tc>
              <w:tc>
                <w:tcPr>
                  <w:tcW w:w="6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BD9A30">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0.049</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ADBDB1">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0.046</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3DC32A">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0.042</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948631">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0.046</w:t>
                  </w: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498D68">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w:t>
                  </w:r>
                </w:p>
              </w:tc>
            </w:tr>
            <w:tr w14:paraId="5FE26782">
              <w:tblPrEx>
                <w:tblCellMar>
                  <w:top w:w="0" w:type="dxa"/>
                  <w:left w:w="108" w:type="dxa"/>
                  <w:bottom w:w="0" w:type="dxa"/>
                  <w:right w:w="108" w:type="dxa"/>
                </w:tblCellMar>
              </w:tblPrEx>
              <w:trPr>
                <w:trHeight w:val="363" w:hRule="atLeast"/>
              </w:trPr>
              <w:tc>
                <w:tcPr>
                  <w:tcW w:w="59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949D6EC">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5-8#线感应加热废气排放口</w:t>
                  </w:r>
                  <w:r>
                    <w:rPr>
                      <w:rFonts w:hint="default" w:ascii="Times New Roman" w:hAnsi="Times New Roman" w:cs="Times New Roman"/>
                      <w:color w:val="auto"/>
                      <w:kern w:val="0"/>
                      <w:szCs w:val="21"/>
                      <w:lang w:bidi="ar"/>
                    </w:rPr>
                    <w:br w:type="textWrapping"/>
                  </w:r>
                  <w:r>
                    <w:rPr>
                      <w:rFonts w:hint="default" w:ascii="Times New Roman" w:hAnsi="Times New Roman" w:cs="Times New Roman"/>
                      <w:color w:val="auto"/>
                      <w:kern w:val="0"/>
                      <w:szCs w:val="21"/>
                      <w:lang w:bidi="ar"/>
                    </w:rPr>
                    <w:t>DA003</w:t>
                  </w: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408D42">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标干流量</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D680F7">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m³/h</w:t>
                  </w:r>
                </w:p>
              </w:tc>
              <w:tc>
                <w:tcPr>
                  <w:tcW w:w="6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E17571">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9.15×10³</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7135E6">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9.22×10³</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00FBD8">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9.21×10³</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CEE5ED">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9.19×10³</w:t>
                  </w: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234319">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w:t>
                  </w:r>
                </w:p>
              </w:tc>
            </w:tr>
            <w:tr w14:paraId="3CFC00C1">
              <w:tblPrEx>
                <w:tblCellMar>
                  <w:top w:w="0" w:type="dxa"/>
                  <w:left w:w="108" w:type="dxa"/>
                  <w:bottom w:w="0" w:type="dxa"/>
                  <w:right w:w="108" w:type="dxa"/>
                </w:tblCellMar>
              </w:tblPrEx>
              <w:trPr>
                <w:trHeight w:val="363" w:hRule="atLeast"/>
              </w:trPr>
              <w:tc>
                <w:tcPr>
                  <w:tcW w:w="59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DA0C12">
                  <w:pPr>
                    <w:adjustRightInd w:val="0"/>
                    <w:snapToGrid w:val="0"/>
                    <w:jc w:val="center"/>
                    <w:rPr>
                      <w:rFonts w:hint="default" w:ascii="Times New Roman" w:hAnsi="Times New Roman" w:cs="Times New Roman"/>
                      <w:color w:val="auto"/>
                      <w:szCs w:val="21"/>
                    </w:rPr>
                  </w:pP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49B18B">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颗粒物浓度</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B68E64">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mg/m³</w:t>
                  </w:r>
                </w:p>
              </w:tc>
              <w:tc>
                <w:tcPr>
                  <w:tcW w:w="6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793757">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4.1</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EF3D8E">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3.1</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D366E6">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3.9</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40BF92">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3.70</w:t>
                  </w: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97E891">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30</w:t>
                  </w:r>
                </w:p>
              </w:tc>
            </w:tr>
            <w:tr w14:paraId="4E4B56EA">
              <w:tblPrEx>
                <w:tblCellMar>
                  <w:top w:w="0" w:type="dxa"/>
                  <w:left w:w="108" w:type="dxa"/>
                  <w:bottom w:w="0" w:type="dxa"/>
                  <w:right w:w="108" w:type="dxa"/>
                </w:tblCellMar>
              </w:tblPrEx>
              <w:trPr>
                <w:trHeight w:val="363" w:hRule="atLeast"/>
              </w:trPr>
              <w:tc>
                <w:tcPr>
                  <w:tcW w:w="59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1E0B55">
                  <w:pPr>
                    <w:adjustRightInd w:val="0"/>
                    <w:snapToGrid w:val="0"/>
                    <w:jc w:val="center"/>
                    <w:rPr>
                      <w:rFonts w:hint="default" w:ascii="Times New Roman" w:hAnsi="Times New Roman" w:cs="Times New Roman"/>
                      <w:color w:val="auto"/>
                      <w:szCs w:val="21"/>
                    </w:rPr>
                  </w:pP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3CC67A">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颗粒物排放速率</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E1845B">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kg/h</w:t>
                  </w:r>
                </w:p>
              </w:tc>
              <w:tc>
                <w:tcPr>
                  <w:tcW w:w="6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3B0514">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0.038</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0E8015">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0.029</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554A6F">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0.036</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94B29B">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0.034</w:t>
                  </w: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44370A">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w:t>
                  </w:r>
                </w:p>
              </w:tc>
            </w:tr>
            <w:tr w14:paraId="1BF66AD2">
              <w:tblPrEx>
                <w:tblCellMar>
                  <w:top w:w="0" w:type="dxa"/>
                  <w:left w:w="108" w:type="dxa"/>
                  <w:bottom w:w="0" w:type="dxa"/>
                  <w:right w:w="108" w:type="dxa"/>
                </w:tblCellMar>
              </w:tblPrEx>
              <w:trPr>
                <w:trHeight w:val="363" w:hRule="atLeast"/>
              </w:trPr>
              <w:tc>
                <w:tcPr>
                  <w:tcW w:w="59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1FE6B96">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9-12#线感应加热废气排放口DA004</w:t>
                  </w: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0B3867">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标干流量</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B23E5F">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m³/h</w:t>
                  </w:r>
                </w:p>
              </w:tc>
              <w:tc>
                <w:tcPr>
                  <w:tcW w:w="6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63DEF9">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7.41×10³</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CF0545">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7.35×10³</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420EBA">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7.39×10³</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481AD1">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7.38×10³</w:t>
                  </w: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578A87">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w:t>
                  </w:r>
                </w:p>
              </w:tc>
            </w:tr>
            <w:tr w14:paraId="6C219845">
              <w:tblPrEx>
                <w:tblCellMar>
                  <w:top w:w="0" w:type="dxa"/>
                  <w:left w:w="108" w:type="dxa"/>
                  <w:bottom w:w="0" w:type="dxa"/>
                  <w:right w:w="108" w:type="dxa"/>
                </w:tblCellMar>
              </w:tblPrEx>
              <w:trPr>
                <w:trHeight w:val="363" w:hRule="atLeast"/>
              </w:trPr>
              <w:tc>
                <w:tcPr>
                  <w:tcW w:w="59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040F8F">
                  <w:pPr>
                    <w:adjustRightInd w:val="0"/>
                    <w:snapToGrid w:val="0"/>
                    <w:jc w:val="center"/>
                    <w:rPr>
                      <w:rFonts w:hint="default" w:ascii="Times New Roman" w:hAnsi="Times New Roman" w:cs="Times New Roman"/>
                      <w:color w:val="auto"/>
                      <w:szCs w:val="21"/>
                    </w:rPr>
                  </w:pP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720922">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颗粒物浓度</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0DFC6D">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mg/m³</w:t>
                  </w:r>
                </w:p>
              </w:tc>
              <w:tc>
                <w:tcPr>
                  <w:tcW w:w="6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54DEB5">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19.1</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AE5A00">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18.1</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007B63">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18.5</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C7629D">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18.57</w:t>
                  </w: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FC7BFE">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30</w:t>
                  </w:r>
                </w:p>
              </w:tc>
            </w:tr>
            <w:tr w14:paraId="541D5CEC">
              <w:tblPrEx>
                <w:tblCellMar>
                  <w:top w:w="0" w:type="dxa"/>
                  <w:left w:w="108" w:type="dxa"/>
                  <w:bottom w:w="0" w:type="dxa"/>
                  <w:right w:w="108" w:type="dxa"/>
                </w:tblCellMar>
              </w:tblPrEx>
              <w:trPr>
                <w:trHeight w:val="363" w:hRule="atLeast"/>
              </w:trPr>
              <w:tc>
                <w:tcPr>
                  <w:tcW w:w="59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E5E035">
                  <w:pPr>
                    <w:adjustRightInd w:val="0"/>
                    <w:snapToGrid w:val="0"/>
                    <w:jc w:val="center"/>
                    <w:rPr>
                      <w:rFonts w:hint="default" w:ascii="Times New Roman" w:hAnsi="Times New Roman" w:cs="Times New Roman"/>
                      <w:color w:val="auto"/>
                      <w:szCs w:val="21"/>
                    </w:rPr>
                  </w:pP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1E033F">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颗粒物排放速率</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5FF35A">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kg/h</w:t>
                  </w:r>
                </w:p>
              </w:tc>
              <w:tc>
                <w:tcPr>
                  <w:tcW w:w="6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94DE18">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0.142</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F26FAB">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0.133</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F9245D">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0.137</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D4E241">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0.137</w:t>
                  </w: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FC2B14">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w:t>
                  </w:r>
                </w:p>
              </w:tc>
            </w:tr>
            <w:tr w14:paraId="203C241D">
              <w:tblPrEx>
                <w:tblCellMar>
                  <w:top w:w="0" w:type="dxa"/>
                  <w:left w:w="108" w:type="dxa"/>
                  <w:bottom w:w="0" w:type="dxa"/>
                  <w:right w:w="108" w:type="dxa"/>
                </w:tblCellMar>
              </w:tblPrEx>
              <w:trPr>
                <w:trHeight w:val="363" w:hRule="atLeast"/>
              </w:trPr>
              <w:tc>
                <w:tcPr>
                  <w:tcW w:w="59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0E57461">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13-16#线感应加热废气排放口DA005</w:t>
                  </w: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C32526">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标干流量</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62755B">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m³/h</w:t>
                  </w:r>
                </w:p>
              </w:tc>
              <w:tc>
                <w:tcPr>
                  <w:tcW w:w="6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5CF823">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2.92×10³</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B4B33C">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3.00×10³</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0A1B6B">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3.32×10³</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472717">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3.08×10³</w:t>
                  </w: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C40E74">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w:t>
                  </w:r>
                </w:p>
              </w:tc>
            </w:tr>
            <w:tr w14:paraId="2459FF41">
              <w:tblPrEx>
                <w:tblCellMar>
                  <w:top w:w="0" w:type="dxa"/>
                  <w:left w:w="108" w:type="dxa"/>
                  <w:bottom w:w="0" w:type="dxa"/>
                  <w:right w:w="108" w:type="dxa"/>
                </w:tblCellMar>
              </w:tblPrEx>
              <w:trPr>
                <w:trHeight w:val="363" w:hRule="atLeast"/>
              </w:trPr>
              <w:tc>
                <w:tcPr>
                  <w:tcW w:w="59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B43610">
                  <w:pPr>
                    <w:adjustRightInd w:val="0"/>
                    <w:snapToGrid w:val="0"/>
                    <w:jc w:val="center"/>
                    <w:rPr>
                      <w:rFonts w:hint="default" w:ascii="Times New Roman" w:hAnsi="Times New Roman" w:cs="Times New Roman"/>
                      <w:color w:val="auto"/>
                      <w:szCs w:val="21"/>
                    </w:rPr>
                  </w:pP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034716">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颗粒物浓度</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EC230E">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mg/m³</w:t>
                  </w:r>
                </w:p>
              </w:tc>
              <w:tc>
                <w:tcPr>
                  <w:tcW w:w="6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5896B0">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9.5</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B5FC9D">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8.8</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235331">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7.1</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FDCE49">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8.47</w:t>
                  </w: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284304">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30</w:t>
                  </w:r>
                </w:p>
              </w:tc>
            </w:tr>
            <w:tr w14:paraId="1AD636A6">
              <w:tblPrEx>
                <w:tblCellMar>
                  <w:top w:w="0" w:type="dxa"/>
                  <w:left w:w="108" w:type="dxa"/>
                  <w:bottom w:w="0" w:type="dxa"/>
                  <w:right w:w="108" w:type="dxa"/>
                </w:tblCellMar>
              </w:tblPrEx>
              <w:trPr>
                <w:trHeight w:val="363" w:hRule="atLeast"/>
              </w:trPr>
              <w:tc>
                <w:tcPr>
                  <w:tcW w:w="59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AA2785">
                  <w:pPr>
                    <w:adjustRightInd w:val="0"/>
                    <w:snapToGrid w:val="0"/>
                    <w:jc w:val="center"/>
                    <w:rPr>
                      <w:rFonts w:hint="default" w:ascii="Times New Roman" w:hAnsi="Times New Roman" w:cs="Times New Roman"/>
                      <w:color w:val="auto"/>
                      <w:szCs w:val="21"/>
                    </w:rPr>
                  </w:pP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55DF42">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颗粒物排放速率</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EC4B8D">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kg/h</w:t>
                  </w:r>
                </w:p>
              </w:tc>
              <w:tc>
                <w:tcPr>
                  <w:tcW w:w="6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D446B7">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0.028</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3959B6">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0.026</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214F62">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0.024</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4E011B">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0.026</w:t>
                  </w: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91F821">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w:t>
                  </w:r>
                </w:p>
              </w:tc>
            </w:tr>
          </w:tbl>
          <w:p w14:paraId="10A906C6">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表2.4-4  无组织废气排放情况</w:t>
            </w:r>
          </w:p>
          <w:tbl>
            <w:tblPr>
              <w:tblStyle w:val="34"/>
              <w:tblW w:w="8642" w:type="dxa"/>
              <w:tblInd w:w="0" w:type="dxa"/>
              <w:tblLayout w:type="autofit"/>
              <w:tblCellMar>
                <w:top w:w="0" w:type="dxa"/>
                <w:left w:w="108" w:type="dxa"/>
                <w:bottom w:w="0" w:type="dxa"/>
                <w:right w:w="108" w:type="dxa"/>
              </w:tblCellMar>
            </w:tblPr>
            <w:tblGrid>
              <w:gridCol w:w="1694"/>
              <w:gridCol w:w="1179"/>
              <w:gridCol w:w="832"/>
              <w:gridCol w:w="1020"/>
              <w:gridCol w:w="1015"/>
              <w:gridCol w:w="1001"/>
              <w:gridCol w:w="1020"/>
              <w:gridCol w:w="881"/>
            </w:tblGrid>
            <w:tr w14:paraId="609B3313">
              <w:tblPrEx>
                <w:tblCellMar>
                  <w:top w:w="0" w:type="dxa"/>
                  <w:left w:w="108" w:type="dxa"/>
                  <w:bottom w:w="0" w:type="dxa"/>
                  <w:right w:w="108" w:type="dxa"/>
                </w:tblCellMar>
              </w:tblPrEx>
              <w:trPr>
                <w:trHeight w:val="363" w:hRule="atLeast"/>
              </w:trPr>
              <w:tc>
                <w:tcPr>
                  <w:tcW w:w="98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3F76358">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采样点</w:t>
                  </w:r>
                </w:p>
              </w:tc>
              <w:tc>
                <w:tcPr>
                  <w:tcW w:w="68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3A5DE8A">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检测项目</w:t>
                  </w:r>
                </w:p>
              </w:tc>
              <w:tc>
                <w:tcPr>
                  <w:tcW w:w="48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9E0D26E">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单位</w:t>
                  </w:r>
                </w:p>
              </w:tc>
              <w:tc>
                <w:tcPr>
                  <w:tcW w:w="2346"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AFB6605">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检测结果</w:t>
                  </w:r>
                </w:p>
              </w:tc>
              <w:tc>
                <w:tcPr>
                  <w:tcW w:w="50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3A25473">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标准</w:t>
                  </w:r>
                  <w:r>
                    <w:rPr>
                      <w:rFonts w:hint="default" w:ascii="Times New Roman" w:hAnsi="Times New Roman" w:cs="Times New Roman"/>
                      <w:color w:val="auto"/>
                      <w:szCs w:val="21"/>
                      <w:lang w:bidi="ar"/>
                    </w:rPr>
                    <w:br w:type="textWrapping"/>
                  </w:r>
                  <w:r>
                    <w:rPr>
                      <w:rFonts w:hint="default" w:ascii="Times New Roman" w:hAnsi="Times New Roman" w:cs="Times New Roman"/>
                      <w:color w:val="auto"/>
                      <w:szCs w:val="21"/>
                      <w:lang w:bidi="ar"/>
                    </w:rPr>
                    <w:t>限值</w:t>
                  </w:r>
                </w:p>
              </w:tc>
            </w:tr>
            <w:tr w14:paraId="3A6C947E">
              <w:tblPrEx>
                <w:tblCellMar>
                  <w:top w:w="0" w:type="dxa"/>
                  <w:left w:w="108" w:type="dxa"/>
                  <w:bottom w:w="0" w:type="dxa"/>
                  <w:right w:w="108" w:type="dxa"/>
                </w:tblCellMar>
              </w:tblPrEx>
              <w:trPr>
                <w:trHeight w:val="363" w:hRule="atLeast"/>
              </w:trPr>
              <w:tc>
                <w:tcPr>
                  <w:tcW w:w="98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553A8E">
                  <w:pPr>
                    <w:adjustRightInd w:val="0"/>
                    <w:snapToGrid w:val="0"/>
                    <w:jc w:val="center"/>
                    <w:rPr>
                      <w:rFonts w:hint="default" w:ascii="Times New Roman" w:hAnsi="Times New Roman" w:cs="Times New Roman"/>
                      <w:color w:val="auto"/>
                      <w:szCs w:val="21"/>
                    </w:rPr>
                  </w:pPr>
                </w:p>
              </w:tc>
              <w:tc>
                <w:tcPr>
                  <w:tcW w:w="6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F8165C">
                  <w:pPr>
                    <w:adjustRightInd w:val="0"/>
                    <w:snapToGrid w:val="0"/>
                    <w:jc w:val="center"/>
                    <w:rPr>
                      <w:rFonts w:hint="default" w:ascii="Times New Roman" w:hAnsi="Times New Roman" w:cs="Times New Roman"/>
                      <w:color w:val="auto"/>
                      <w:szCs w:val="21"/>
                    </w:rPr>
                  </w:pPr>
                </w:p>
              </w:tc>
              <w:tc>
                <w:tcPr>
                  <w:tcW w:w="48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3A3151">
                  <w:pPr>
                    <w:adjustRightInd w:val="0"/>
                    <w:snapToGrid w:val="0"/>
                    <w:jc w:val="center"/>
                    <w:rPr>
                      <w:rFonts w:hint="default" w:ascii="Times New Roman" w:hAnsi="Times New Roman" w:cs="Times New Roman"/>
                      <w:color w:val="auto"/>
                      <w:szCs w:val="21"/>
                    </w:rPr>
                  </w:pPr>
                </w:p>
              </w:tc>
              <w:tc>
                <w:tcPr>
                  <w:tcW w:w="5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388F94">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1</w:t>
                  </w:r>
                </w:p>
              </w:tc>
              <w:tc>
                <w:tcPr>
                  <w:tcW w:w="5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EC8BC8">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2</w:t>
                  </w:r>
                </w:p>
              </w:tc>
              <w:tc>
                <w:tcPr>
                  <w:tcW w:w="5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D32EAA">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3</w:t>
                  </w:r>
                </w:p>
              </w:tc>
              <w:tc>
                <w:tcPr>
                  <w:tcW w:w="5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2EC1AA">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最大值</w:t>
                  </w:r>
                </w:p>
              </w:tc>
              <w:tc>
                <w:tcPr>
                  <w:tcW w:w="5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481007">
                  <w:pPr>
                    <w:adjustRightInd w:val="0"/>
                    <w:snapToGrid w:val="0"/>
                    <w:jc w:val="center"/>
                    <w:rPr>
                      <w:rFonts w:hint="default" w:ascii="Times New Roman" w:hAnsi="Times New Roman" w:cs="Times New Roman"/>
                      <w:color w:val="auto"/>
                      <w:szCs w:val="21"/>
                    </w:rPr>
                  </w:pPr>
                </w:p>
              </w:tc>
            </w:tr>
            <w:tr w14:paraId="33AD0DD4">
              <w:tblPrEx>
                <w:tblCellMar>
                  <w:top w:w="0" w:type="dxa"/>
                  <w:left w:w="108" w:type="dxa"/>
                  <w:bottom w:w="0" w:type="dxa"/>
                  <w:right w:w="108" w:type="dxa"/>
                </w:tblCellMar>
              </w:tblPrEx>
              <w:trPr>
                <w:trHeight w:val="363" w:hRule="atLeast"/>
              </w:trPr>
              <w:tc>
                <w:tcPr>
                  <w:tcW w:w="9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D497F4">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厂界上风向○7</w:t>
                  </w:r>
                </w:p>
              </w:tc>
              <w:tc>
                <w:tcPr>
                  <w:tcW w:w="6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B9C11A">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颗粒物</w:t>
                  </w:r>
                </w:p>
              </w:tc>
              <w:tc>
                <w:tcPr>
                  <w:tcW w:w="4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F68F57">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mg/m³</w:t>
                  </w:r>
                </w:p>
              </w:tc>
              <w:tc>
                <w:tcPr>
                  <w:tcW w:w="5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B5597C">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0.189</w:t>
                  </w:r>
                </w:p>
              </w:tc>
              <w:tc>
                <w:tcPr>
                  <w:tcW w:w="5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4B220E">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0.202</w:t>
                  </w:r>
                </w:p>
              </w:tc>
              <w:tc>
                <w:tcPr>
                  <w:tcW w:w="5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9B6260">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0.190</w:t>
                  </w:r>
                </w:p>
              </w:tc>
              <w:tc>
                <w:tcPr>
                  <w:tcW w:w="5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F18E9D">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0.202</w:t>
                  </w:r>
                </w:p>
              </w:tc>
              <w:tc>
                <w:tcPr>
                  <w:tcW w:w="5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C12690">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1.0</w:t>
                  </w:r>
                </w:p>
              </w:tc>
            </w:tr>
            <w:tr w14:paraId="40FC7393">
              <w:tblPrEx>
                <w:tblCellMar>
                  <w:top w:w="0" w:type="dxa"/>
                  <w:left w:w="108" w:type="dxa"/>
                  <w:bottom w:w="0" w:type="dxa"/>
                  <w:right w:w="108" w:type="dxa"/>
                </w:tblCellMar>
              </w:tblPrEx>
              <w:trPr>
                <w:trHeight w:val="363" w:hRule="atLeast"/>
              </w:trPr>
              <w:tc>
                <w:tcPr>
                  <w:tcW w:w="9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703111">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厂界下风向○8</w:t>
                  </w:r>
                </w:p>
              </w:tc>
              <w:tc>
                <w:tcPr>
                  <w:tcW w:w="6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4523FE">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颗粒物</w:t>
                  </w:r>
                </w:p>
              </w:tc>
              <w:tc>
                <w:tcPr>
                  <w:tcW w:w="4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6D2A98">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mg/m³</w:t>
                  </w:r>
                </w:p>
              </w:tc>
              <w:tc>
                <w:tcPr>
                  <w:tcW w:w="5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2E2E60">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0.198</w:t>
                  </w:r>
                </w:p>
              </w:tc>
              <w:tc>
                <w:tcPr>
                  <w:tcW w:w="5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3D844E">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0.224</w:t>
                  </w:r>
                </w:p>
              </w:tc>
              <w:tc>
                <w:tcPr>
                  <w:tcW w:w="5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EEEDD6">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0.209</w:t>
                  </w:r>
                </w:p>
              </w:tc>
              <w:tc>
                <w:tcPr>
                  <w:tcW w:w="5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0DA101">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0.224</w:t>
                  </w:r>
                </w:p>
              </w:tc>
              <w:tc>
                <w:tcPr>
                  <w:tcW w:w="5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3F8B17">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1.0</w:t>
                  </w:r>
                </w:p>
              </w:tc>
            </w:tr>
            <w:tr w14:paraId="555D0C1A">
              <w:tblPrEx>
                <w:tblCellMar>
                  <w:top w:w="0" w:type="dxa"/>
                  <w:left w:w="108" w:type="dxa"/>
                  <w:bottom w:w="0" w:type="dxa"/>
                  <w:right w:w="108" w:type="dxa"/>
                </w:tblCellMar>
              </w:tblPrEx>
              <w:trPr>
                <w:trHeight w:val="363" w:hRule="atLeast"/>
              </w:trPr>
              <w:tc>
                <w:tcPr>
                  <w:tcW w:w="9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597CD5">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厂界下风向○9</w:t>
                  </w:r>
                </w:p>
              </w:tc>
              <w:tc>
                <w:tcPr>
                  <w:tcW w:w="6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FCE173">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颗粒物</w:t>
                  </w:r>
                </w:p>
              </w:tc>
              <w:tc>
                <w:tcPr>
                  <w:tcW w:w="4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CBD2F4">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mg/m³</w:t>
                  </w:r>
                </w:p>
              </w:tc>
              <w:tc>
                <w:tcPr>
                  <w:tcW w:w="5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F2F5CC">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0.227</w:t>
                  </w:r>
                </w:p>
              </w:tc>
              <w:tc>
                <w:tcPr>
                  <w:tcW w:w="5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FDFC36">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0.239</w:t>
                  </w:r>
                </w:p>
              </w:tc>
              <w:tc>
                <w:tcPr>
                  <w:tcW w:w="5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C9960E">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0.231</w:t>
                  </w:r>
                </w:p>
              </w:tc>
              <w:tc>
                <w:tcPr>
                  <w:tcW w:w="5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64A82F">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0.239</w:t>
                  </w:r>
                </w:p>
              </w:tc>
              <w:tc>
                <w:tcPr>
                  <w:tcW w:w="5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039D38">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1.0</w:t>
                  </w:r>
                </w:p>
              </w:tc>
            </w:tr>
            <w:tr w14:paraId="6C211A52">
              <w:tblPrEx>
                <w:tblCellMar>
                  <w:top w:w="0" w:type="dxa"/>
                  <w:left w:w="108" w:type="dxa"/>
                  <w:bottom w:w="0" w:type="dxa"/>
                  <w:right w:w="108" w:type="dxa"/>
                </w:tblCellMar>
              </w:tblPrEx>
              <w:trPr>
                <w:trHeight w:val="363" w:hRule="atLeast"/>
              </w:trPr>
              <w:tc>
                <w:tcPr>
                  <w:tcW w:w="9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41601F">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厂界下风向○10</w:t>
                  </w:r>
                </w:p>
              </w:tc>
              <w:tc>
                <w:tcPr>
                  <w:tcW w:w="6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405340">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颗粒物</w:t>
                  </w:r>
                </w:p>
              </w:tc>
              <w:tc>
                <w:tcPr>
                  <w:tcW w:w="4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C9187F">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mg/m³</w:t>
                  </w:r>
                </w:p>
              </w:tc>
              <w:tc>
                <w:tcPr>
                  <w:tcW w:w="5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83B089">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0.281</w:t>
                  </w:r>
                </w:p>
              </w:tc>
              <w:tc>
                <w:tcPr>
                  <w:tcW w:w="5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B7288D">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0.256</w:t>
                  </w:r>
                </w:p>
              </w:tc>
              <w:tc>
                <w:tcPr>
                  <w:tcW w:w="5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385770">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0309</w:t>
                  </w:r>
                </w:p>
              </w:tc>
              <w:tc>
                <w:tcPr>
                  <w:tcW w:w="5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361E20">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0.309</w:t>
                  </w:r>
                </w:p>
              </w:tc>
              <w:tc>
                <w:tcPr>
                  <w:tcW w:w="5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8C847B">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1.0</w:t>
                  </w:r>
                </w:p>
              </w:tc>
            </w:tr>
          </w:tbl>
          <w:p w14:paraId="027B5D18">
            <w:pPr>
              <w:pStyle w:val="2"/>
              <w:keepNext w:val="0"/>
              <w:keepLines w:val="0"/>
              <w:pageBreakBefore w:val="0"/>
              <w:widowControl w:val="0"/>
              <w:kinsoku/>
              <w:wordWrap/>
              <w:overflowPunct/>
              <w:topLinePunct w:val="0"/>
              <w:autoSpaceDE/>
              <w:autoSpaceDN/>
              <w:bidi w:val="0"/>
              <w:adjustRightInd w:val="0"/>
              <w:snapToGrid w:val="0"/>
              <w:spacing w:before="190" w:beforeLines="50"/>
              <w:ind w:firstLine="496"/>
              <w:textAlignment w:val="auto"/>
              <w:rPr>
                <w:rFonts w:hint="default" w:ascii="Times New Roman" w:hAnsi="Times New Roman" w:cs="Times New Roman"/>
                <w:color w:val="auto"/>
                <w:spacing w:val="4"/>
                <w:kern w:val="0"/>
                <w:sz w:val="24"/>
              </w:rPr>
            </w:pPr>
            <w:r>
              <w:rPr>
                <w:rFonts w:hint="default" w:ascii="Times New Roman" w:hAnsi="Times New Roman" w:cs="Times New Roman"/>
                <w:color w:val="auto"/>
                <w:spacing w:val="4"/>
                <w:kern w:val="0"/>
                <w:sz w:val="24"/>
              </w:rPr>
              <w:t>根据上表，DA001废气排放口颗粒物排放浓度在7.4～8.9mg/m</w:t>
            </w:r>
            <w:r>
              <w:rPr>
                <w:rFonts w:hint="default" w:ascii="Times New Roman" w:hAnsi="Times New Roman" w:cs="Times New Roman"/>
                <w:color w:val="auto"/>
                <w:spacing w:val="4"/>
                <w:kern w:val="0"/>
                <w:sz w:val="24"/>
                <w:vertAlign w:val="superscript"/>
              </w:rPr>
              <w:t>3</w:t>
            </w:r>
            <w:r>
              <w:rPr>
                <w:rFonts w:hint="default" w:ascii="Times New Roman" w:hAnsi="Times New Roman" w:cs="Times New Roman"/>
                <w:color w:val="auto"/>
                <w:spacing w:val="4"/>
                <w:kern w:val="0"/>
                <w:sz w:val="24"/>
              </w:rPr>
              <w:t>，平均排放速率为0.037kg/h；DA002废气排放口颗粒物排放浓度在10.7～14.5mg/m</w:t>
            </w:r>
            <w:r>
              <w:rPr>
                <w:rFonts w:hint="default" w:ascii="Times New Roman" w:hAnsi="Times New Roman" w:cs="Times New Roman"/>
                <w:color w:val="auto"/>
                <w:spacing w:val="4"/>
                <w:kern w:val="0"/>
                <w:sz w:val="24"/>
                <w:vertAlign w:val="superscript"/>
              </w:rPr>
              <w:t>3</w:t>
            </w:r>
            <w:r>
              <w:rPr>
                <w:rFonts w:hint="default" w:ascii="Times New Roman" w:hAnsi="Times New Roman" w:cs="Times New Roman"/>
                <w:color w:val="auto"/>
                <w:spacing w:val="4"/>
                <w:kern w:val="0"/>
                <w:sz w:val="24"/>
              </w:rPr>
              <w:t>，平均排放速率为0.046kg/h；DA003废气排放口颗粒物排放浓度在3.1～4.1mg/m</w:t>
            </w:r>
            <w:r>
              <w:rPr>
                <w:rFonts w:hint="default" w:ascii="Times New Roman" w:hAnsi="Times New Roman" w:cs="Times New Roman"/>
                <w:color w:val="auto"/>
                <w:spacing w:val="4"/>
                <w:kern w:val="0"/>
                <w:sz w:val="24"/>
                <w:vertAlign w:val="superscript"/>
              </w:rPr>
              <w:t>3</w:t>
            </w:r>
            <w:r>
              <w:rPr>
                <w:rFonts w:hint="default" w:ascii="Times New Roman" w:hAnsi="Times New Roman" w:cs="Times New Roman"/>
                <w:color w:val="auto"/>
                <w:spacing w:val="4"/>
                <w:kern w:val="0"/>
                <w:sz w:val="24"/>
              </w:rPr>
              <w:t>，平均排放速率为0.034kg/h；DA004废气排放口颗粒物排放浓度在18.1～19.1mg/m</w:t>
            </w:r>
            <w:r>
              <w:rPr>
                <w:rFonts w:hint="default" w:ascii="Times New Roman" w:hAnsi="Times New Roman" w:cs="Times New Roman"/>
                <w:color w:val="auto"/>
                <w:spacing w:val="4"/>
                <w:kern w:val="0"/>
                <w:sz w:val="24"/>
                <w:vertAlign w:val="superscript"/>
              </w:rPr>
              <w:t>3</w:t>
            </w:r>
            <w:r>
              <w:rPr>
                <w:rFonts w:hint="default" w:ascii="Times New Roman" w:hAnsi="Times New Roman" w:cs="Times New Roman"/>
                <w:color w:val="auto"/>
                <w:spacing w:val="4"/>
                <w:kern w:val="0"/>
                <w:sz w:val="24"/>
              </w:rPr>
              <w:t>，平均排放速率为0.137kg/h；DA005废气排放口颗粒物排放浓度在7.1～9.5mg/m</w:t>
            </w:r>
            <w:r>
              <w:rPr>
                <w:rFonts w:hint="default" w:ascii="Times New Roman" w:hAnsi="Times New Roman" w:cs="Times New Roman"/>
                <w:color w:val="auto"/>
                <w:spacing w:val="4"/>
                <w:kern w:val="0"/>
                <w:sz w:val="24"/>
                <w:vertAlign w:val="superscript"/>
              </w:rPr>
              <w:t>3</w:t>
            </w:r>
            <w:r>
              <w:rPr>
                <w:rFonts w:hint="default" w:ascii="Times New Roman" w:hAnsi="Times New Roman" w:cs="Times New Roman"/>
                <w:color w:val="auto"/>
                <w:spacing w:val="4"/>
                <w:kern w:val="0"/>
                <w:sz w:val="24"/>
              </w:rPr>
              <w:t>，平均排放速率为0.026kg/h。均符合《大气污染物综合排放标准》（GB16297-1996）表2</w:t>
            </w:r>
            <w:r>
              <w:rPr>
                <w:rFonts w:hint="default" w:ascii="Times New Roman" w:hAnsi="Times New Roman" w:cs="Times New Roman"/>
                <w:color w:val="auto"/>
                <w:sz w:val="24"/>
              </w:rPr>
              <w:t>二级标准</w:t>
            </w:r>
            <w:r>
              <w:rPr>
                <w:rFonts w:hint="default" w:ascii="Times New Roman" w:hAnsi="Times New Roman" w:cs="Times New Roman"/>
                <w:color w:val="auto"/>
                <w:spacing w:val="4"/>
                <w:kern w:val="0"/>
                <w:sz w:val="24"/>
              </w:rPr>
              <w:t>限值（颗粒物≤120 mg/m</w:t>
            </w:r>
            <w:r>
              <w:rPr>
                <w:rFonts w:hint="default" w:ascii="Times New Roman" w:hAnsi="Times New Roman" w:cs="Times New Roman"/>
                <w:color w:val="auto"/>
                <w:spacing w:val="4"/>
                <w:kern w:val="0"/>
                <w:sz w:val="24"/>
                <w:vertAlign w:val="superscript"/>
              </w:rPr>
              <w:t>3</w:t>
            </w:r>
            <w:r>
              <w:rPr>
                <w:rFonts w:hint="default" w:ascii="Times New Roman" w:hAnsi="Times New Roman" w:cs="Times New Roman"/>
                <w:color w:val="auto"/>
                <w:spacing w:val="4"/>
                <w:kern w:val="0"/>
                <w:sz w:val="24"/>
              </w:rPr>
              <w:t>，15m排气筒排放速率≤3.5kg/h）。</w:t>
            </w:r>
          </w:p>
          <w:p w14:paraId="1BE31701">
            <w:pPr>
              <w:pStyle w:val="41"/>
              <w:adjustRightInd w:val="0"/>
              <w:snapToGrid w:val="0"/>
              <w:spacing w:before="0" w:beforeAutospacing="0" w:after="0" w:afterAutospacing="0"/>
              <w:ind w:firstLine="496"/>
              <w:rPr>
                <w:rFonts w:hint="default" w:ascii="Times New Roman" w:hAnsi="Times New Roman" w:cs="Times New Roman"/>
                <w:color w:val="auto"/>
                <w:spacing w:val="4"/>
                <w:szCs w:val="24"/>
              </w:rPr>
            </w:pPr>
            <w:r>
              <w:rPr>
                <w:rFonts w:hint="default" w:ascii="Times New Roman" w:hAnsi="Times New Roman" w:cs="Times New Roman"/>
                <w:color w:val="auto"/>
                <w:spacing w:val="4"/>
                <w:szCs w:val="24"/>
              </w:rPr>
              <w:t>厂界无组织排放监控点颗粒物最大监测浓度值为0.309mg/m</w:t>
            </w:r>
            <w:r>
              <w:rPr>
                <w:rFonts w:hint="default" w:ascii="Times New Roman" w:hAnsi="Times New Roman" w:cs="Times New Roman"/>
                <w:color w:val="auto"/>
                <w:spacing w:val="4"/>
                <w:szCs w:val="24"/>
                <w:vertAlign w:val="superscript"/>
              </w:rPr>
              <w:t>3</w:t>
            </w:r>
            <w:r>
              <w:rPr>
                <w:rFonts w:hint="default" w:ascii="Times New Roman" w:hAnsi="Times New Roman" w:cs="Times New Roman"/>
                <w:color w:val="auto"/>
                <w:szCs w:val="24"/>
              </w:rPr>
              <w:t>，</w:t>
            </w:r>
            <w:r>
              <w:rPr>
                <w:rFonts w:hint="default" w:ascii="Times New Roman" w:hAnsi="Times New Roman" w:cs="Times New Roman"/>
                <w:color w:val="auto"/>
                <w:spacing w:val="4"/>
                <w:szCs w:val="24"/>
              </w:rPr>
              <w:t>符合《大气污染物综合排放标准》（GB16297-1996）表2</w:t>
            </w:r>
            <w:r>
              <w:rPr>
                <w:rFonts w:hint="default" w:ascii="Times New Roman" w:hAnsi="Times New Roman" w:cs="Times New Roman"/>
                <w:color w:val="auto"/>
                <w:szCs w:val="24"/>
              </w:rPr>
              <w:t>周界外浓度最高点标准限值</w:t>
            </w:r>
            <w:r>
              <w:rPr>
                <w:rFonts w:hint="default" w:ascii="Times New Roman" w:hAnsi="Times New Roman" w:cs="Times New Roman"/>
                <w:color w:val="auto"/>
                <w:spacing w:val="4"/>
                <w:szCs w:val="24"/>
              </w:rPr>
              <w:t>（颗粒物≤1.0 mg/m</w:t>
            </w:r>
            <w:r>
              <w:rPr>
                <w:rFonts w:hint="default" w:ascii="Times New Roman" w:hAnsi="Times New Roman" w:cs="Times New Roman"/>
                <w:color w:val="auto"/>
                <w:spacing w:val="4"/>
                <w:szCs w:val="24"/>
                <w:vertAlign w:val="superscript"/>
              </w:rPr>
              <w:t>3</w:t>
            </w:r>
            <w:r>
              <w:rPr>
                <w:rFonts w:hint="default" w:ascii="Times New Roman" w:hAnsi="Times New Roman" w:cs="Times New Roman"/>
                <w:color w:val="auto"/>
                <w:spacing w:val="4"/>
                <w:szCs w:val="24"/>
              </w:rPr>
              <w:t>）。</w:t>
            </w:r>
          </w:p>
          <w:p w14:paraId="1DCE56E9">
            <w:pPr>
              <w:pStyle w:val="137"/>
              <w:adjustRightInd w:val="0"/>
              <w:snapToGrid w:val="0"/>
              <w:ind w:firstLine="480"/>
              <w:rPr>
                <w:rFonts w:hint="default" w:ascii="Times New Roman" w:hAnsi="Times New Roman" w:cs="Times New Roman"/>
                <w:color w:val="auto"/>
              </w:rPr>
            </w:pPr>
            <w:r>
              <w:rPr>
                <w:rFonts w:hint="default" w:ascii="Times New Roman" w:hAnsi="Times New Roman" w:cs="Times New Roman"/>
                <w:color w:val="auto"/>
              </w:rPr>
              <w:t>③噪声</w:t>
            </w:r>
          </w:p>
          <w:p w14:paraId="42C23A76">
            <w:pPr>
              <w:pStyle w:val="137"/>
              <w:adjustRightInd w:val="0"/>
              <w:snapToGrid w:val="0"/>
              <w:ind w:firstLine="480"/>
              <w:rPr>
                <w:rFonts w:hint="default" w:ascii="Times New Roman" w:hAnsi="Times New Roman" w:cs="Times New Roman"/>
                <w:color w:val="auto"/>
              </w:rPr>
            </w:pPr>
            <w:r>
              <w:rPr>
                <w:rFonts w:hint="default" w:ascii="Times New Roman" w:hAnsi="Times New Roman" w:cs="Times New Roman"/>
                <w:color w:val="auto"/>
              </w:rPr>
              <w:t>现有工程主要产噪设备有拉拔成型机、机械去锈机（剥壳机）、中频及超音频感应加热电源、空压机、液压剪切换向机，噪声采用厂房隔声、减振等降噪措施。根据2025年11月自行监测报告，厂界噪声4个测点昼间噪声测值范围为56-59dB(A）之间，夜间噪声测值范围为54dB(A），符合《工业企业厂界环境噪声排放标准》（GB 12348-2008）表1中3类区排放限值要求（昼间≤65dB(A)、夜间≤55dB(A)）。</w:t>
            </w:r>
          </w:p>
          <w:p w14:paraId="234B31CB">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表2.4-5  噪声排放情况</w:t>
            </w:r>
          </w:p>
          <w:tbl>
            <w:tblPr>
              <w:tblStyle w:val="34"/>
              <w:tblW w:w="4998" w:type="pct"/>
              <w:tblInd w:w="0" w:type="dxa"/>
              <w:tblLayout w:type="autofit"/>
              <w:tblCellMar>
                <w:top w:w="0" w:type="dxa"/>
                <w:left w:w="108" w:type="dxa"/>
                <w:bottom w:w="0" w:type="dxa"/>
                <w:right w:w="108" w:type="dxa"/>
              </w:tblCellMar>
            </w:tblPr>
            <w:tblGrid>
              <w:gridCol w:w="828"/>
              <w:gridCol w:w="1784"/>
              <w:gridCol w:w="1375"/>
              <w:gridCol w:w="1620"/>
              <w:gridCol w:w="1101"/>
              <w:gridCol w:w="1105"/>
              <w:gridCol w:w="829"/>
            </w:tblGrid>
            <w:tr w14:paraId="4C864628">
              <w:tblPrEx>
                <w:tblCellMar>
                  <w:top w:w="0" w:type="dxa"/>
                  <w:left w:w="108" w:type="dxa"/>
                  <w:bottom w:w="0" w:type="dxa"/>
                  <w:right w:w="108" w:type="dxa"/>
                </w:tblCellMar>
              </w:tblPrEx>
              <w:trPr>
                <w:trHeight w:val="363" w:hRule="atLeast"/>
              </w:trPr>
              <w:tc>
                <w:tcPr>
                  <w:tcW w:w="47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0FCF29F">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时段</w:t>
                  </w:r>
                </w:p>
              </w:tc>
              <w:tc>
                <w:tcPr>
                  <w:tcW w:w="103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75321B2">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采样点</w:t>
                  </w:r>
                </w:p>
              </w:tc>
              <w:tc>
                <w:tcPr>
                  <w:tcW w:w="79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759A61B">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主要声源</w:t>
                  </w:r>
                </w:p>
              </w:tc>
              <w:tc>
                <w:tcPr>
                  <w:tcW w:w="221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556B2FF">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检测结果Leq</w:t>
                  </w:r>
                </w:p>
              </w:tc>
              <w:tc>
                <w:tcPr>
                  <w:tcW w:w="47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588F792">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排放</w:t>
                  </w:r>
                </w:p>
                <w:p w14:paraId="5C3B25ED">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限值</w:t>
                  </w:r>
                </w:p>
              </w:tc>
            </w:tr>
            <w:tr w14:paraId="1C69B25C">
              <w:tblPrEx>
                <w:tblCellMar>
                  <w:top w:w="0" w:type="dxa"/>
                  <w:left w:w="108" w:type="dxa"/>
                  <w:bottom w:w="0" w:type="dxa"/>
                  <w:right w:w="108" w:type="dxa"/>
                </w:tblCellMar>
              </w:tblPrEx>
              <w:trPr>
                <w:trHeight w:val="363" w:hRule="atLeast"/>
              </w:trPr>
              <w:tc>
                <w:tcPr>
                  <w:tcW w:w="47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7030DD">
                  <w:pPr>
                    <w:adjustRightInd w:val="0"/>
                    <w:snapToGrid w:val="0"/>
                    <w:jc w:val="center"/>
                    <w:rPr>
                      <w:rFonts w:hint="default" w:ascii="Times New Roman" w:hAnsi="Times New Roman" w:cs="Times New Roman"/>
                      <w:color w:val="auto"/>
                      <w:szCs w:val="21"/>
                    </w:rPr>
                  </w:pPr>
                </w:p>
              </w:tc>
              <w:tc>
                <w:tcPr>
                  <w:tcW w:w="10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968B69">
                  <w:pPr>
                    <w:adjustRightInd w:val="0"/>
                    <w:snapToGrid w:val="0"/>
                    <w:jc w:val="center"/>
                    <w:rPr>
                      <w:rFonts w:hint="default" w:ascii="Times New Roman" w:hAnsi="Times New Roman" w:cs="Times New Roman"/>
                      <w:color w:val="auto"/>
                      <w:szCs w:val="21"/>
                    </w:rPr>
                  </w:pPr>
                </w:p>
              </w:tc>
              <w:tc>
                <w:tcPr>
                  <w:tcW w:w="7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9F45D9">
                  <w:pPr>
                    <w:adjustRightInd w:val="0"/>
                    <w:snapToGrid w:val="0"/>
                    <w:jc w:val="center"/>
                    <w:rPr>
                      <w:rFonts w:hint="default" w:ascii="Times New Roman" w:hAnsi="Times New Roman" w:cs="Times New Roman"/>
                      <w:color w:val="auto"/>
                      <w:szCs w:val="21"/>
                    </w:rPr>
                  </w:pPr>
                </w:p>
              </w:tc>
              <w:tc>
                <w:tcPr>
                  <w:tcW w:w="9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0F9CFE">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检测时间</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E24B1B">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测量值</w:t>
                  </w:r>
                </w:p>
              </w:tc>
              <w:tc>
                <w:tcPr>
                  <w:tcW w:w="6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4021B7">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实际值</w:t>
                  </w:r>
                </w:p>
              </w:tc>
              <w:tc>
                <w:tcPr>
                  <w:tcW w:w="47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B686B4">
                  <w:pPr>
                    <w:adjustRightInd w:val="0"/>
                    <w:snapToGrid w:val="0"/>
                    <w:jc w:val="center"/>
                    <w:rPr>
                      <w:rFonts w:hint="default" w:ascii="Times New Roman" w:hAnsi="Times New Roman" w:cs="Times New Roman"/>
                      <w:color w:val="auto"/>
                      <w:szCs w:val="21"/>
                    </w:rPr>
                  </w:pPr>
                </w:p>
              </w:tc>
            </w:tr>
            <w:tr w14:paraId="370CE3F7">
              <w:tblPrEx>
                <w:tblCellMar>
                  <w:top w:w="0" w:type="dxa"/>
                  <w:left w:w="108" w:type="dxa"/>
                  <w:bottom w:w="0" w:type="dxa"/>
                  <w:right w:w="108" w:type="dxa"/>
                </w:tblCellMar>
              </w:tblPrEx>
              <w:trPr>
                <w:trHeight w:val="363" w:hRule="atLeast"/>
              </w:trPr>
              <w:tc>
                <w:tcPr>
                  <w:tcW w:w="47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ED27D86">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夜间</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844F6F">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厂界东侧▲1</w:t>
                  </w:r>
                </w:p>
              </w:tc>
              <w:tc>
                <w:tcPr>
                  <w:tcW w:w="7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CC130C">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工业</w:t>
                  </w:r>
                </w:p>
              </w:tc>
              <w:tc>
                <w:tcPr>
                  <w:tcW w:w="9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85D27A">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03:15-03:18</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87FAB9">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54.3</w:t>
                  </w:r>
                </w:p>
              </w:tc>
              <w:tc>
                <w:tcPr>
                  <w:tcW w:w="6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0FBB4E">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54</w:t>
                  </w:r>
                </w:p>
              </w:tc>
              <w:tc>
                <w:tcPr>
                  <w:tcW w:w="47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03A001C">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55</w:t>
                  </w:r>
                </w:p>
              </w:tc>
            </w:tr>
            <w:tr w14:paraId="4C7D5F9D">
              <w:tblPrEx>
                <w:tblCellMar>
                  <w:top w:w="0" w:type="dxa"/>
                  <w:left w:w="108" w:type="dxa"/>
                  <w:bottom w:w="0" w:type="dxa"/>
                  <w:right w:w="108" w:type="dxa"/>
                </w:tblCellMar>
              </w:tblPrEx>
              <w:trPr>
                <w:trHeight w:val="363" w:hRule="atLeast"/>
              </w:trPr>
              <w:tc>
                <w:tcPr>
                  <w:tcW w:w="47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5035C5">
                  <w:pPr>
                    <w:adjustRightInd w:val="0"/>
                    <w:snapToGrid w:val="0"/>
                    <w:jc w:val="center"/>
                    <w:rPr>
                      <w:rFonts w:hint="default" w:ascii="Times New Roman" w:hAnsi="Times New Roman" w:cs="Times New Roman"/>
                      <w:color w:val="auto"/>
                      <w:szCs w:val="21"/>
                    </w:rPr>
                  </w:pP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A62548">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厂界南侧▲2</w:t>
                  </w:r>
                </w:p>
              </w:tc>
              <w:tc>
                <w:tcPr>
                  <w:tcW w:w="7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84B88F">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工业</w:t>
                  </w:r>
                </w:p>
              </w:tc>
              <w:tc>
                <w:tcPr>
                  <w:tcW w:w="9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BF3C1B">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03:21-03:24</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A170E3">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53.7</w:t>
                  </w:r>
                </w:p>
              </w:tc>
              <w:tc>
                <w:tcPr>
                  <w:tcW w:w="6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68EC05">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54</w:t>
                  </w:r>
                </w:p>
              </w:tc>
              <w:tc>
                <w:tcPr>
                  <w:tcW w:w="47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34A9D9">
                  <w:pPr>
                    <w:adjustRightInd w:val="0"/>
                    <w:snapToGrid w:val="0"/>
                    <w:jc w:val="center"/>
                    <w:rPr>
                      <w:rFonts w:hint="default" w:ascii="Times New Roman" w:hAnsi="Times New Roman" w:cs="Times New Roman"/>
                      <w:color w:val="auto"/>
                      <w:szCs w:val="21"/>
                    </w:rPr>
                  </w:pPr>
                </w:p>
              </w:tc>
            </w:tr>
            <w:tr w14:paraId="477A716A">
              <w:tblPrEx>
                <w:tblCellMar>
                  <w:top w:w="0" w:type="dxa"/>
                  <w:left w:w="108" w:type="dxa"/>
                  <w:bottom w:w="0" w:type="dxa"/>
                  <w:right w:w="108" w:type="dxa"/>
                </w:tblCellMar>
              </w:tblPrEx>
              <w:trPr>
                <w:trHeight w:val="363" w:hRule="atLeast"/>
              </w:trPr>
              <w:tc>
                <w:tcPr>
                  <w:tcW w:w="47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490C53">
                  <w:pPr>
                    <w:adjustRightInd w:val="0"/>
                    <w:snapToGrid w:val="0"/>
                    <w:jc w:val="center"/>
                    <w:rPr>
                      <w:rFonts w:hint="default" w:ascii="Times New Roman" w:hAnsi="Times New Roman" w:cs="Times New Roman"/>
                      <w:color w:val="auto"/>
                      <w:szCs w:val="21"/>
                    </w:rPr>
                  </w:pP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7A7848">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厂界西侧▲3</w:t>
                  </w:r>
                </w:p>
              </w:tc>
              <w:tc>
                <w:tcPr>
                  <w:tcW w:w="7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DD5509">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工业</w:t>
                  </w:r>
                </w:p>
              </w:tc>
              <w:tc>
                <w:tcPr>
                  <w:tcW w:w="9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230F6E">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03:26-03:29</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4DEB39">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53.6</w:t>
                  </w:r>
                </w:p>
              </w:tc>
              <w:tc>
                <w:tcPr>
                  <w:tcW w:w="6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8E3FC7">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54</w:t>
                  </w:r>
                </w:p>
              </w:tc>
              <w:tc>
                <w:tcPr>
                  <w:tcW w:w="47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203BF8">
                  <w:pPr>
                    <w:adjustRightInd w:val="0"/>
                    <w:snapToGrid w:val="0"/>
                    <w:jc w:val="center"/>
                    <w:rPr>
                      <w:rFonts w:hint="default" w:ascii="Times New Roman" w:hAnsi="Times New Roman" w:cs="Times New Roman"/>
                      <w:color w:val="auto"/>
                      <w:szCs w:val="21"/>
                    </w:rPr>
                  </w:pPr>
                </w:p>
              </w:tc>
            </w:tr>
            <w:tr w14:paraId="37BBD6AF">
              <w:tblPrEx>
                <w:tblCellMar>
                  <w:top w:w="0" w:type="dxa"/>
                  <w:left w:w="108" w:type="dxa"/>
                  <w:bottom w:w="0" w:type="dxa"/>
                  <w:right w:w="108" w:type="dxa"/>
                </w:tblCellMar>
              </w:tblPrEx>
              <w:trPr>
                <w:trHeight w:val="363" w:hRule="atLeast"/>
              </w:trPr>
              <w:tc>
                <w:tcPr>
                  <w:tcW w:w="47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0F91F6">
                  <w:pPr>
                    <w:adjustRightInd w:val="0"/>
                    <w:snapToGrid w:val="0"/>
                    <w:jc w:val="center"/>
                    <w:rPr>
                      <w:rFonts w:hint="default" w:ascii="Times New Roman" w:hAnsi="Times New Roman" w:cs="Times New Roman"/>
                      <w:color w:val="auto"/>
                      <w:szCs w:val="21"/>
                    </w:rPr>
                  </w:pP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B7BB12">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厂界北侧▲4</w:t>
                  </w:r>
                </w:p>
              </w:tc>
              <w:tc>
                <w:tcPr>
                  <w:tcW w:w="7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A8DB68">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工业</w:t>
                  </w:r>
                </w:p>
              </w:tc>
              <w:tc>
                <w:tcPr>
                  <w:tcW w:w="9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B0CF61">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03:32-03:35</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233371">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54.1</w:t>
                  </w:r>
                </w:p>
              </w:tc>
              <w:tc>
                <w:tcPr>
                  <w:tcW w:w="6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413AD3">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54</w:t>
                  </w:r>
                </w:p>
              </w:tc>
              <w:tc>
                <w:tcPr>
                  <w:tcW w:w="47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B8597E">
                  <w:pPr>
                    <w:adjustRightInd w:val="0"/>
                    <w:snapToGrid w:val="0"/>
                    <w:jc w:val="center"/>
                    <w:rPr>
                      <w:rFonts w:hint="default" w:ascii="Times New Roman" w:hAnsi="Times New Roman" w:cs="Times New Roman"/>
                      <w:color w:val="auto"/>
                      <w:szCs w:val="21"/>
                    </w:rPr>
                  </w:pPr>
                </w:p>
              </w:tc>
            </w:tr>
            <w:tr w14:paraId="02492E66">
              <w:tblPrEx>
                <w:tblCellMar>
                  <w:top w:w="0" w:type="dxa"/>
                  <w:left w:w="108" w:type="dxa"/>
                  <w:bottom w:w="0" w:type="dxa"/>
                  <w:right w:w="108" w:type="dxa"/>
                </w:tblCellMar>
              </w:tblPrEx>
              <w:trPr>
                <w:trHeight w:val="363" w:hRule="atLeast"/>
              </w:trPr>
              <w:tc>
                <w:tcPr>
                  <w:tcW w:w="47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1C4399B">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昼间</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4CC25D">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厂界东侧▲1</w:t>
                  </w:r>
                </w:p>
              </w:tc>
              <w:tc>
                <w:tcPr>
                  <w:tcW w:w="7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B33045">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工业</w:t>
                  </w:r>
                </w:p>
              </w:tc>
              <w:tc>
                <w:tcPr>
                  <w:tcW w:w="9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05DCBD">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13:49-13:52</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04E688">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58.6</w:t>
                  </w:r>
                </w:p>
              </w:tc>
              <w:tc>
                <w:tcPr>
                  <w:tcW w:w="6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0BC711">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59</w:t>
                  </w:r>
                </w:p>
              </w:tc>
              <w:tc>
                <w:tcPr>
                  <w:tcW w:w="47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8E92B54">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65</w:t>
                  </w:r>
                </w:p>
              </w:tc>
            </w:tr>
            <w:tr w14:paraId="4A6C7329">
              <w:tblPrEx>
                <w:tblCellMar>
                  <w:top w:w="0" w:type="dxa"/>
                  <w:left w:w="108" w:type="dxa"/>
                  <w:bottom w:w="0" w:type="dxa"/>
                  <w:right w:w="108" w:type="dxa"/>
                </w:tblCellMar>
              </w:tblPrEx>
              <w:trPr>
                <w:trHeight w:val="363" w:hRule="atLeast"/>
              </w:trPr>
              <w:tc>
                <w:tcPr>
                  <w:tcW w:w="47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65F30A">
                  <w:pPr>
                    <w:adjustRightInd w:val="0"/>
                    <w:snapToGrid w:val="0"/>
                    <w:jc w:val="center"/>
                    <w:rPr>
                      <w:rFonts w:hint="default" w:ascii="Times New Roman" w:hAnsi="Times New Roman" w:cs="Times New Roman"/>
                      <w:color w:val="auto"/>
                      <w:szCs w:val="21"/>
                    </w:rPr>
                  </w:pP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473333">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厂界南侧▲2</w:t>
                  </w:r>
                </w:p>
              </w:tc>
              <w:tc>
                <w:tcPr>
                  <w:tcW w:w="7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C943C1">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工业</w:t>
                  </w:r>
                </w:p>
              </w:tc>
              <w:tc>
                <w:tcPr>
                  <w:tcW w:w="9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74DB96">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13:55-13:58</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029DC0">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59.2</w:t>
                  </w:r>
                </w:p>
              </w:tc>
              <w:tc>
                <w:tcPr>
                  <w:tcW w:w="6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C94D3D">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59</w:t>
                  </w:r>
                </w:p>
              </w:tc>
              <w:tc>
                <w:tcPr>
                  <w:tcW w:w="47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6AF460">
                  <w:pPr>
                    <w:adjustRightInd w:val="0"/>
                    <w:snapToGrid w:val="0"/>
                    <w:jc w:val="center"/>
                    <w:rPr>
                      <w:rFonts w:hint="default" w:ascii="Times New Roman" w:hAnsi="Times New Roman" w:cs="Times New Roman"/>
                      <w:color w:val="auto"/>
                      <w:szCs w:val="21"/>
                    </w:rPr>
                  </w:pPr>
                </w:p>
              </w:tc>
            </w:tr>
            <w:tr w14:paraId="6E4F674E">
              <w:tblPrEx>
                <w:tblCellMar>
                  <w:top w:w="0" w:type="dxa"/>
                  <w:left w:w="108" w:type="dxa"/>
                  <w:bottom w:w="0" w:type="dxa"/>
                  <w:right w:w="108" w:type="dxa"/>
                </w:tblCellMar>
              </w:tblPrEx>
              <w:trPr>
                <w:trHeight w:val="363" w:hRule="atLeast"/>
              </w:trPr>
              <w:tc>
                <w:tcPr>
                  <w:tcW w:w="47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698A00">
                  <w:pPr>
                    <w:adjustRightInd w:val="0"/>
                    <w:snapToGrid w:val="0"/>
                    <w:jc w:val="center"/>
                    <w:rPr>
                      <w:rFonts w:hint="default" w:ascii="Times New Roman" w:hAnsi="Times New Roman" w:cs="Times New Roman"/>
                      <w:color w:val="auto"/>
                      <w:szCs w:val="21"/>
                    </w:rPr>
                  </w:pP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413580">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厂界西侧▲3</w:t>
                  </w:r>
                </w:p>
              </w:tc>
              <w:tc>
                <w:tcPr>
                  <w:tcW w:w="7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C2E9D8">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工业</w:t>
                  </w:r>
                </w:p>
              </w:tc>
              <w:tc>
                <w:tcPr>
                  <w:tcW w:w="9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1F5365">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14:00-14:03</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1F283A">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56.0</w:t>
                  </w:r>
                </w:p>
              </w:tc>
              <w:tc>
                <w:tcPr>
                  <w:tcW w:w="6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1ACFCE">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56</w:t>
                  </w:r>
                </w:p>
              </w:tc>
              <w:tc>
                <w:tcPr>
                  <w:tcW w:w="47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0DFF33">
                  <w:pPr>
                    <w:adjustRightInd w:val="0"/>
                    <w:snapToGrid w:val="0"/>
                    <w:jc w:val="center"/>
                    <w:rPr>
                      <w:rFonts w:hint="default" w:ascii="Times New Roman" w:hAnsi="Times New Roman" w:cs="Times New Roman"/>
                      <w:color w:val="auto"/>
                      <w:szCs w:val="21"/>
                    </w:rPr>
                  </w:pPr>
                </w:p>
              </w:tc>
            </w:tr>
            <w:tr w14:paraId="398DEDAF">
              <w:tblPrEx>
                <w:tblCellMar>
                  <w:top w:w="0" w:type="dxa"/>
                  <w:left w:w="108" w:type="dxa"/>
                  <w:bottom w:w="0" w:type="dxa"/>
                  <w:right w:w="108" w:type="dxa"/>
                </w:tblCellMar>
              </w:tblPrEx>
              <w:trPr>
                <w:trHeight w:val="363" w:hRule="atLeast"/>
              </w:trPr>
              <w:tc>
                <w:tcPr>
                  <w:tcW w:w="47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5F36F0">
                  <w:pPr>
                    <w:adjustRightInd w:val="0"/>
                    <w:snapToGrid w:val="0"/>
                    <w:jc w:val="center"/>
                    <w:rPr>
                      <w:rFonts w:hint="default" w:ascii="Times New Roman" w:hAnsi="Times New Roman" w:cs="Times New Roman"/>
                      <w:color w:val="auto"/>
                      <w:szCs w:val="21"/>
                    </w:rPr>
                  </w:pP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90E883">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厂界北侧▲4</w:t>
                  </w:r>
                </w:p>
              </w:tc>
              <w:tc>
                <w:tcPr>
                  <w:tcW w:w="7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FA0777">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工业</w:t>
                  </w:r>
                </w:p>
              </w:tc>
              <w:tc>
                <w:tcPr>
                  <w:tcW w:w="9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70C79C">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14:04-14:07</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5A3323">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58.7</w:t>
                  </w:r>
                </w:p>
              </w:tc>
              <w:tc>
                <w:tcPr>
                  <w:tcW w:w="6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341ED4">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59</w:t>
                  </w:r>
                </w:p>
              </w:tc>
              <w:tc>
                <w:tcPr>
                  <w:tcW w:w="47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4DE5B8">
                  <w:pPr>
                    <w:adjustRightInd w:val="0"/>
                    <w:snapToGrid w:val="0"/>
                    <w:jc w:val="center"/>
                    <w:rPr>
                      <w:rFonts w:hint="default" w:ascii="Times New Roman" w:hAnsi="Times New Roman" w:cs="Times New Roman"/>
                      <w:color w:val="auto"/>
                      <w:szCs w:val="21"/>
                    </w:rPr>
                  </w:pPr>
                </w:p>
              </w:tc>
            </w:tr>
          </w:tbl>
          <w:p w14:paraId="52775F8B">
            <w:pPr>
              <w:pStyle w:val="137"/>
              <w:keepNext w:val="0"/>
              <w:keepLines w:val="0"/>
              <w:pageBreakBefore w:val="0"/>
              <w:widowControl/>
              <w:kinsoku/>
              <w:wordWrap/>
              <w:overflowPunct/>
              <w:topLinePunct/>
              <w:autoSpaceDE/>
              <w:autoSpaceDN/>
              <w:bidi w:val="0"/>
              <w:adjustRightInd/>
              <w:snapToGrid w:val="0"/>
              <w:spacing w:before="190" w:beforeLines="50"/>
              <w:ind w:firstLine="480"/>
              <w:textAlignment w:val="baseline"/>
              <w:rPr>
                <w:rFonts w:hint="default" w:ascii="Times New Roman" w:hAnsi="Times New Roman" w:cs="Times New Roman"/>
                <w:color w:val="auto"/>
              </w:rPr>
            </w:pPr>
            <w:r>
              <w:rPr>
                <w:rFonts w:hint="default" w:ascii="Times New Roman" w:hAnsi="Times New Roman" w:cs="Times New Roman"/>
                <w:color w:val="auto"/>
              </w:rPr>
              <w:t>④固废、危废</w:t>
            </w:r>
          </w:p>
          <w:p w14:paraId="4660DE10">
            <w:pPr>
              <w:pStyle w:val="137"/>
              <w:keepNext w:val="0"/>
              <w:keepLines w:val="0"/>
              <w:pageBreakBefore w:val="0"/>
              <w:widowControl/>
              <w:kinsoku/>
              <w:wordWrap/>
              <w:overflowPunct/>
              <w:topLinePunct/>
              <w:autoSpaceDE/>
              <w:autoSpaceDN/>
              <w:bidi w:val="0"/>
              <w:adjustRightInd/>
              <w:snapToGrid w:val="0"/>
              <w:ind w:firstLine="480"/>
              <w:textAlignment w:val="baseline"/>
              <w:rPr>
                <w:rFonts w:hint="default" w:ascii="Times New Roman" w:hAnsi="Times New Roman" w:cs="Times New Roman"/>
                <w:color w:val="auto"/>
              </w:rPr>
            </w:pPr>
            <w:r>
              <w:rPr>
                <w:rFonts w:hint="default" w:ascii="Times New Roman" w:hAnsi="Times New Roman" w:cs="Times New Roman"/>
                <w:color w:val="auto"/>
              </w:rPr>
              <w:t>现有工程固废、危废产生及处置情况见表2.4-6。</w:t>
            </w:r>
          </w:p>
          <w:p w14:paraId="36E71F37">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表2.4-6  固废产生及处置情况一览表</w:t>
            </w:r>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2509"/>
              <w:gridCol w:w="1943"/>
              <w:gridCol w:w="967"/>
              <w:gridCol w:w="2553"/>
            </w:tblGrid>
            <w:tr w14:paraId="516BA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82" w:type="pct"/>
                  <w:vAlign w:val="center"/>
                </w:tcPr>
                <w:p w14:paraId="68436E19">
                  <w:pPr>
                    <w:pStyle w:val="131"/>
                    <w:rPr>
                      <w:rFonts w:hint="default" w:ascii="Times New Roman" w:hAnsi="Times New Roman" w:cs="Times New Roman"/>
                      <w:color w:val="auto"/>
                    </w:rPr>
                  </w:pPr>
                  <w:r>
                    <w:rPr>
                      <w:rFonts w:hint="default" w:ascii="Times New Roman" w:hAnsi="Times New Roman" w:cs="Times New Roman"/>
                      <w:color w:val="auto"/>
                    </w:rPr>
                    <w:t>序号</w:t>
                  </w:r>
                </w:p>
              </w:tc>
              <w:tc>
                <w:tcPr>
                  <w:tcW w:w="1453" w:type="pct"/>
                  <w:vAlign w:val="center"/>
                </w:tcPr>
                <w:p w14:paraId="3FCB1D37">
                  <w:pPr>
                    <w:pStyle w:val="131"/>
                    <w:rPr>
                      <w:rFonts w:hint="default" w:ascii="Times New Roman" w:hAnsi="Times New Roman" w:cs="Times New Roman"/>
                      <w:color w:val="auto"/>
                    </w:rPr>
                  </w:pPr>
                  <w:r>
                    <w:rPr>
                      <w:rFonts w:hint="default" w:ascii="Times New Roman" w:hAnsi="Times New Roman" w:cs="Times New Roman"/>
                      <w:color w:val="auto"/>
                    </w:rPr>
                    <w:t>名称</w:t>
                  </w:r>
                </w:p>
              </w:tc>
              <w:tc>
                <w:tcPr>
                  <w:tcW w:w="1125" w:type="pct"/>
                  <w:vAlign w:val="center"/>
                </w:tcPr>
                <w:p w14:paraId="6A9EF3B8">
                  <w:pPr>
                    <w:pStyle w:val="131"/>
                    <w:rPr>
                      <w:rFonts w:hint="default" w:ascii="Times New Roman" w:hAnsi="Times New Roman" w:cs="Times New Roman"/>
                      <w:color w:val="auto"/>
                    </w:rPr>
                  </w:pPr>
                  <w:r>
                    <w:rPr>
                      <w:rFonts w:hint="default" w:ascii="Times New Roman" w:hAnsi="Times New Roman" w:cs="Times New Roman"/>
                      <w:color w:val="auto"/>
                    </w:rPr>
                    <w:t>性质/编号</w:t>
                  </w:r>
                </w:p>
              </w:tc>
              <w:tc>
                <w:tcPr>
                  <w:tcW w:w="560" w:type="pct"/>
                  <w:vAlign w:val="center"/>
                </w:tcPr>
                <w:p w14:paraId="27BA8CC7">
                  <w:pPr>
                    <w:pStyle w:val="131"/>
                    <w:rPr>
                      <w:rFonts w:hint="default" w:ascii="Times New Roman" w:hAnsi="Times New Roman" w:cs="Times New Roman"/>
                      <w:color w:val="auto"/>
                    </w:rPr>
                  </w:pPr>
                  <w:r>
                    <w:rPr>
                      <w:rFonts w:hint="default" w:ascii="Times New Roman" w:hAnsi="Times New Roman" w:cs="Times New Roman"/>
                      <w:color w:val="auto"/>
                    </w:rPr>
                    <w:t>产生量（t/a）</w:t>
                  </w:r>
                </w:p>
              </w:tc>
              <w:tc>
                <w:tcPr>
                  <w:tcW w:w="1478" w:type="pct"/>
                  <w:vAlign w:val="center"/>
                </w:tcPr>
                <w:p w14:paraId="28FC7804">
                  <w:pPr>
                    <w:pStyle w:val="131"/>
                    <w:rPr>
                      <w:rFonts w:hint="default" w:ascii="Times New Roman" w:hAnsi="Times New Roman" w:cs="Times New Roman"/>
                      <w:color w:val="auto"/>
                    </w:rPr>
                  </w:pPr>
                  <w:r>
                    <w:rPr>
                      <w:rFonts w:hint="default" w:ascii="Times New Roman" w:hAnsi="Times New Roman" w:cs="Times New Roman"/>
                      <w:color w:val="auto"/>
                    </w:rPr>
                    <w:t>处理办法</w:t>
                  </w:r>
                </w:p>
              </w:tc>
            </w:tr>
            <w:tr w14:paraId="591D5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82" w:type="pct"/>
                  <w:vAlign w:val="center"/>
                </w:tcPr>
                <w:p w14:paraId="32204DB0">
                  <w:pPr>
                    <w:pStyle w:val="131"/>
                    <w:rPr>
                      <w:rFonts w:hint="default" w:ascii="Times New Roman" w:hAnsi="Times New Roman" w:cs="Times New Roman"/>
                      <w:color w:val="auto"/>
                    </w:rPr>
                  </w:pPr>
                  <w:r>
                    <w:rPr>
                      <w:rFonts w:hint="default" w:ascii="Times New Roman" w:hAnsi="Times New Roman" w:cs="Times New Roman"/>
                      <w:color w:val="auto"/>
                    </w:rPr>
                    <w:t>1</w:t>
                  </w:r>
                </w:p>
              </w:tc>
              <w:tc>
                <w:tcPr>
                  <w:tcW w:w="1453" w:type="pct"/>
                  <w:vAlign w:val="center"/>
                </w:tcPr>
                <w:p w14:paraId="3AA0BCA0">
                  <w:pPr>
                    <w:pStyle w:val="131"/>
                    <w:rPr>
                      <w:rFonts w:hint="default" w:ascii="Times New Roman" w:hAnsi="Times New Roman" w:cs="Times New Roman"/>
                      <w:color w:val="auto"/>
                    </w:rPr>
                  </w:pPr>
                  <w:r>
                    <w:rPr>
                      <w:rFonts w:hint="default" w:ascii="Times New Roman" w:hAnsi="Times New Roman" w:cs="Times New Roman"/>
                      <w:color w:val="auto"/>
                    </w:rPr>
                    <w:t>氧化铁皮</w:t>
                  </w:r>
                </w:p>
              </w:tc>
              <w:tc>
                <w:tcPr>
                  <w:tcW w:w="1125" w:type="pct"/>
                  <w:vAlign w:val="center"/>
                </w:tcPr>
                <w:p w14:paraId="30E3A8D0">
                  <w:pPr>
                    <w:pStyle w:val="131"/>
                    <w:rPr>
                      <w:rFonts w:hint="default" w:ascii="Times New Roman" w:hAnsi="Times New Roman" w:cs="Times New Roman"/>
                      <w:color w:val="auto"/>
                    </w:rPr>
                  </w:pPr>
                  <w:r>
                    <w:rPr>
                      <w:rFonts w:hint="default" w:ascii="Times New Roman" w:hAnsi="Times New Roman" w:cs="Times New Roman"/>
                      <w:color w:val="auto"/>
                    </w:rPr>
                    <w:t>313-001-S01</w:t>
                  </w:r>
                </w:p>
              </w:tc>
              <w:tc>
                <w:tcPr>
                  <w:tcW w:w="560" w:type="pct"/>
                  <w:vAlign w:val="center"/>
                </w:tcPr>
                <w:p w14:paraId="14133B01">
                  <w:pPr>
                    <w:pStyle w:val="131"/>
                    <w:rPr>
                      <w:rFonts w:hint="default" w:ascii="Times New Roman" w:hAnsi="Times New Roman" w:cs="Times New Roman"/>
                      <w:color w:val="auto"/>
                    </w:rPr>
                  </w:pPr>
                  <w:r>
                    <w:rPr>
                      <w:rFonts w:hint="default" w:ascii="Times New Roman" w:hAnsi="Times New Roman" w:cs="Times New Roman"/>
                      <w:color w:val="auto"/>
                    </w:rPr>
                    <w:t>60</w:t>
                  </w:r>
                </w:p>
              </w:tc>
              <w:tc>
                <w:tcPr>
                  <w:tcW w:w="1478" w:type="pct"/>
                  <w:vMerge w:val="restart"/>
                  <w:vAlign w:val="center"/>
                </w:tcPr>
                <w:p w14:paraId="110F8E16">
                  <w:pPr>
                    <w:pStyle w:val="131"/>
                    <w:jc w:val="both"/>
                    <w:rPr>
                      <w:rFonts w:hint="default" w:ascii="Times New Roman" w:hAnsi="Times New Roman" w:cs="Times New Roman"/>
                      <w:color w:val="auto"/>
                    </w:rPr>
                  </w:pPr>
                  <w:r>
                    <w:rPr>
                      <w:rFonts w:hint="default" w:ascii="Times New Roman" w:hAnsi="Times New Roman" w:cs="Times New Roman"/>
                      <w:color w:val="auto"/>
                    </w:rPr>
                    <w:t>收集后外售</w:t>
                  </w:r>
                </w:p>
              </w:tc>
            </w:tr>
            <w:tr w14:paraId="16FFF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82" w:type="pct"/>
                  <w:vAlign w:val="center"/>
                </w:tcPr>
                <w:p w14:paraId="37985CB4">
                  <w:pPr>
                    <w:pStyle w:val="131"/>
                    <w:rPr>
                      <w:rFonts w:hint="default" w:ascii="Times New Roman" w:hAnsi="Times New Roman" w:cs="Times New Roman"/>
                      <w:color w:val="auto"/>
                    </w:rPr>
                  </w:pPr>
                  <w:r>
                    <w:rPr>
                      <w:rFonts w:hint="default" w:ascii="Times New Roman" w:hAnsi="Times New Roman" w:cs="Times New Roman"/>
                      <w:color w:val="auto"/>
                    </w:rPr>
                    <w:t>2</w:t>
                  </w:r>
                </w:p>
              </w:tc>
              <w:tc>
                <w:tcPr>
                  <w:tcW w:w="1453" w:type="pct"/>
                  <w:vAlign w:val="center"/>
                </w:tcPr>
                <w:p w14:paraId="6E75940E">
                  <w:pPr>
                    <w:pStyle w:val="131"/>
                    <w:jc w:val="both"/>
                    <w:rPr>
                      <w:rFonts w:hint="default" w:ascii="Times New Roman" w:hAnsi="Times New Roman" w:cs="Times New Roman"/>
                      <w:color w:val="auto"/>
                    </w:rPr>
                  </w:pPr>
                  <w:r>
                    <w:rPr>
                      <w:rFonts w:hint="default" w:ascii="Times New Roman" w:hAnsi="Times New Roman" w:cs="Times New Roman"/>
                      <w:color w:val="auto"/>
                      <w:szCs w:val="21"/>
                    </w:rPr>
                    <w:t>线材端部（头、尾）剪切料、包装材料等</w:t>
                  </w:r>
                </w:p>
              </w:tc>
              <w:tc>
                <w:tcPr>
                  <w:tcW w:w="1125" w:type="pct"/>
                  <w:vAlign w:val="center"/>
                </w:tcPr>
                <w:p w14:paraId="48C231E5">
                  <w:pPr>
                    <w:pStyle w:val="131"/>
                    <w:rPr>
                      <w:rFonts w:hint="default" w:ascii="Times New Roman" w:hAnsi="Times New Roman" w:cs="Times New Roman"/>
                      <w:color w:val="auto"/>
                    </w:rPr>
                  </w:pPr>
                  <w:r>
                    <w:rPr>
                      <w:rFonts w:hint="default" w:ascii="Times New Roman" w:hAnsi="Times New Roman" w:cs="Times New Roman"/>
                      <w:color w:val="auto"/>
                    </w:rPr>
                    <w:t>313-001-S01</w:t>
                  </w:r>
                </w:p>
              </w:tc>
              <w:tc>
                <w:tcPr>
                  <w:tcW w:w="560" w:type="pct"/>
                  <w:vAlign w:val="center"/>
                </w:tcPr>
                <w:p w14:paraId="44EAAAE4">
                  <w:pPr>
                    <w:pStyle w:val="131"/>
                    <w:rPr>
                      <w:rFonts w:hint="default" w:ascii="Times New Roman" w:hAnsi="Times New Roman" w:cs="Times New Roman"/>
                      <w:color w:val="auto"/>
                    </w:rPr>
                  </w:pPr>
                  <w:r>
                    <w:rPr>
                      <w:rFonts w:hint="default" w:ascii="Times New Roman" w:hAnsi="Times New Roman" w:cs="Times New Roman"/>
                      <w:color w:val="auto"/>
                    </w:rPr>
                    <w:t>380</w:t>
                  </w:r>
                </w:p>
              </w:tc>
              <w:tc>
                <w:tcPr>
                  <w:tcW w:w="1478" w:type="pct"/>
                  <w:vMerge w:val="continue"/>
                  <w:vAlign w:val="center"/>
                </w:tcPr>
                <w:p w14:paraId="429FA1A5">
                  <w:pPr>
                    <w:pStyle w:val="131"/>
                    <w:jc w:val="both"/>
                    <w:rPr>
                      <w:rFonts w:hint="default" w:ascii="Times New Roman" w:hAnsi="Times New Roman" w:cs="Times New Roman"/>
                      <w:color w:val="auto"/>
                    </w:rPr>
                  </w:pPr>
                </w:p>
              </w:tc>
            </w:tr>
            <w:tr w14:paraId="54F2A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82" w:type="pct"/>
                  <w:vAlign w:val="center"/>
                </w:tcPr>
                <w:p w14:paraId="3B2D8217">
                  <w:pPr>
                    <w:pStyle w:val="131"/>
                    <w:rPr>
                      <w:rFonts w:hint="default" w:ascii="Times New Roman" w:hAnsi="Times New Roman" w:cs="Times New Roman"/>
                      <w:color w:val="auto"/>
                    </w:rPr>
                  </w:pPr>
                  <w:r>
                    <w:rPr>
                      <w:rFonts w:hint="default" w:ascii="Times New Roman" w:hAnsi="Times New Roman" w:cs="Times New Roman"/>
                      <w:color w:val="auto"/>
                    </w:rPr>
                    <w:t>3</w:t>
                  </w:r>
                </w:p>
              </w:tc>
              <w:tc>
                <w:tcPr>
                  <w:tcW w:w="1453" w:type="pct"/>
                  <w:vAlign w:val="center"/>
                </w:tcPr>
                <w:p w14:paraId="5160ECEE">
                  <w:pPr>
                    <w:pStyle w:val="131"/>
                    <w:rPr>
                      <w:rFonts w:hint="default" w:ascii="Times New Roman" w:hAnsi="Times New Roman" w:cs="Times New Roman"/>
                      <w:color w:val="auto"/>
                    </w:rPr>
                  </w:pPr>
                  <w:r>
                    <w:rPr>
                      <w:rFonts w:hint="default" w:ascii="Times New Roman" w:hAnsi="Times New Roman" w:cs="Times New Roman"/>
                      <w:color w:val="auto"/>
                    </w:rPr>
                    <w:t>生活垃圾</w:t>
                  </w:r>
                </w:p>
              </w:tc>
              <w:tc>
                <w:tcPr>
                  <w:tcW w:w="1125" w:type="pct"/>
                  <w:vAlign w:val="center"/>
                </w:tcPr>
                <w:p w14:paraId="4CEA8070">
                  <w:pPr>
                    <w:pStyle w:val="131"/>
                    <w:rPr>
                      <w:rFonts w:hint="default" w:ascii="Times New Roman" w:hAnsi="Times New Roman" w:cs="Times New Roman"/>
                      <w:color w:val="auto"/>
                    </w:rPr>
                  </w:pPr>
                  <w:r>
                    <w:rPr>
                      <w:rFonts w:hint="default" w:ascii="Times New Roman" w:hAnsi="Times New Roman" w:cs="Times New Roman"/>
                      <w:color w:val="auto"/>
                    </w:rPr>
                    <w:t>900-002-S64</w:t>
                  </w:r>
                </w:p>
              </w:tc>
              <w:tc>
                <w:tcPr>
                  <w:tcW w:w="560" w:type="pct"/>
                  <w:vAlign w:val="center"/>
                </w:tcPr>
                <w:p w14:paraId="2483AAE2">
                  <w:pPr>
                    <w:pStyle w:val="131"/>
                    <w:rPr>
                      <w:rFonts w:hint="default" w:ascii="Times New Roman" w:hAnsi="Times New Roman" w:cs="Times New Roman"/>
                      <w:color w:val="auto"/>
                    </w:rPr>
                  </w:pPr>
                  <w:r>
                    <w:rPr>
                      <w:rFonts w:hint="default" w:ascii="Times New Roman" w:hAnsi="Times New Roman" w:cs="Times New Roman"/>
                      <w:color w:val="auto"/>
                    </w:rPr>
                    <w:t>17.82</w:t>
                  </w:r>
                </w:p>
              </w:tc>
              <w:tc>
                <w:tcPr>
                  <w:tcW w:w="1478" w:type="pct"/>
                  <w:vAlign w:val="center"/>
                </w:tcPr>
                <w:p w14:paraId="0300EF8B">
                  <w:pPr>
                    <w:pStyle w:val="131"/>
                    <w:jc w:val="both"/>
                    <w:rPr>
                      <w:rFonts w:hint="default" w:ascii="Times New Roman" w:hAnsi="Times New Roman" w:cs="Times New Roman"/>
                      <w:color w:val="auto"/>
                    </w:rPr>
                  </w:pPr>
                  <w:r>
                    <w:rPr>
                      <w:rFonts w:hint="default" w:ascii="Times New Roman" w:hAnsi="Times New Roman" w:cs="Times New Roman"/>
                      <w:color w:val="auto"/>
                      <w:szCs w:val="21"/>
                    </w:rPr>
                    <w:t>由环卫部门及时负责清理</w:t>
                  </w:r>
                </w:p>
              </w:tc>
            </w:tr>
            <w:tr w14:paraId="467C9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8" w:hRule="atLeast"/>
                <w:jc w:val="center"/>
              </w:trPr>
              <w:tc>
                <w:tcPr>
                  <w:tcW w:w="382" w:type="pct"/>
                  <w:vAlign w:val="center"/>
                </w:tcPr>
                <w:p w14:paraId="4BE73455">
                  <w:pPr>
                    <w:pStyle w:val="131"/>
                    <w:rPr>
                      <w:rFonts w:hint="default" w:ascii="Times New Roman" w:hAnsi="Times New Roman" w:cs="Times New Roman"/>
                      <w:color w:val="auto"/>
                    </w:rPr>
                  </w:pPr>
                  <w:r>
                    <w:rPr>
                      <w:rFonts w:hint="default" w:ascii="Times New Roman" w:hAnsi="Times New Roman" w:cs="Times New Roman"/>
                      <w:color w:val="auto"/>
                    </w:rPr>
                    <w:t>4</w:t>
                  </w:r>
                </w:p>
              </w:tc>
              <w:tc>
                <w:tcPr>
                  <w:tcW w:w="1453" w:type="pct"/>
                  <w:vAlign w:val="center"/>
                </w:tcPr>
                <w:p w14:paraId="12720742">
                  <w:pPr>
                    <w:pStyle w:val="131"/>
                    <w:rPr>
                      <w:rFonts w:hint="default" w:ascii="Times New Roman" w:hAnsi="Times New Roman" w:cs="Times New Roman"/>
                      <w:color w:val="auto"/>
                    </w:rPr>
                  </w:pPr>
                  <w:r>
                    <w:rPr>
                      <w:rFonts w:hint="default" w:ascii="Times New Roman" w:hAnsi="Times New Roman" w:cs="Times New Roman"/>
                      <w:color w:val="auto"/>
                    </w:rPr>
                    <w:t>废润滑油</w:t>
                  </w:r>
                </w:p>
              </w:tc>
              <w:tc>
                <w:tcPr>
                  <w:tcW w:w="1125" w:type="pct"/>
                  <w:vAlign w:val="center"/>
                </w:tcPr>
                <w:p w14:paraId="1A457BFD">
                  <w:pPr>
                    <w:pStyle w:val="86"/>
                    <w:snapToGrid w:val="0"/>
                    <w:rPr>
                      <w:rFonts w:hint="default" w:ascii="Times New Roman" w:hAnsi="Times New Roman" w:cs="Times New Roman"/>
                      <w:color w:val="auto"/>
                    </w:rPr>
                  </w:pPr>
                  <w:r>
                    <w:rPr>
                      <w:rFonts w:hint="default" w:ascii="Times New Roman" w:hAnsi="Times New Roman" w:cs="Times New Roman"/>
                      <w:color w:val="auto"/>
                    </w:rPr>
                    <w:t>危险废物（HW08</w:t>
                  </w:r>
                </w:p>
                <w:p w14:paraId="5F14CA92">
                  <w:pPr>
                    <w:pStyle w:val="131"/>
                    <w:rPr>
                      <w:rFonts w:hint="default" w:ascii="Times New Roman" w:hAnsi="Times New Roman" w:cs="Times New Roman"/>
                      <w:color w:val="auto"/>
                    </w:rPr>
                  </w:pPr>
                  <w:r>
                    <w:rPr>
                      <w:rFonts w:hint="default" w:ascii="Times New Roman" w:hAnsi="Times New Roman" w:cs="Times New Roman"/>
                      <w:color w:val="auto"/>
                      <w:kern w:val="2"/>
                      <w:szCs w:val="21"/>
                    </w:rPr>
                    <w:t>900-214-08）</w:t>
                  </w:r>
                </w:p>
              </w:tc>
              <w:tc>
                <w:tcPr>
                  <w:tcW w:w="560" w:type="pct"/>
                  <w:vAlign w:val="center"/>
                </w:tcPr>
                <w:p w14:paraId="78AB553C">
                  <w:pPr>
                    <w:pStyle w:val="131"/>
                    <w:rPr>
                      <w:rFonts w:hint="default" w:ascii="Times New Roman" w:hAnsi="Times New Roman" w:cs="Times New Roman"/>
                      <w:color w:val="auto"/>
                    </w:rPr>
                  </w:pPr>
                  <w:r>
                    <w:rPr>
                      <w:rFonts w:hint="default" w:ascii="Times New Roman" w:hAnsi="Times New Roman" w:cs="Times New Roman"/>
                      <w:color w:val="auto"/>
                    </w:rPr>
                    <w:t>1</w:t>
                  </w:r>
                </w:p>
              </w:tc>
              <w:tc>
                <w:tcPr>
                  <w:tcW w:w="1478" w:type="pct"/>
                  <w:vAlign w:val="center"/>
                </w:tcPr>
                <w:p w14:paraId="6C2A7CF9">
                  <w:pPr>
                    <w:pStyle w:val="131"/>
                    <w:jc w:val="both"/>
                    <w:rPr>
                      <w:rFonts w:hint="default" w:ascii="Times New Roman" w:hAnsi="Times New Roman" w:cs="Times New Roman"/>
                      <w:color w:val="auto"/>
                      <w:szCs w:val="21"/>
                    </w:rPr>
                  </w:pPr>
                  <w:r>
                    <w:rPr>
                      <w:rFonts w:hint="default" w:ascii="Times New Roman" w:hAnsi="Times New Roman" w:cs="Times New Roman"/>
                      <w:color w:val="auto"/>
                      <w:szCs w:val="21"/>
                    </w:rPr>
                    <w:t>回用于企业机械设备的润滑作业</w:t>
                  </w:r>
                </w:p>
              </w:tc>
            </w:tr>
          </w:tbl>
          <w:p w14:paraId="4EDB1434">
            <w:pPr>
              <w:pStyle w:val="14"/>
              <w:keepNext w:val="0"/>
              <w:keepLines w:val="0"/>
              <w:pageBreakBefore w:val="0"/>
              <w:widowControl w:val="0"/>
              <w:kinsoku/>
              <w:wordWrap/>
              <w:overflowPunct/>
              <w:topLinePunct w:val="0"/>
              <w:autoSpaceDE/>
              <w:autoSpaceDN/>
              <w:bidi w:val="0"/>
              <w:adjustRightInd w:val="0"/>
              <w:snapToGrid w:val="0"/>
              <w:spacing w:before="190" w:beforeLines="50" w:after="0" w:line="360" w:lineRule="auto"/>
              <w:ind w:right="0"/>
              <w:textAlignment w:val="auto"/>
              <w:outlineLvl w:val="3"/>
              <w:rPr>
                <w:rFonts w:hint="default" w:ascii="Times New Roman" w:hAnsi="Times New Roman" w:eastAsia="黑体" w:cs="Times New Roman"/>
                <w:color w:val="auto"/>
                <w:spacing w:val="4"/>
                <w:sz w:val="24"/>
              </w:rPr>
            </w:pPr>
            <w:r>
              <w:rPr>
                <w:rFonts w:hint="default" w:ascii="Times New Roman" w:hAnsi="Times New Roman" w:eastAsia="黑体" w:cs="Times New Roman"/>
                <w:color w:val="auto"/>
                <w:spacing w:val="4"/>
                <w:sz w:val="24"/>
              </w:rPr>
              <w:t>2.4.1.2在建工程</w:t>
            </w:r>
          </w:p>
          <w:p w14:paraId="132DAAD7">
            <w:pPr>
              <w:pStyle w:val="14"/>
              <w:widowControl w:val="0"/>
              <w:adjustRightInd w:val="0"/>
              <w:spacing w:before="0" w:after="0" w:line="360" w:lineRule="auto"/>
              <w:ind w:right="0" w:firstLine="496" w:firstLineChars="200"/>
              <w:rPr>
                <w:rFonts w:hint="default" w:ascii="Times New Roman" w:hAnsi="Times New Roman" w:cs="Times New Roman"/>
                <w:color w:val="auto"/>
                <w:spacing w:val="4"/>
                <w:sz w:val="24"/>
              </w:rPr>
            </w:pPr>
            <w:r>
              <w:rPr>
                <w:rFonts w:hint="default" w:ascii="Times New Roman" w:hAnsi="Times New Roman" w:cs="Times New Roman"/>
                <w:color w:val="auto"/>
                <w:spacing w:val="4"/>
                <w:sz w:val="24"/>
              </w:rPr>
              <w:t>（1）工程组成</w:t>
            </w:r>
          </w:p>
          <w:p w14:paraId="48F9A02F">
            <w:pPr>
              <w:pStyle w:val="14"/>
              <w:widowControl w:val="0"/>
              <w:adjustRightInd w:val="0"/>
              <w:spacing w:before="0" w:after="0" w:line="360" w:lineRule="auto"/>
              <w:ind w:right="0" w:firstLine="496" w:firstLineChars="200"/>
              <w:rPr>
                <w:rFonts w:hint="default" w:ascii="Times New Roman" w:hAnsi="Times New Roman" w:cs="Times New Roman"/>
                <w:color w:val="auto"/>
                <w:spacing w:val="4"/>
                <w:sz w:val="24"/>
              </w:rPr>
            </w:pPr>
            <w:r>
              <w:rPr>
                <w:rFonts w:hint="default" w:ascii="Times New Roman" w:hAnsi="Times New Roman" w:cs="Times New Roman"/>
                <w:color w:val="auto"/>
                <w:spacing w:val="4"/>
                <w:sz w:val="24"/>
              </w:rPr>
              <w:t>公司在建工程组成详见表2.4-7。</w:t>
            </w:r>
          </w:p>
          <w:p w14:paraId="62C639C4">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表2.4-7</w:t>
            </w:r>
            <w:r>
              <w:rPr>
                <w:rFonts w:hint="eastAsia" w:eastAsia="黑体" w:cs="Times New Roman"/>
                <w:b w:val="0"/>
                <w:bCs/>
                <w:color w:val="auto"/>
                <w:lang w:val="en-US" w:eastAsia="zh-CN"/>
              </w:rPr>
              <w:t xml:space="preserve">  </w:t>
            </w:r>
            <w:r>
              <w:rPr>
                <w:rFonts w:hint="default" w:ascii="Times New Roman" w:hAnsi="Times New Roman" w:eastAsia="黑体" w:cs="Times New Roman"/>
                <w:b w:val="0"/>
                <w:bCs/>
                <w:color w:val="auto"/>
              </w:rPr>
              <w:t>在建工程主要建设内容一览表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9"/>
              <w:gridCol w:w="1014"/>
              <w:gridCol w:w="1458"/>
              <w:gridCol w:w="4052"/>
              <w:gridCol w:w="1349"/>
            </w:tblGrid>
            <w:tr w14:paraId="231C1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40" w:type="pct"/>
                  <w:tcBorders>
                    <w:tl2br w:val="nil"/>
                    <w:tr2bl w:val="nil"/>
                  </w:tcBorders>
                  <w:vAlign w:val="center"/>
                </w:tcPr>
                <w:p w14:paraId="459B391F">
                  <w:pPr>
                    <w:autoSpaceDE w:val="0"/>
                    <w:autoSpaceDN w:val="0"/>
                    <w:adjustRightInd w:val="0"/>
                    <w:snapToGrid w:val="0"/>
                    <w:spacing w:line="240" w:lineRule="exact"/>
                    <w:jc w:val="center"/>
                    <w:textAlignment w:val="baseline"/>
                    <w:rPr>
                      <w:rFonts w:hint="default" w:ascii="Times New Roman" w:hAnsi="Times New Roman" w:cs="Times New Roman"/>
                      <w:b w:val="0"/>
                      <w:bCs/>
                      <w:color w:val="auto"/>
                      <w:szCs w:val="21"/>
                    </w:rPr>
                  </w:pPr>
                  <w:bookmarkStart w:id="125" w:name="OLE_LINK3"/>
                  <w:r>
                    <w:rPr>
                      <w:rFonts w:hint="default" w:ascii="Times New Roman" w:hAnsi="Times New Roman" w:cs="Times New Roman"/>
                      <w:b w:val="0"/>
                      <w:bCs/>
                      <w:color w:val="auto"/>
                      <w:szCs w:val="21"/>
                    </w:rPr>
                    <w:t>序号</w:t>
                  </w:r>
                </w:p>
              </w:tc>
              <w:tc>
                <w:tcPr>
                  <w:tcW w:w="1431" w:type="pct"/>
                  <w:gridSpan w:val="2"/>
                  <w:tcBorders>
                    <w:tl2br w:val="nil"/>
                    <w:tr2bl w:val="nil"/>
                  </w:tcBorders>
                  <w:vAlign w:val="center"/>
                </w:tcPr>
                <w:p w14:paraId="4AF26D82">
                  <w:pPr>
                    <w:autoSpaceDE w:val="0"/>
                    <w:autoSpaceDN w:val="0"/>
                    <w:adjustRightInd w:val="0"/>
                    <w:snapToGrid w:val="0"/>
                    <w:spacing w:line="240" w:lineRule="exact"/>
                    <w:jc w:val="center"/>
                    <w:textAlignment w:val="baseline"/>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项目组成</w:t>
                  </w:r>
                </w:p>
              </w:tc>
              <w:tc>
                <w:tcPr>
                  <w:tcW w:w="2346" w:type="pct"/>
                  <w:tcBorders>
                    <w:tl2br w:val="nil"/>
                    <w:tr2bl w:val="nil"/>
                  </w:tcBorders>
                  <w:vAlign w:val="center"/>
                </w:tcPr>
                <w:p w14:paraId="3ABC48DE">
                  <w:pPr>
                    <w:autoSpaceDE w:val="0"/>
                    <w:autoSpaceDN w:val="0"/>
                    <w:adjustRightInd w:val="0"/>
                    <w:snapToGrid w:val="0"/>
                    <w:spacing w:line="240" w:lineRule="exact"/>
                    <w:jc w:val="center"/>
                    <w:textAlignment w:val="baseline"/>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主要内容</w:t>
                  </w:r>
                </w:p>
              </w:tc>
              <w:tc>
                <w:tcPr>
                  <w:tcW w:w="781" w:type="pct"/>
                  <w:tcBorders>
                    <w:tl2br w:val="nil"/>
                    <w:tr2bl w:val="nil"/>
                  </w:tcBorders>
                  <w:vAlign w:val="center"/>
                </w:tcPr>
                <w:p w14:paraId="055E51D6">
                  <w:pPr>
                    <w:autoSpaceDE w:val="0"/>
                    <w:autoSpaceDN w:val="0"/>
                    <w:adjustRightInd w:val="0"/>
                    <w:snapToGrid w:val="0"/>
                    <w:spacing w:line="240" w:lineRule="exact"/>
                    <w:jc w:val="center"/>
                    <w:textAlignment w:val="baseline"/>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建设情况</w:t>
                  </w:r>
                </w:p>
              </w:tc>
            </w:tr>
            <w:tr w14:paraId="62B39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7" w:hRule="atLeast"/>
                <w:jc w:val="center"/>
              </w:trPr>
              <w:tc>
                <w:tcPr>
                  <w:tcW w:w="440" w:type="pct"/>
                  <w:tcBorders>
                    <w:tl2br w:val="nil"/>
                    <w:tr2bl w:val="nil"/>
                  </w:tcBorders>
                  <w:vAlign w:val="center"/>
                </w:tcPr>
                <w:p w14:paraId="6B3ABF35">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587" w:type="pct"/>
                  <w:tcBorders>
                    <w:tl2br w:val="nil"/>
                    <w:tr2bl w:val="nil"/>
                  </w:tcBorders>
                  <w:vAlign w:val="center"/>
                </w:tcPr>
                <w:p w14:paraId="74629555">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主体</w:t>
                  </w:r>
                </w:p>
                <w:p w14:paraId="617267E2">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工程</w:t>
                  </w:r>
                </w:p>
              </w:tc>
              <w:tc>
                <w:tcPr>
                  <w:tcW w:w="843" w:type="pct"/>
                  <w:tcBorders>
                    <w:tl2br w:val="nil"/>
                    <w:tr2bl w:val="nil"/>
                  </w:tcBorders>
                  <w:vAlign w:val="center"/>
                </w:tcPr>
                <w:p w14:paraId="6FA10D20">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1#生产车间</w:t>
                  </w:r>
                </w:p>
              </w:tc>
              <w:tc>
                <w:tcPr>
                  <w:tcW w:w="2346" w:type="pct"/>
                  <w:tcBorders>
                    <w:tl2br w:val="nil"/>
                    <w:tr2bl w:val="nil"/>
                  </w:tcBorders>
                  <w:vAlign w:val="center"/>
                </w:tcPr>
                <w:p w14:paraId="428B0FE6">
                  <w:pPr>
                    <w:autoSpaceDE w:val="0"/>
                    <w:autoSpaceDN w:val="0"/>
                    <w:adjustRightInd w:val="0"/>
                    <w:snapToGrid w:val="0"/>
                    <w:spacing w:line="240" w:lineRule="exact"/>
                    <w:jc w:val="both"/>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利用1#车间建筑面积500m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，扩建3条钢丝生产线，新增</w:t>
                  </w:r>
                  <w:r>
                    <w:rPr>
                      <w:rFonts w:hint="default" w:ascii="Times New Roman" w:hAnsi="Times New Roman" w:cs="Times New Roman"/>
                      <w:color w:val="auto"/>
                    </w:rPr>
                    <w:t>年产1.55万吨钢丝</w:t>
                  </w:r>
                </w:p>
              </w:tc>
              <w:tc>
                <w:tcPr>
                  <w:tcW w:w="781" w:type="pct"/>
                  <w:tcBorders>
                    <w:tl2br w:val="nil"/>
                    <w:tr2bl w:val="nil"/>
                  </w:tcBorders>
                  <w:vAlign w:val="center"/>
                </w:tcPr>
                <w:p w14:paraId="29451266">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在建</w:t>
                  </w:r>
                </w:p>
              </w:tc>
            </w:tr>
            <w:tr w14:paraId="0A9A6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40" w:type="pct"/>
                  <w:vMerge w:val="restart"/>
                  <w:tcBorders>
                    <w:tl2br w:val="nil"/>
                    <w:tr2bl w:val="nil"/>
                  </w:tcBorders>
                  <w:vAlign w:val="center"/>
                </w:tcPr>
                <w:p w14:paraId="2B0B27A4">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2</w:t>
                  </w:r>
                </w:p>
              </w:tc>
              <w:tc>
                <w:tcPr>
                  <w:tcW w:w="587" w:type="pct"/>
                  <w:vMerge w:val="restart"/>
                  <w:tcBorders>
                    <w:tl2br w:val="nil"/>
                    <w:tr2bl w:val="nil"/>
                  </w:tcBorders>
                  <w:vAlign w:val="center"/>
                </w:tcPr>
                <w:p w14:paraId="3F453F28">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辅助</w:t>
                  </w:r>
                </w:p>
                <w:p w14:paraId="12E57D0E">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工程</w:t>
                  </w:r>
                </w:p>
              </w:tc>
              <w:tc>
                <w:tcPr>
                  <w:tcW w:w="843" w:type="pct"/>
                  <w:tcBorders>
                    <w:tl2br w:val="nil"/>
                    <w:tr2bl w:val="nil"/>
                  </w:tcBorders>
                  <w:vAlign w:val="center"/>
                </w:tcPr>
                <w:p w14:paraId="41C705F0">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办公区</w:t>
                  </w:r>
                </w:p>
              </w:tc>
              <w:tc>
                <w:tcPr>
                  <w:tcW w:w="2346" w:type="pct"/>
                  <w:tcBorders>
                    <w:tl2br w:val="nil"/>
                    <w:tr2bl w:val="nil"/>
                  </w:tcBorders>
                  <w:vAlign w:val="center"/>
                </w:tcPr>
                <w:p w14:paraId="5C5171BC">
                  <w:pPr>
                    <w:autoSpaceDE w:val="0"/>
                    <w:autoSpaceDN w:val="0"/>
                    <w:adjustRightInd w:val="0"/>
                    <w:snapToGrid w:val="0"/>
                    <w:spacing w:line="240" w:lineRule="exact"/>
                    <w:jc w:val="both"/>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依托现有办公区</w:t>
                  </w:r>
                </w:p>
              </w:tc>
              <w:tc>
                <w:tcPr>
                  <w:tcW w:w="781" w:type="pct"/>
                  <w:tcBorders>
                    <w:tl2br w:val="nil"/>
                    <w:tr2bl w:val="nil"/>
                  </w:tcBorders>
                  <w:vAlign w:val="center"/>
                </w:tcPr>
                <w:p w14:paraId="20EA2408">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依托现有</w:t>
                  </w:r>
                </w:p>
              </w:tc>
            </w:tr>
            <w:tr w14:paraId="08492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40" w:type="pct"/>
                  <w:vMerge w:val="continue"/>
                  <w:tcBorders>
                    <w:tl2br w:val="nil"/>
                    <w:tr2bl w:val="nil"/>
                  </w:tcBorders>
                  <w:vAlign w:val="center"/>
                </w:tcPr>
                <w:p w14:paraId="2AF845E1">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p>
              </w:tc>
              <w:tc>
                <w:tcPr>
                  <w:tcW w:w="587" w:type="pct"/>
                  <w:vMerge w:val="continue"/>
                  <w:tcBorders>
                    <w:tl2br w:val="nil"/>
                    <w:tr2bl w:val="nil"/>
                  </w:tcBorders>
                  <w:vAlign w:val="center"/>
                </w:tcPr>
                <w:p w14:paraId="6649A589">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p>
              </w:tc>
              <w:tc>
                <w:tcPr>
                  <w:tcW w:w="843" w:type="pct"/>
                  <w:tcBorders>
                    <w:tl2br w:val="nil"/>
                    <w:tr2bl w:val="nil"/>
                  </w:tcBorders>
                  <w:vAlign w:val="center"/>
                </w:tcPr>
                <w:p w14:paraId="3E8E7E6B">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宿舍</w:t>
                  </w:r>
                </w:p>
              </w:tc>
              <w:tc>
                <w:tcPr>
                  <w:tcW w:w="2346" w:type="pct"/>
                  <w:tcBorders>
                    <w:tl2br w:val="nil"/>
                    <w:tr2bl w:val="nil"/>
                  </w:tcBorders>
                  <w:vAlign w:val="center"/>
                </w:tcPr>
                <w:p w14:paraId="5E54BCC3">
                  <w:pPr>
                    <w:autoSpaceDE w:val="0"/>
                    <w:autoSpaceDN w:val="0"/>
                    <w:adjustRightInd w:val="0"/>
                    <w:snapToGrid w:val="0"/>
                    <w:spacing w:line="240" w:lineRule="exact"/>
                    <w:jc w:val="both"/>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依托现有公司宿舍</w:t>
                  </w:r>
                </w:p>
              </w:tc>
              <w:tc>
                <w:tcPr>
                  <w:tcW w:w="781" w:type="pct"/>
                  <w:tcBorders>
                    <w:tl2br w:val="nil"/>
                    <w:tr2bl w:val="nil"/>
                  </w:tcBorders>
                  <w:vAlign w:val="center"/>
                </w:tcPr>
                <w:p w14:paraId="2FBAB5D3">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依托现有</w:t>
                  </w:r>
                </w:p>
              </w:tc>
            </w:tr>
            <w:tr w14:paraId="04371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40" w:type="pct"/>
                  <w:vMerge w:val="restart"/>
                  <w:tcBorders>
                    <w:tl2br w:val="nil"/>
                    <w:tr2bl w:val="nil"/>
                  </w:tcBorders>
                  <w:vAlign w:val="center"/>
                </w:tcPr>
                <w:p w14:paraId="65BBC137">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3</w:t>
                  </w:r>
                </w:p>
              </w:tc>
              <w:tc>
                <w:tcPr>
                  <w:tcW w:w="587" w:type="pct"/>
                  <w:vMerge w:val="restart"/>
                  <w:tcBorders>
                    <w:tl2br w:val="nil"/>
                    <w:tr2bl w:val="nil"/>
                  </w:tcBorders>
                  <w:vAlign w:val="center"/>
                </w:tcPr>
                <w:p w14:paraId="32CE0E8B">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公用</w:t>
                  </w:r>
                </w:p>
                <w:p w14:paraId="7810ABB3">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工程</w:t>
                  </w:r>
                </w:p>
              </w:tc>
              <w:tc>
                <w:tcPr>
                  <w:tcW w:w="843" w:type="pct"/>
                  <w:tcBorders>
                    <w:tl2br w:val="nil"/>
                    <w:tr2bl w:val="nil"/>
                  </w:tcBorders>
                  <w:vAlign w:val="center"/>
                </w:tcPr>
                <w:p w14:paraId="14B9395F">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电力</w:t>
                  </w:r>
                </w:p>
              </w:tc>
              <w:tc>
                <w:tcPr>
                  <w:tcW w:w="2346" w:type="pct"/>
                  <w:tcBorders>
                    <w:tl2br w:val="nil"/>
                    <w:tr2bl w:val="nil"/>
                  </w:tcBorders>
                  <w:vAlign w:val="center"/>
                </w:tcPr>
                <w:p w14:paraId="7CCC3CF9">
                  <w:pPr>
                    <w:autoSpaceDE w:val="0"/>
                    <w:autoSpaceDN w:val="0"/>
                    <w:adjustRightInd w:val="0"/>
                    <w:snapToGrid w:val="0"/>
                    <w:spacing w:line="240" w:lineRule="exact"/>
                    <w:jc w:val="both"/>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由市政供电管网供给</w:t>
                  </w:r>
                </w:p>
              </w:tc>
              <w:tc>
                <w:tcPr>
                  <w:tcW w:w="781" w:type="pct"/>
                  <w:tcBorders>
                    <w:tl2br w:val="nil"/>
                    <w:tr2bl w:val="nil"/>
                  </w:tcBorders>
                  <w:vAlign w:val="center"/>
                </w:tcPr>
                <w:p w14:paraId="49D464BD">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依托现有</w:t>
                  </w:r>
                </w:p>
              </w:tc>
            </w:tr>
            <w:tr w14:paraId="2AB58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40" w:type="pct"/>
                  <w:vMerge w:val="continue"/>
                  <w:tcBorders>
                    <w:tl2br w:val="nil"/>
                    <w:tr2bl w:val="nil"/>
                  </w:tcBorders>
                  <w:vAlign w:val="center"/>
                </w:tcPr>
                <w:p w14:paraId="2510F8F9">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p>
              </w:tc>
              <w:tc>
                <w:tcPr>
                  <w:tcW w:w="587" w:type="pct"/>
                  <w:vMerge w:val="continue"/>
                  <w:tcBorders>
                    <w:tl2br w:val="nil"/>
                    <w:tr2bl w:val="nil"/>
                  </w:tcBorders>
                  <w:vAlign w:val="center"/>
                </w:tcPr>
                <w:p w14:paraId="70D4F7EF">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p>
              </w:tc>
              <w:tc>
                <w:tcPr>
                  <w:tcW w:w="843" w:type="pct"/>
                  <w:tcBorders>
                    <w:tl2br w:val="nil"/>
                    <w:tr2bl w:val="nil"/>
                  </w:tcBorders>
                  <w:vAlign w:val="center"/>
                </w:tcPr>
                <w:p w14:paraId="59D65949">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供水</w:t>
                  </w:r>
                </w:p>
              </w:tc>
              <w:tc>
                <w:tcPr>
                  <w:tcW w:w="2346" w:type="pct"/>
                  <w:tcBorders>
                    <w:tl2br w:val="nil"/>
                    <w:tr2bl w:val="nil"/>
                  </w:tcBorders>
                  <w:vAlign w:val="center"/>
                </w:tcPr>
                <w:p w14:paraId="1CB984E7">
                  <w:pPr>
                    <w:autoSpaceDE w:val="0"/>
                    <w:autoSpaceDN w:val="0"/>
                    <w:adjustRightInd w:val="0"/>
                    <w:snapToGrid w:val="0"/>
                    <w:spacing w:line="240" w:lineRule="exact"/>
                    <w:jc w:val="both"/>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给水管网，由市政管网供给</w:t>
                  </w:r>
                </w:p>
              </w:tc>
              <w:tc>
                <w:tcPr>
                  <w:tcW w:w="781" w:type="pct"/>
                  <w:tcBorders>
                    <w:tl2br w:val="nil"/>
                    <w:tr2bl w:val="nil"/>
                  </w:tcBorders>
                  <w:vAlign w:val="center"/>
                </w:tcPr>
                <w:p w14:paraId="2FFD8776">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依托现有</w:t>
                  </w:r>
                </w:p>
              </w:tc>
            </w:tr>
            <w:tr w14:paraId="52331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8" w:hRule="atLeast"/>
                <w:jc w:val="center"/>
              </w:trPr>
              <w:tc>
                <w:tcPr>
                  <w:tcW w:w="440" w:type="pct"/>
                  <w:vMerge w:val="restart"/>
                  <w:tcBorders>
                    <w:tl2br w:val="nil"/>
                    <w:tr2bl w:val="nil"/>
                  </w:tcBorders>
                  <w:vAlign w:val="center"/>
                </w:tcPr>
                <w:p w14:paraId="7FEAAD0A">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4</w:t>
                  </w:r>
                </w:p>
              </w:tc>
              <w:tc>
                <w:tcPr>
                  <w:tcW w:w="587" w:type="pct"/>
                  <w:vMerge w:val="restart"/>
                  <w:tcBorders>
                    <w:tl2br w:val="nil"/>
                    <w:tr2bl w:val="nil"/>
                  </w:tcBorders>
                  <w:vAlign w:val="center"/>
                </w:tcPr>
                <w:p w14:paraId="2EAA03F1">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环</w:t>
                  </w:r>
                </w:p>
                <w:p w14:paraId="2EA08344">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保</w:t>
                  </w:r>
                </w:p>
                <w:p w14:paraId="7853F47C">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工</w:t>
                  </w:r>
                </w:p>
                <w:p w14:paraId="62A1A68A">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程</w:t>
                  </w:r>
                </w:p>
              </w:tc>
              <w:tc>
                <w:tcPr>
                  <w:tcW w:w="843" w:type="pct"/>
                  <w:tcBorders>
                    <w:tl2br w:val="nil"/>
                    <w:tr2bl w:val="nil"/>
                  </w:tcBorders>
                  <w:vAlign w:val="center"/>
                </w:tcPr>
                <w:p w14:paraId="3E1F8E29">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废气</w:t>
                  </w:r>
                </w:p>
              </w:tc>
              <w:tc>
                <w:tcPr>
                  <w:tcW w:w="2346" w:type="pct"/>
                  <w:tcBorders>
                    <w:tl2br w:val="nil"/>
                    <w:tr2bl w:val="nil"/>
                  </w:tcBorders>
                  <w:vAlign w:val="center"/>
                </w:tcPr>
                <w:p w14:paraId="19A51681">
                  <w:pPr>
                    <w:pStyle w:val="138"/>
                    <w:adjustRightInd w:val="0"/>
                    <w:snapToGrid w:val="0"/>
                    <w:ind w:firstLine="420" w:firstLineChars="200"/>
                    <w:jc w:val="both"/>
                    <w:rPr>
                      <w:rFonts w:hint="default" w:ascii="Times New Roman" w:hAnsi="Times New Roman" w:cs="Times New Roman"/>
                      <w:color w:val="auto"/>
                    </w:rPr>
                  </w:pPr>
                  <w:r>
                    <w:rPr>
                      <w:rFonts w:hint="default" w:ascii="Times New Roman" w:hAnsi="Times New Roman" w:cs="Times New Roman"/>
                      <w:color w:val="auto"/>
                    </w:rPr>
                    <w:t>剥壳除锈工序产生的颗粒物</w:t>
                  </w:r>
                  <w:r>
                    <w:rPr>
                      <w:rFonts w:hint="default" w:ascii="Times New Roman" w:hAnsi="Times New Roman" w:cs="Times New Roman"/>
                      <w:color w:val="auto"/>
                      <w:lang w:val="en-GB"/>
                    </w:rPr>
                    <w:t>：</w:t>
                  </w:r>
                  <w:r>
                    <w:rPr>
                      <w:rFonts w:hint="default" w:ascii="Times New Roman" w:hAnsi="Times New Roman" w:cs="Times New Roman"/>
                      <w:color w:val="auto"/>
                    </w:rPr>
                    <w:t>剥壳除锈</w:t>
                  </w:r>
                  <w:r>
                    <w:rPr>
                      <w:rFonts w:hint="default" w:ascii="Times New Roman" w:hAnsi="Times New Roman" w:cs="Times New Roman"/>
                      <w:color w:val="auto"/>
                      <w:lang w:val="en-GB"/>
                    </w:rPr>
                    <w:t>工序位于密闭车间内，产生的粉尘</w:t>
                  </w:r>
                  <w:r>
                    <w:rPr>
                      <w:rFonts w:hint="default" w:ascii="Times New Roman" w:hAnsi="Times New Roman" w:cs="Times New Roman"/>
                      <w:color w:val="auto"/>
                    </w:rPr>
                    <w:t>面源无组织排放；</w:t>
                  </w:r>
                </w:p>
                <w:p w14:paraId="39E5E7FD">
                  <w:pPr>
                    <w:pStyle w:val="138"/>
                    <w:adjustRightInd w:val="0"/>
                    <w:snapToGrid w:val="0"/>
                    <w:ind w:firstLine="420" w:firstLineChars="200"/>
                    <w:jc w:val="both"/>
                    <w:rPr>
                      <w:rFonts w:hint="default" w:ascii="Times New Roman" w:hAnsi="Times New Roman" w:cs="Times New Roman"/>
                      <w:color w:val="auto"/>
                    </w:rPr>
                  </w:pPr>
                  <w:r>
                    <w:rPr>
                      <w:rFonts w:hint="default" w:ascii="Times New Roman" w:hAnsi="Times New Roman" w:cs="Times New Roman"/>
                      <w:color w:val="auto"/>
                    </w:rPr>
                    <w:t>打磨工序产生的颗粒物</w:t>
                  </w:r>
                  <w:r>
                    <w:rPr>
                      <w:rFonts w:hint="default" w:ascii="Times New Roman" w:hAnsi="Times New Roman" w:cs="Times New Roman"/>
                      <w:color w:val="auto"/>
                      <w:lang w:val="en-GB"/>
                    </w:rPr>
                    <w:t>：</w:t>
                  </w:r>
                  <w:r>
                    <w:rPr>
                      <w:rFonts w:hint="default" w:ascii="Times New Roman" w:hAnsi="Times New Roman" w:cs="Times New Roman"/>
                      <w:color w:val="auto"/>
                    </w:rPr>
                    <w:t>打磨</w:t>
                  </w:r>
                  <w:r>
                    <w:rPr>
                      <w:rFonts w:hint="default" w:ascii="Times New Roman" w:hAnsi="Times New Roman" w:cs="Times New Roman"/>
                      <w:color w:val="auto"/>
                      <w:lang w:val="en-GB"/>
                    </w:rPr>
                    <w:t>工序位于密闭车间内，产生的粉尘</w:t>
                  </w:r>
                  <w:r>
                    <w:rPr>
                      <w:rFonts w:hint="default" w:ascii="Times New Roman" w:hAnsi="Times New Roman" w:cs="Times New Roman"/>
                      <w:color w:val="auto"/>
                    </w:rPr>
                    <w:t>经滤筒除尘设施处理后面源无组织排放。</w:t>
                  </w:r>
                </w:p>
              </w:tc>
              <w:tc>
                <w:tcPr>
                  <w:tcW w:w="781" w:type="pct"/>
                  <w:tcBorders>
                    <w:tl2br w:val="nil"/>
                    <w:tr2bl w:val="nil"/>
                  </w:tcBorders>
                  <w:vAlign w:val="center"/>
                </w:tcPr>
                <w:p w14:paraId="117CB399">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在建</w:t>
                  </w:r>
                </w:p>
              </w:tc>
            </w:tr>
            <w:tr w14:paraId="414C7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40" w:type="pct"/>
                  <w:vMerge w:val="continue"/>
                  <w:tcBorders>
                    <w:tl2br w:val="nil"/>
                    <w:tr2bl w:val="nil"/>
                  </w:tcBorders>
                  <w:vAlign w:val="center"/>
                </w:tcPr>
                <w:p w14:paraId="058AAE39">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p>
              </w:tc>
              <w:tc>
                <w:tcPr>
                  <w:tcW w:w="587" w:type="pct"/>
                  <w:vMerge w:val="continue"/>
                  <w:tcBorders>
                    <w:tl2br w:val="nil"/>
                    <w:tr2bl w:val="nil"/>
                  </w:tcBorders>
                  <w:vAlign w:val="center"/>
                </w:tcPr>
                <w:p w14:paraId="1869A763">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p>
              </w:tc>
              <w:tc>
                <w:tcPr>
                  <w:tcW w:w="843" w:type="pct"/>
                  <w:tcBorders>
                    <w:tl2br w:val="nil"/>
                    <w:tr2bl w:val="nil"/>
                  </w:tcBorders>
                  <w:vAlign w:val="center"/>
                </w:tcPr>
                <w:p w14:paraId="39CEDF8D">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固废</w:t>
                  </w:r>
                </w:p>
              </w:tc>
              <w:tc>
                <w:tcPr>
                  <w:tcW w:w="2346" w:type="pct"/>
                  <w:tcBorders>
                    <w:tl2br w:val="nil"/>
                    <w:tr2bl w:val="nil"/>
                  </w:tcBorders>
                  <w:vAlign w:val="center"/>
                </w:tcPr>
                <w:p w14:paraId="489C4E08">
                  <w:pPr>
                    <w:autoSpaceDE w:val="0"/>
                    <w:autoSpaceDN w:val="0"/>
                    <w:adjustRightInd w:val="0"/>
                    <w:snapToGrid w:val="0"/>
                    <w:spacing w:line="240" w:lineRule="exact"/>
                    <w:jc w:val="both"/>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工业废物储存间、危废间、垃圾桶等</w:t>
                  </w:r>
                </w:p>
              </w:tc>
              <w:tc>
                <w:tcPr>
                  <w:tcW w:w="781" w:type="pct"/>
                  <w:tcBorders>
                    <w:tl2br w:val="nil"/>
                    <w:tr2bl w:val="nil"/>
                  </w:tcBorders>
                  <w:vAlign w:val="center"/>
                </w:tcPr>
                <w:p w14:paraId="743AE0E6">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依托现有</w:t>
                  </w:r>
                </w:p>
              </w:tc>
            </w:tr>
            <w:tr w14:paraId="03DBE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440" w:type="pct"/>
                  <w:vMerge w:val="continue"/>
                  <w:tcBorders>
                    <w:tl2br w:val="nil"/>
                    <w:tr2bl w:val="nil"/>
                  </w:tcBorders>
                  <w:vAlign w:val="center"/>
                </w:tcPr>
                <w:p w14:paraId="269425CB">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p>
              </w:tc>
              <w:tc>
                <w:tcPr>
                  <w:tcW w:w="587" w:type="pct"/>
                  <w:vMerge w:val="continue"/>
                  <w:tcBorders>
                    <w:tl2br w:val="nil"/>
                    <w:tr2bl w:val="nil"/>
                  </w:tcBorders>
                  <w:vAlign w:val="center"/>
                </w:tcPr>
                <w:p w14:paraId="42C16D69">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p>
              </w:tc>
              <w:tc>
                <w:tcPr>
                  <w:tcW w:w="843" w:type="pct"/>
                  <w:tcBorders>
                    <w:tl2br w:val="nil"/>
                    <w:tr2bl w:val="nil"/>
                  </w:tcBorders>
                  <w:vAlign w:val="center"/>
                </w:tcPr>
                <w:p w14:paraId="0AC948C0">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危险废物</w:t>
                  </w:r>
                </w:p>
              </w:tc>
              <w:tc>
                <w:tcPr>
                  <w:tcW w:w="2346" w:type="pct"/>
                  <w:tcBorders>
                    <w:tl2br w:val="nil"/>
                    <w:tr2bl w:val="nil"/>
                  </w:tcBorders>
                  <w:vAlign w:val="center"/>
                </w:tcPr>
                <w:p w14:paraId="2BAEC90C">
                  <w:pPr>
                    <w:autoSpaceDE w:val="0"/>
                    <w:autoSpaceDN w:val="0"/>
                    <w:adjustRightInd w:val="0"/>
                    <w:snapToGrid w:val="0"/>
                    <w:spacing w:line="240" w:lineRule="exact"/>
                    <w:jc w:val="both"/>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暂存于危险废物暂存间，委托有资质的单位处理</w:t>
                  </w:r>
                </w:p>
              </w:tc>
              <w:tc>
                <w:tcPr>
                  <w:tcW w:w="781" w:type="pct"/>
                  <w:tcBorders>
                    <w:tl2br w:val="nil"/>
                    <w:tr2bl w:val="nil"/>
                  </w:tcBorders>
                  <w:vAlign w:val="center"/>
                </w:tcPr>
                <w:p w14:paraId="39EDFCD1">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依托现有</w:t>
                  </w:r>
                </w:p>
              </w:tc>
            </w:tr>
            <w:tr w14:paraId="386A4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40" w:type="pct"/>
                  <w:vMerge w:val="continue"/>
                  <w:tcBorders>
                    <w:tl2br w:val="nil"/>
                    <w:tr2bl w:val="nil"/>
                  </w:tcBorders>
                  <w:vAlign w:val="center"/>
                </w:tcPr>
                <w:p w14:paraId="1180D525">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p>
              </w:tc>
              <w:tc>
                <w:tcPr>
                  <w:tcW w:w="587" w:type="pct"/>
                  <w:vMerge w:val="continue"/>
                  <w:tcBorders>
                    <w:tl2br w:val="nil"/>
                    <w:tr2bl w:val="nil"/>
                  </w:tcBorders>
                  <w:vAlign w:val="center"/>
                </w:tcPr>
                <w:p w14:paraId="53774236">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p>
              </w:tc>
              <w:tc>
                <w:tcPr>
                  <w:tcW w:w="843" w:type="pct"/>
                  <w:tcBorders>
                    <w:tl2br w:val="nil"/>
                    <w:tr2bl w:val="nil"/>
                  </w:tcBorders>
                  <w:vAlign w:val="center"/>
                </w:tcPr>
                <w:p w14:paraId="70539781">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噪声</w:t>
                  </w:r>
                </w:p>
              </w:tc>
              <w:tc>
                <w:tcPr>
                  <w:tcW w:w="2346" w:type="pct"/>
                  <w:tcBorders>
                    <w:tl2br w:val="nil"/>
                    <w:tr2bl w:val="nil"/>
                  </w:tcBorders>
                  <w:vAlign w:val="center"/>
                </w:tcPr>
                <w:p w14:paraId="1A690198">
                  <w:pPr>
                    <w:autoSpaceDE w:val="0"/>
                    <w:autoSpaceDN w:val="0"/>
                    <w:adjustRightInd w:val="0"/>
                    <w:snapToGrid w:val="0"/>
                    <w:spacing w:line="240" w:lineRule="exact"/>
                    <w:jc w:val="both"/>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隔音、减振措施</w:t>
                  </w:r>
                </w:p>
              </w:tc>
              <w:tc>
                <w:tcPr>
                  <w:tcW w:w="781" w:type="pct"/>
                  <w:tcBorders>
                    <w:tl2br w:val="nil"/>
                    <w:tr2bl w:val="nil"/>
                  </w:tcBorders>
                  <w:vAlign w:val="center"/>
                </w:tcPr>
                <w:p w14:paraId="672185A7">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新建</w:t>
                  </w:r>
                </w:p>
              </w:tc>
            </w:tr>
            <w:tr w14:paraId="51692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40" w:type="pct"/>
                  <w:vMerge w:val="continue"/>
                  <w:tcBorders>
                    <w:tl2br w:val="nil"/>
                    <w:tr2bl w:val="nil"/>
                  </w:tcBorders>
                  <w:vAlign w:val="center"/>
                </w:tcPr>
                <w:p w14:paraId="028FA86E">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p>
              </w:tc>
              <w:tc>
                <w:tcPr>
                  <w:tcW w:w="587" w:type="pct"/>
                  <w:vMerge w:val="continue"/>
                  <w:tcBorders>
                    <w:tl2br w:val="nil"/>
                    <w:tr2bl w:val="nil"/>
                  </w:tcBorders>
                  <w:vAlign w:val="center"/>
                </w:tcPr>
                <w:p w14:paraId="40382D79">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p>
              </w:tc>
              <w:tc>
                <w:tcPr>
                  <w:tcW w:w="843" w:type="pct"/>
                  <w:tcBorders>
                    <w:tl2br w:val="nil"/>
                    <w:tr2bl w:val="nil"/>
                  </w:tcBorders>
                  <w:vAlign w:val="center"/>
                </w:tcPr>
                <w:p w14:paraId="7E48576C">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生活污水</w:t>
                  </w:r>
                </w:p>
              </w:tc>
              <w:tc>
                <w:tcPr>
                  <w:tcW w:w="2346" w:type="pct"/>
                  <w:tcBorders>
                    <w:tl2br w:val="nil"/>
                    <w:tr2bl w:val="nil"/>
                  </w:tcBorders>
                  <w:vAlign w:val="center"/>
                </w:tcPr>
                <w:p w14:paraId="7933147A">
                  <w:pPr>
                    <w:autoSpaceDE w:val="0"/>
                    <w:autoSpaceDN w:val="0"/>
                    <w:adjustRightInd w:val="0"/>
                    <w:snapToGrid w:val="0"/>
                    <w:spacing w:line="240" w:lineRule="exact"/>
                    <w:jc w:val="both"/>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项目不新增员工，生活污水维持原状</w:t>
                  </w:r>
                </w:p>
              </w:tc>
              <w:tc>
                <w:tcPr>
                  <w:tcW w:w="781" w:type="pct"/>
                  <w:tcBorders>
                    <w:tl2br w:val="nil"/>
                    <w:tr2bl w:val="nil"/>
                  </w:tcBorders>
                  <w:vAlign w:val="center"/>
                </w:tcPr>
                <w:p w14:paraId="0EA1391B">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依托现有</w:t>
                  </w:r>
                </w:p>
              </w:tc>
            </w:tr>
            <w:tr w14:paraId="48525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40" w:type="pct"/>
                  <w:vMerge w:val="continue"/>
                  <w:tcBorders>
                    <w:tl2br w:val="nil"/>
                    <w:tr2bl w:val="nil"/>
                  </w:tcBorders>
                  <w:vAlign w:val="center"/>
                </w:tcPr>
                <w:p w14:paraId="2A0D118E">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p>
              </w:tc>
              <w:tc>
                <w:tcPr>
                  <w:tcW w:w="587" w:type="pct"/>
                  <w:vMerge w:val="continue"/>
                  <w:tcBorders>
                    <w:tl2br w:val="nil"/>
                    <w:tr2bl w:val="nil"/>
                  </w:tcBorders>
                  <w:vAlign w:val="center"/>
                </w:tcPr>
                <w:p w14:paraId="726AD0CA">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p>
              </w:tc>
              <w:tc>
                <w:tcPr>
                  <w:tcW w:w="843" w:type="pct"/>
                  <w:tcBorders>
                    <w:tl2br w:val="nil"/>
                    <w:tr2bl w:val="nil"/>
                  </w:tcBorders>
                  <w:vAlign w:val="center"/>
                </w:tcPr>
                <w:p w14:paraId="2ED161E8">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生产废水</w:t>
                  </w:r>
                </w:p>
              </w:tc>
              <w:tc>
                <w:tcPr>
                  <w:tcW w:w="2346" w:type="pct"/>
                  <w:tcBorders>
                    <w:tl2br w:val="nil"/>
                    <w:tr2bl w:val="nil"/>
                  </w:tcBorders>
                  <w:vAlign w:val="center"/>
                </w:tcPr>
                <w:p w14:paraId="2DA3FEBB">
                  <w:pPr>
                    <w:autoSpaceDE w:val="0"/>
                    <w:autoSpaceDN w:val="0"/>
                    <w:adjustRightInd w:val="0"/>
                    <w:snapToGrid w:val="0"/>
                    <w:spacing w:line="240" w:lineRule="exact"/>
                    <w:jc w:val="both"/>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冷却废水循环使用，不外排</w:t>
                  </w:r>
                </w:p>
              </w:tc>
              <w:tc>
                <w:tcPr>
                  <w:tcW w:w="781" w:type="pct"/>
                  <w:tcBorders>
                    <w:tl2br w:val="nil"/>
                    <w:tr2bl w:val="nil"/>
                  </w:tcBorders>
                  <w:vAlign w:val="center"/>
                </w:tcPr>
                <w:p w14:paraId="56FC242A">
                  <w:pPr>
                    <w:autoSpaceDE w:val="0"/>
                    <w:autoSpaceDN w:val="0"/>
                    <w:adjustRightInd w:val="0"/>
                    <w:snapToGrid w:val="0"/>
                    <w:spacing w:line="240" w:lineRule="exac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在建</w:t>
                  </w:r>
                </w:p>
              </w:tc>
            </w:tr>
            <w:bookmarkEnd w:id="125"/>
          </w:tbl>
          <w:p w14:paraId="56DF15A7">
            <w:pPr>
              <w:pStyle w:val="14"/>
              <w:keepNext w:val="0"/>
              <w:keepLines w:val="0"/>
              <w:pageBreakBefore w:val="0"/>
              <w:widowControl/>
              <w:kinsoku/>
              <w:wordWrap/>
              <w:overflowPunct/>
              <w:topLinePunct w:val="0"/>
              <w:autoSpaceDE/>
              <w:autoSpaceDN/>
              <w:bidi w:val="0"/>
              <w:adjustRightInd w:val="0"/>
              <w:snapToGrid w:val="0"/>
              <w:spacing w:before="115" w:beforeLines="30" w:after="0" w:line="360" w:lineRule="auto"/>
              <w:ind w:right="0" w:firstLine="496" w:firstLineChars="200"/>
              <w:textAlignment w:val="auto"/>
              <w:rPr>
                <w:rFonts w:hint="default" w:ascii="Times New Roman" w:hAnsi="Times New Roman" w:cs="Times New Roman"/>
                <w:color w:val="auto"/>
                <w:spacing w:val="4"/>
                <w:sz w:val="24"/>
              </w:rPr>
            </w:pPr>
            <w:r>
              <w:rPr>
                <w:rFonts w:hint="default" w:ascii="Times New Roman" w:hAnsi="Times New Roman" w:cs="Times New Roman"/>
                <w:color w:val="auto"/>
                <w:spacing w:val="4"/>
                <w:sz w:val="24"/>
              </w:rPr>
              <w:t>（2）产品规模及方案</w:t>
            </w:r>
          </w:p>
          <w:p w14:paraId="0D3343EE">
            <w:pPr>
              <w:pStyle w:val="41"/>
              <w:adjustRightInd w:val="0"/>
              <w:snapToGrid w:val="0"/>
              <w:spacing w:before="0" w:beforeAutospacing="0" w:after="0" w:afterAutospacing="0"/>
              <w:ind w:firstLine="480"/>
              <w:rPr>
                <w:rFonts w:hint="default" w:ascii="Times New Roman" w:hAnsi="Times New Roman" w:cs="Times New Roman"/>
                <w:color w:val="auto"/>
              </w:rPr>
            </w:pPr>
            <w:r>
              <w:rPr>
                <w:rFonts w:hint="default" w:ascii="Times New Roman" w:hAnsi="Times New Roman" w:cs="Times New Roman"/>
                <w:color w:val="auto"/>
              </w:rPr>
              <w:t>在建项目建成后全厂主要产品方案及产量见表2.4-8。</w:t>
            </w:r>
          </w:p>
          <w:p w14:paraId="5DBBBAA1">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表2.4-8  项目产品方案及产量一览表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28" w:type="dxa"/>
                <w:bottom w:w="0" w:type="dxa"/>
                <w:right w:w="28" w:type="dxa"/>
              </w:tblCellMar>
            </w:tblPr>
            <w:tblGrid>
              <w:gridCol w:w="1150"/>
              <w:gridCol w:w="2306"/>
              <w:gridCol w:w="2312"/>
              <w:gridCol w:w="2864"/>
            </w:tblGrid>
            <w:tr w14:paraId="0C16056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666" w:type="pct"/>
                  <w:noWrap/>
                  <w:vAlign w:val="center"/>
                </w:tcPr>
                <w:p w14:paraId="54583C48">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序号</w:t>
                  </w:r>
                </w:p>
              </w:tc>
              <w:tc>
                <w:tcPr>
                  <w:tcW w:w="1335" w:type="pct"/>
                  <w:noWrap/>
                  <w:vAlign w:val="center"/>
                </w:tcPr>
                <w:p w14:paraId="631160E9">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产品方案</w:t>
                  </w:r>
                </w:p>
              </w:tc>
              <w:tc>
                <w:tcPr>
                  <w:tcW w:w="1339" w:type="pct"/>
                  <w:vAlign w:val="center"/>
                </w:tcPr>
                <w:p w14:paraId="5E9CA7C5">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现有工程产能</w:t>
                  </w:r>
                </w:p>
              </w:tc>
              <w:tc>
                <w:tcPr>
                  <w:tcW w:w="1658" w:type="pct"/>
                  <w:vAlign w:val="center"/>
                </w:tcPr>
                <w:p w14:paraId="6E612D27">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在建完成后全厂产能</w:t>
                  </w:r>
                </w:p>
              </w:tc>
            </w:tr>
            <w:tr w14:paraId="727435E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666" w:type="pct"/>
                  <w:noWrap/>
                  <w:vAlign w:val="center"/>
                </w:tcPr>
                <w:p w14:paraId="7DAEFC69">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1</w:t>
                  </w:r>
                </w:p>
              </w:tc>
              <w:tc>
                <w:tcPr>
                  <w:tcW w:w="1335" w:type="pct"/>
                  <w:noWrap/>
                  <w:vAlign w:val="center"/>
                </w:tcPr>
                <w:p w14:paraId="37DE2264">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PC钢棒</w:t>
                  </w:r>
                </w:p>
              </w:tc>
              <w:tc>
                <w:tcPr>
                  <w:tcW w:w="1339" w:type="pct"/>
                  <w:noWrap/>
                  <w:vAlign w:val="center"/>
                </w:tcPr>
                <w:p w14:paraId="4272CA84">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24万t/a</w:t>
                  </w:r>
                </w:p>
              </w:tc>
              <w:tc>
                <w:tcPr>
                  <w:tcW w:w="1658" w:type="pct"/>
                  <w:noWrap/>
                  <w:vAlign w:val="center"/>
                </w:tcPr>
                <w:p w14:paraId="1ECF8113">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24万t/a</w:t>
                  </w:r>
                </w:p>
              </w:tc>
            </w:tr>
            <w:tr w14:paraId="41CFB48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666" w:type="pct"/>
                  <w:noWrap/>
                  <w:vAlign w:val="center"/>
                </w:tcPr>
                <w:p w14:paraId="227AC9C3">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2</w:t>
                  </w:r>
                </w:p>
              </w:tc>
              <w:tc>
                <w:tcPr>
                  <w:tcW w:w="1335" w:type="pct"/>
                  <w:noWrap/>
                  <w:vAlign w:val="center"/>
                </w:tcPr>
                <w:p w14:paraId="706C6AF2">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钢丝线</w:t>
                  </w:r>
                </w:p>
              </w:tc>
              <w:tc>
                <w:tcPr>
                  <w:tcW w:w="1339" w:type="pct"/>
                  <w:noWrap/>
                  <w:vAlign w:val="center"/>
                </w:tcPr>
                <w:p w14:paraId="3B27DE92">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0</w:t>
                  </w:r>
                </w:p>
              </w:tc>
              <w:tc>
                <w:tcPr>
                  <w:tcW w:w="1658" w:type="pct"/>
                  <w:noWrap/>
                  <w:vAlign w:val="center"/>
                </w:tcPr>
                <w:p w14:paraId="4F537FE5">
                  <w:pPr>
                    <w:pStyle w:val="133"/>
                    <w:spacing w:before="0" w:after="0" w:line="240" w:lineRule="auto"/>
                    <w:rPr>
                      <w:rFonts w:hint="default" w:ascii="Times New Roman" w:hAnsi="Times New Roman" w:cs="Times New Roman"/>
                      <w:color w:val="auto"/>
                      <w:sz w:val="21"/>
                    </w:rPr>
                  </w:pPr>
                  <w:r>
                    <w:rPr>
                      <w:rFonts w:hint="default" w:ascii="Times New Roman" w:hAnsi="Times New Roman" w:cs="Times New Roman"/>
                      <w:color w:val="auto"/>
                      <w:sz w:val="21"/>
                    </w:rPr>
                    <w:t>1.55万t/a</w:t>
                  </w:r>
                </w:p>
              </w:tc>
            </w:tr>
          </w:tbl>
          <w:p w14:paraId="428608D0">
            <w:pPr>
              <w:pStyle w:val="41"/>
              <w:keepNext w:val="0"/>
              <w:keepLines w:val="0"/>
              <w:pageBreakBefore w:val="0"/>
              <w:widowControl w:val="0"/>
              <w:numPr>
                <w:ilvl w:val="0"/>
                <w:numId w:val="0"/>
              </w:numPr>
              <w:kinsoku/>
              <w:wordWrap/>
              <w:overflowPunct/>
              <w:topLinePunct w:val="0"/>
              <w:autoSpaceDE/>
              <w:autoSpaceDN/>
              <w:bidi w:val="0"/>
              <w:adjustRightInd w:val="0"/>
              <w:snapToGrid w:val="0"/>
              <w:spacing w:before="190" w:beforeLines="50" w:beforeAutospacing="0" w:after="0" w:afterAutospacing="0"/>
              <w:ind w:firstLine="480" w:firstLineChars="200"/>
              <w:textAlignment w:val="auto"/>
              <w:rPr>
                <w:rFonts w:hint="default" w:ascii="Times New Roman" w:hAnsi="Times New Roman" w:cs="Times New Roman"/>
                <w:color w:val="auto"/>
              </w:rPr>
            </w:pP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3</w:t>
            </w:r>
            <w:r>
              <w:rPr>
                <w:rFonts w:hint="eastAsia" w:ascii="Times New Roman" w:hAnsi="Times New Roman" w:cs="Times New Roman"/>
                <w:color w:val="auto"/>
                <w:lang w:eastAsia="zh-CN"/>
              </w:rPr>
              <w:t>）</w:t>
            </w:r>
            <w:r>
              <w:rPr>
                <w:rFonts w:hint="default" w:ascii="Times New Roman" w:hAnsi="Times New Roman" w:cs="Times New Roman"/>
                <w:color w:val="auto"/>
              </w:rPr>
              <w:t>原辅材料、能源使用情况</w:t>
            </w:r>
          </w:p>
          <w:p w14:paraId="4E3C9AFF">
            <w:pPr>
              <w:pStyle w:val="41"/>
              <w:adjustRightInd w:val="0"/>
              <w:snapToGrid w:val="0"/>
              <w:spacing w:before="0" w:beforeAutospacing="0" w:after="0" w:afterAutospacing="0"/>
              <w:ind w:firstLine="480"/>
              <w:rPr>
                <w:rFonts w:hint="default" w:ascii="Times New Roman" w:hAnsi="Times New Roman" w:cs="Times New Roman"/>
                <w:color w:val="auto"/>
              </w:rPr>
            </w:pPr>
            <w:r>
              <w:rPr>
                <w:rFonts w:hint="default" w:ascii="Times New Roman" w:hAnsi="Times New Roman" w:cs="Times New Roman"/>
                <w:color w:val="auto"/>
              </w:rPr>
              <w:t>现有工程主要原辅材料及能源消耗详见表2.4-9。</w:t>
            </w:r>
          </w:p>
          <w:p w14:paraId="4941F480">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表2.4-9</w:t>
            </w:r>
            <w:r>
              <w:rPr>
                <w:rFonts w:hint="eastAsia" w:eastAsia="黑体" w:cs="Times New Roman"/>
                <w:b w:val="0"/>
                <w:bCs/>
                <w:color w:val="auto"/>
                <w:lang w:val="en-US" w:eastAsia="zh-CN"/>
              </w:rPr>
              <w:t xml:space="preserve">  </w:t>
            </w:r>
            <w:r>
              <w:rPr>
                <w:rFonts w:hint="default" w:ascii="Times New Roman" w:hAnsi="Times New Roman" w:eastAsia="黑体" w:cs="Times New Roman"/>
                <w:b w:val="0"/>
                <w:bCs/>
                <w:color w:val="auto"/>
              </w:rPr>
              <w:t>现有工程主要原辅材料及能源消耗情况一览表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9"/>
              <w:gridCol w:w="1914"/>
              <w:gridCol w:w="1809"/>
              <w:gridCol w:w="1757"/>
              <w:gridCol w:w="2303"/>
            </w:tblGrid>
            <w:tr w14:paraId="3AABC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92" w:type="pct"/>
                  <w:tcBorders>
                    <w:tl2br w:val="nil"/>
                    <w:tr2bl w:val="nil"/>
                  </w:tcBorders>
                  <w:vAlign w:val="center"/>
                </w:tcPr>
                <w:p w14:paraId="7652BAC2">
                  <w:pPr>
                    <w:pStyle w:val="131"/>
                    <w:rPr>
                      <w:rFonts w:hint="default" w:ascii="Times New Roman" w:hAnsi="Times New Roman" w:cs="Times New Roman"/>
                      <w:color w:val="auto"/>
                    </w:rPr>
                  </w:pPr>
                  <w:r>
                    <w:rPr>
                      <w:rFonts w:hint="default" w:ascii="Times New Roman" w:hAnsi="Times New Roman" w:cs="Times New Roman"/>
                      <w:color w:val="auto"/>
                    </w:rPr>
                    <w:t>序号</w:t>
                  </w:r>
                </w:p>
              </w:tc>
              <w:tc>
                <w:tcPr>
                  <w:tcW w:w="1108" w:type="pct"/>
                  <w:tcBorders>
                    <w:tl2br w:val="nil"/>
                    <w:tr2bl w:val="nil"/>
                  </w:tcBorders>
                  <w:vAlign w:val="center"/>
                </w:tcPr>
                <w:p w14:paraId="602BF854">
                  <w:pPr>
                    <w:pStyle w:val="131"/>
                    <w:rPr>
                      <w:rFonts w:hint="default" w:ascii="Times New Roman" w:hAnsi="Times New Roman" w:cs="Times New Roman"/>
                      <w:color w:val="auto"/>
                    </w:rPr>
                  </w:pPr>
                  <w:r>
                    <w:rPr>
                      <w:rFonts w:hint="default" w:ascii="Times New Roman" w:hAnsi="Times New Roman" w:cs="Times New Roman"/>
                      <w:color w:val="auto"/>
                    </w:rPr>
                    <w:t>原辅材料名称</w:t>
                  </w:r>
                </w:p>
              </w:tc>
              <w:tc>
                <w:tcPr>
                  <w:tcW w:w="1047" w:type="pct"/>
                  <w:tcBorders>
                    <w:tl2br w:val="nil"/>
                    <w:tr2bl w:val="nil"/>
                  </w:tcBorders>
                  <w:vAlign w:val="center"/>
                </w:tcPr>
                <w:p w14:paraId="3FC53394">
                  <w:pPr>
                    <w:pStyle w:val="131"/>
                    <w:rPr>
                      <w:rFonts w:hint="default" w:ascii="Times New Roman" w:hAnsi="Times New Roman" w:cs="Times New Roman"/>
                      <w:color w:val="auto"/>
                    </w:rPr>
                  </w:pPr>
                  <w:r>
                    <w:rPr>
                      <w:rFonts w:hint="default" w:ascii="Times New Roman" w:hAnsi="Times New Roman" w:cs="Times New Roman"/>
                      <w:color w:val="auto"/>
                    </w:rPr>
                    <w:t>现有已投产工程</w:t>
                  </w:r>
                </w:p>
              </w:tc>
              <w:tc>
                <w:tcPr>
                  <w:tcW w:w="1017" w:type="pct"/>
                  <w:tcBorders>
                    <w:tl2br w:val="nil"/>
                    <w:tr2bl w:val="nil"/>
                  </w:tcBorders>
                  <w:vAlign w:val="center"/>
                </w:tcPr>
                <w:p w14:paraId="05B59961">
                  <w:pPr>
                    <w:pStyle w:val="131"/>
                    <w:rPr>
                      <w:rFonts w:hint="default" w:ascii="Times New Roman" w:hAnsi="Times New Roman" w:cs="Times New Roman"/>
                      <w:color w:val="auto"/>
                    </w:rPr>
                  </w:pPr>
                  <w:r>
                    <w:rPr>
                      <w:rFonts w:hint="default" w:ascii="Times New Roman" w:hAnsi="Times New Roman" w:cs="Times New Roman"/>
                      <w:color w:val="auto"/>
                    </w:rPr>
                    <w:t>在建工程</w:t>
                  </w:r>
                </w:p>
              </w:tc>
              <w:tc>
                <w:tcPr>
                  <w:tcW w:w="1333" w:type="pct"/>
                  <w:tcBorders>
                    <w:tl2br w:val="nil"/>
                    <w:tr2bl w:val="nil"/>
                  </w:tcBorders>
                  <w:vAlign w:val="center"/>
                </w:tcPr>
                <w:p w14:paraId="64F126C1">
                  <w:pPr>
                    <w:pStyle w:val="131"/>
                    <w:rPr>
                      <w:rFonts w:hint="default" w:ascii="Times New Roman" w:hAnsi="Times New Roman" w:cs="Times New Roman"/>
                      <w:color w:val="auto"/>
                    </w:rPr>
                  </w:pPr>
                  <w:r>
                    <w:rPr>
                      <w:rFonts w:hint="default" w:ascii="Times New Roman" w:hAnsi="Times New Roman" w:cs="Times New Roman"/>
                      <w:color w:val="auto"/>
                    </w:rPr>
                    <w:t>现有工程全部使用量</w:t>
                  </w:r>
                </w:p>
              </w:tc>
            </w:tr>
            <w:tr w14:paraId="79E84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92" w:type="pct"/>
                  <w:tcBorders>
                    <w:tl2br w:val="nil"/>
                    <w:tr2bl w:val="nil"/>
                  </w:tcBorders>
                  <w:vAlign w:val="center"/>
                </w:tcPr>
                <w:p w14:paraId="5DBFE4E6">
                  <w:pPr>
                    <w:pStyle w:val="131"/>
                    <w:rPr>
                      <w:rFonts w:hint="default" w:ascii="Times New Roman" w:hAnsi="Times New Roman" w:cs="Times New Roman"/>
                      <w:color w:val="auto"/>
                    </w:rPr>
                  </w:pPr>
                  <w:r>
                    <w:rPr>
                      <w:rFonts w:hint="default" w:ascii="Times New Roman" w:hAnsi="Times New Roman" w:cs="Times New Roman"/>
                      <w:color w:val="auto"/>
                    </w:rPr>
                    <w:t>1</w:t>
                  </w:r>
                </w:p>
              </w:tc>
              <w:tc>
                <w:tcPr>
                  <w:tcW w:w="1108" w:type="pct"/>
                  <w:tcBorders>
                    <w:tl2br w:val="nil"/>
                    <w:tr2bl w:val="nil"/>
                  </w:tcBorders>
                  <w:vAlign w:val="center"/>
                </w:tcPr>
                <w:p w14:paraId="75F4988E">
                  <w:pPr>
                    <w:pStyle w:val="131"/>
                    <w:rPr>
                      <w:rFonts w:hint="default" w:ascii="Times New Roman" w:hAnsi="Times New Roman" w:cs="Times New Roman"/>
                      <w:color w:val="auto"/>
                    </w:rPr>
                  </w:pPr>
                  <w:r>
                    <w:rPr>
                      <w:rFonts w:hint="default" w:ascii="Times New Roman" w:hAnsi="Times New Roman" w:cs="Times New Roman"/>
                      <w:color w:val="auto"/>
                    </w:rPr>
                    <w:t>30MnSi热轧盘条</w:t>
                  </w:r>
                </w:p>
              </w:tc>
              <w:tc>
                <w:tcPr>
                  <w:tcW w:w="1047" w:type="pct"/>
                  <w:tcBorders>
                    <w:tl2br w:val="nil"/>
                    <w:tr2bl w:val="nil"/>
                  </w:tcBorders>
                  <w:vAlign w:val="center"/>
                </w:tcPr>
                <w:p w14:paraId="0035B0CE">
                  <w:pPr>
                    <w:pStyle w:val="131"/>
                    <w:rPr>
                      <w:rFonts w:hint="default" w:ascii="Times New Roman" w:hAnsi="Times New Roman" w:cs="Times New Roman"/>
                      <w:color w:val="auto"/>
                    </w:rPr>
                  </w:pPr>
                  <w:r>
                    <w:rPr>
                      <w:rFonts w:hint="default" w:ascii="Times New Roman" w:hAnsi="Times New Roman" w:cs="Times New Roman"/>
                      <w:color w:val="auto"/>
                    </w:rPr>
                    <w:t>24.044万吨/年</w:t>
                  </w:r>
                </w:p>
              </w:tc>
              <w:tc>
                <w:tcPr>
                  <w:tcW w:w="1017" w:type="pct"/>
                  <w:tcBorders>
                    <w:tl2br w:val="nil"/>
                    <w:tr2bl w:val="nil"/>
                  </w:tcBorders>
                  <w:vAlign w:val="center"/>
                </w:tcPr>
                <w:p w14:paraId="5B6E8321">
                  <w:pPr>
                    <w:pStyle w:val="131"/>
                    <w:rPr>
                      <w:rFonts w:hint="default" w:ascii="Times New Roman" w:hAnsi="Times New Roman" w:cs="Times New Roman"/>
                      <w:color w:val="auto"/>
                    </w:rPr>
                  </w:pPr>
                  <w:r>
                    <w:rPr>
                      <w:rFonts w:hint="default" w:ascii="Times New Roman" w:hAnsi="Times New Roman" w:cs="Times New Roman"/>
                      <w:color w:val="auto"/>
                    </w:rPr>
                    <w:t>0</w:t>
                  </w:r>
                </w:p>
              </w:tc>
              <w:tc>
                <w:tcPr>
                  <w:tcW w:w="1333" w:type="pct"/>
                  <w:tcBorders>
                    <w:tl2br w:val="nil"/>
                    <w:tr2bl w:val="nil"/>
                  </w:tcBorders>
                  <w:vAlign w:val="center"/>
                </w:tcPr>
                <w:p w14:paraId="53568B47">
                  <w:pPr>
                    <w:pStyle w:val="131"/>
                    <w:rPr>
                      <w:rFonts w:hint="default" w:ascii="Times New Roman" w:hAnsi="Times New Roman" w:cs="Times New Roman"/>
                      <w:color w:val="auto"/>
                    </w:rPr>
                  </w:pPr>
                  <w:r>
                    <w:rPr>
                      <w:rFonts w:hint="default" w:ascii="Times New Roman" w:hAnsi="Times New Roman" w:cs="Times New Roman"/>
                      <w:color w:val="auto"/>
                    </w:rPr>
                    <w:t>24.044万吨/年</w:t>
                  </w:r>
                </w:p>
              </w:tc>
            </w:tr>
            <w:tr w14:paraId="34110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92" w:type="pct"/>
                  <w:tcBorders>
                    <w:tl2br w:val="nil"/>
                    <w:tr2bl w:val="nil"/>
                  </w:tcBorders>
                  <w:vAlign w:val="center"/>
                </w:tcPr>
                <w:p w14:paraId="769764F3">
                  <w:pPr>
                    <w:pStyle w:val="131"/>
                    <w:rPr>
                      <w:rFonts w:hint="default" w:ascii="Times New Roman" w:hAnsi="Times New Roman" w:cs="Times New Roman"/>
                      <w:color w:val="auto"/>
                    </w:rPr>
                  </w:pPr>
                  <w:r>
                    <w:rPr>
                      <w:rFonts w:hint="default" w:ascii="Times New Roman" w:hAnsi="Times New Roman" w:cs="Times New Roman"/>
                      <w:color w:val="auto"/>
                    </w:rPr>
                    <w:t>2</w:t>
                  </w:r>
                </w:p>
              </w:tc>
              <w:tc>
                <w:tcPr>
                  <w:tcW w:w="1108" w:type="pct"/>
                  <w:tcBorders>
                    <w:tl2br w:val="nil"/>
                    <w:tr2bl w:val="nil"/>
                  </w:tcBorders>
                  <w:vAlign w:val="center"/>
                </w:tcPr>
                <w:p w14:paraId="588FC211">
                  <w:pPr>
                    <w:pStyle w:val="131"/>
                    <w:rPr>
                      <w:rFonts w:hint="default" w:ascii="Times New Roman" w:hAnsi="Times New Roman" w:cs="Times New Roman"/>
                      <w:color w:val="auto"/>
                    </w:rPr>
                  </w:pPr>
                  <w:r>
                    <w:rPr>
                      <w:rFonts w:hint="default" w:ascii="Times New Roman" w:hAnsi="Times New Roman" w:cs="Times New Roman"/>
                      <w:color w:val="auto"/>
                    </w:rPr>
                    <w:t>母材盘条</w:t>
                  </w:r>
                </w:p>
              </w:tc>
              <w:tc>
                <w:tcPr>
                  <w:tcW w:w="1047" w:type="pct"/>
                  <w:tcBorders>
                    <w:tl2br w:val="nil"/>
                    <w:tr2bl w:val="nil"/>
                  </w:tcBorders>
                  <w:vAlign w:val="center"/>
                </w:tcPr>
                <w:p w14:paraId="2AC00C29">
                  <w:pPr>
                    <w:pStyle w:val="131"/>
                    <w:rPr>
                      <w:rFonts w:hint="default" w:ascii="Times New Roman" w:hAnsi="Times New Roman" w:cs="Times New Roman"/>
                      <w:color w:val="auto"/>
                    </w:rPr>
                  </w:pPr>
                  <w:r>
                    <w:rPr>
                      <w:rFonts w:hint="default" w:ascii="Times New Roman" w:hAnsi="Times New Roman" w:cs="Times New Roman"/>
                      <w:color w:val="auto"/>
                    </w:rPr>
                    <w:t>0</w:t>
                  </w:r>
                </w:p>
              </w:tc>
              <w:tc>
                <w:tcPr>
                  <w:tcW w:w="1017" w:type="pct"/>
                  <w:tcBorders>
                    <w:tl2br w:val="nil"/>
                    <w:tr2bl w:val="nil"/>
                  </w:tcBorders>
                  <w:vAlign w:val="center"/>
                </w:tcPr>
                <w:p w14:paraId="3AD58C84">
                  <w:pPr>
                    <w:pStyle w:val="131"/>
                    <w:rPr>
                      <w:rFonts w:hint="default" w:ascii="Times New Roman" w:hAnsi="Times New Roman" w:cs="Times New Roman"/>
                      <w:color w:val="auto"/>
                    </w:rPr>
                  </w:pPr>
                  <w:r>
                    <w:rPr>
                      <w:rFonts w:hint="default" w:ascii="Times New Roman" w:hAnsi="Times New Roman" w:cs="Times New Roman"/>
                      <w:color w:val="auto"/>
                    </w:rPr>
                    <w:t>1.58万吨/年</w:t>
                  </w:r>
                </w:p>
              </w:tc>
              <w:tc>
                <w:tcPr>
                  <w:tcW w:w="1333" w:type="pct"/>
                  <w:tcBorders>
                    <w:tl2br w:val="nil"/>
                    <w:tr2bl w:val="nil"/>
                  </w:tcBorders>
                  <w:vAlign w:val="center"/>
                </w:tcPr>
                <w:p w14:paraId="09116EB5">
                  <w:pPr>
                    <w:pStyle w:val="131"/>
                    <w:rPr>
                      <w:rFonts w:hint="default" w:ascii="Times New Roman" w:hAnsi="Times New Roman" w:cs="Times New Roman"/>
                      <w:color w:val="auto"/>
                    </w:rPr>
                  </w:pPr>
                  <w:r>
                    <w:rPr>
                      <w:rFonts w:hint="default" w:ascii="Times New Roman" w:hAnsi="Times New Roman" w:cs="Times New Roman"/>
                      <w:color w:val="auto"/>
                    </w:rPr>
                    <w:t>1.58万吨/年</w:t>
                  </w:r>
                </w:p>
              </w:tc>
            </w:tr>
            <w:tr w14:paraId="2D287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92" w:type="pct"/>
                  <w:tcBorders>
                    <w:tl2br w:val="nil"/>
                    <w:tr2bl w:val="nil"/>
                  </w:tcBorders>
                  <w:vAlign w:val="center"/>
                </w:tcPr>
                <w:p w14:paraId="294DBC24">
                  <w:pPr>
                    <w:pStyle w:val="131"/>
                    <w:rPr>
                      <w:rFonts w:hint="default" w:ascii="Times New Roman" w:hAnsi="Times New Roman" w:cs="Times New Roman"/>
                      <w:color w:val="auto"/>
                    </w:rPr>
                  </w:pPr>
                  <w:r>
                    <w:rPr>
                      <w:rFonts w:hint="default" w:ascii="Times New Roman" w:hAnsi="Times New Roman" w:cs="Times New Roman"/>
                      <w:color w:val="auto"/>
                    </w:rPr>
                    <w:t>3</w:t>
                  </w:r>
                </w:p>
              </w:tc>
              <w:tc>
                <w:tcPr>
                  <w:tcW w:w="1108" w:type="pct"/>
                  <w:tcBorders>
                    <w:tl2br w:val="nil"/>
                    <w:tr2bl w:val="nil"/>
                  </w:tcBorders>
                  <w:vAlign w:val="center"/>
                </w:tcPr>
                <w:p w14:paraId="2DF4C9BC">
                  <w:pPr>
                    <w:pStyle w:val="131"/>
                    <w:rPr>
                      <w:rFonts w:hint="default" w:ascii="Times New Roman" w:hAnsi="Times New Roman" w:cs="Times New Roman"/>
                      <w:color w:val="auto"/>
                    </w:rPr>
                  </w:pPr>
                  <w:r>
                    <w:rPr>
                      <w:rFonts w:hint="default" w:ascii="Times New Roman" w:hAnsi="Times New Roman" w:cs="Times New Roman"/>
                      <w:color w:val="auto"/>
                    </w:rPr>
                    <w:t>拉丝润滑粉</w:t>
                  </w:r>
                </w:p>
              </w:tc>
              <w:tc>
                <w:tcPr>
                  <w:tcW w:w="1047" w:type="pct"/>
                  <w:tcBorders>
                    <w:tl2br w:val="nil"/>
                    <w:tr2bl w:val="nil"/>
                  </w:tcBorders>
                  <w:vAlign w:val="center"/>
                </w:tcPr>
                <w:p w14:paraId="66102AE9">
                  <w:pPr>
                    <w:pStyle w:val="131"/>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32</w:t>
                  </w:r>
                  <w:r>
                    <w:rPr>
                      <w:rFonts w:hint="default" w:ascii="Times New Roman" w:hAnsi="Times New Roman" w:cs="Times New Roman"/>
                      <w:color w:val="auto"/>
                    </w:rPr>
                    <w:t>吨/年</w:t>
                  </w:r>
                </w:p>
              </w:tc>
              <w:tc>
                <w:tcPr>
                  <w:tcW w:w="1017" w:type="pct"/>
                  <w:tcBorders>
                    <w:tl2br w:val="nil"/>
                    <w:tr2bl w:val="nil"/>
                  </w:tcBorders>
                  <w:vAlign w:val="center"/>
                </w:tcPr>
                <w:p w14:paraId="42685DC5">
                  <w:pPr>
                    <w:pStyle w:val="131"/>
                    <w:rPr>
                      <w:rFonts w:hint="default" w:ascii="Times New Roman" w:hAnsi="Times New Roman" w:cs="Times New Roman"/>
                      <w:color w:val="auto"/>
                    </w:rPr>
                  </w:pPr>
                  <w:r>
                    <w:rPr>
                      <w:rFonts w:hint="default" w:ascii="Times New Roman" w:hAnsi="Times New Roman" w:cs="Times New Roman"/>
                      <w:color w:val="auto"/>
                      <w:lang w:val="en-US" w:eastAsia="zh-CN"/>
                    </w:rPr>
                    <w:t>5</w:t>
                  </w:r>
                  <w:r>
                    <w:rPr>
                      <w:rFonts w:hint="default" w:ascii="Times New Roman" w:hAnsi="Times New Roman" w:cs="Times New Roman"/>
                      <w:color w:val="auto"/>
                    </w:rPr>
                    <w:t>吨/年</w:t>
                  </w:r>
                </w:p>
              </w:tc>
              <w:tc>
                <w:tcPr>
                  <w:tcW w:w="1333" w:type="pct"/>
                  <w:tcBorders>
                    <w:tl2br w:val="nil"/>
                    <w:tr2bl w:val="nil"/>
                  </w:tcBorders>
                  <w:vAlign w:val="center"/>
                </w:tcPr>
                <w:p w14:paraId="58F39737">
                  <w:pPr>
                    <w:pStyle w:val="131"/>
                    <w:rPr>
                      <w:rFonts w:hint="default" w:ascii="Times New Roman" w:hAnsi="Times New Roman" w:cs="Times New Roman"/>
                      <w:color w:val="auto"/>
                    </w:rPr>
                  </w:pPr>
                  <w:r>
                    <w:rPr>
                      <w:rFonts w:hint="default" w:ascii="Times New Roman" w:hAnsi="Times New Roman" w:cs="Times New Roman"/>
                      <w:color w:val="auto"/>
                      <w:lang w:val="en-US" w:eastAsia="zh-CN"/>
                    </w:rPr>
                    <w:t>37</w:t>
                  </w:r>
                  <w:r>
                    <w:rPr>
                      <w:rFonts w:hint="default" w:ascii="Times New Roman" w:hAnsi="Times New Roman" w:cs="Times New Roman"/>
                      <w:color w:val="auto"/>
                    </w:rPr>
                    <w:t>吨/年</w:t>
                  </w:r>
                </w:p>
              </w:tc>
            </w:tr>
            <w:tr w14:paraId="7F5CA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92" w:type="pct"/>
                  <w:tcBorders>
                    <w:tl2br w:val="nil"/>
                    <w:tr2bl w:val="nil"/>
                  </w:tcBorders>
                  <w:vAlign w:val="center"/>
                </w:tcPr>
                <w:p w14:paraId="438154A6">
                  <w:pPr>
                    <w:pStyle w:val="131"/>
                    <w:rPr>
                      <w:rFonts w:hint="default" w:ascii="Times New Roman" w:hAnsi="Times New Roman" w:cs="Times New Roman"/>
                      <w:color w:val="auto"/>
                    </w:rPr>
                  </w:pPr>
                  <w:r>
                    <w:rPr>
                      <w:rFonts w:hint="default" w:ascii="Times New Roman" w:hAnsi="Times New Roman" w:cs="Times New Roman"/>
                      <w:color w:val="auto"/>
                    </w:rPr>
                    <w:t>4</w:t>
                  </w:r>
                </w:p>
              </w:tc>
              <w:tc>
                <w:tcPr>
                  <w:tcW w:w="1108" w:type="pct"/>
                  <w:tcBorders>
                    <w:tl2br w:val="nil"/>
                    <w:tr2bl w:val="nil"/>
                  </w:tcBorders>
                  <w:vAlign w:val="center"/>
                </w:tcPr>
                <w:p w14:paraId="4633EF99">
                  <w:pPr>
                    <w:pStyle w:val="131"/>
                    <w:rPr>
                      <w:rFonts w:hint="default" w:ascii="Times New Roman" w:hAnsi="Times New Roman" w:cs="Times New Roman"/>
                      <w:color w:val="auto"/>
                    </w:rPr>
                  </w:pPr>
                  <w:r>
                    <w:rPr>
                      <w:rFonts w:hint="default" w:ascii="Times New Roman" w:hAnsi="Times New Roman" w:cs="Times New Roman"/>
                      <w:color w:val="auto"/>
                    </w:rPr>
                    <w:t>水</w:t>
                  </w:r>
                </w:p>
              </w:tc>
              <w:tc>
                <w:tcPr>
                  <w:tcW w:w="1047" w:type="pct"/>
                  <w:tcBorders>
                    <w:tl2br w:val="nil"/>
                    <w:tr2bl w:val="nil"/>
                  </w:tcBorders>
                  <w:vAlign w:val="center"/>
                </w:tcPr>
                <w:p w14:paraId="5EB2E78A">
                  <w:pPr>
                    <w:pStyle w:val="131"/>
                    <w:rPr>
                      <w:rFonts w:hint="default" w:ascii="Times New Roman" w:hAnsi="Times New Roman" w:cs="Times New Roman"/>
                      <w:color w:val="auto"/>
                    </w:rPr>
                  </w:pPr>
                  <w:r>
                    <w:rPr>
                      <w:rFonts w:hint="default" w:ascii="Times New Roman" w:hAnsi="Times New Roman" w:cs="Times New Roman"/>
                      <w:color w:val="auto"/>
                    </w:rPr>
                    <w:t>193776吨/年</w:t>
                  </w:r>
                </w:p>
              </w:tc>
              <w:tc>
                <w:tcPr>
                  <w:tcW w:w="1017" w:type="pct"/>
                  <w:tcBorders>
                    <w:tl2br w:val="nil"/>
                    <w:tr2bl w:val="nil"/>
                  </w:tcBorders>
                  <w:vAlign w:val="center"/>
                </w:tcPr>
                <w:p w14:paraId="6C75E931">
                  <w:pPr>
                    <w:pStyle w:val="131"/>
                    <w:rPr>
                      <w:rFonts w:hint="default" w:ascii="Times New Roman" w:hAnsi="Times New Roman" w:cs="Times New Roman"/>
                      <w:color w:val="auto"/>
                    </w:rPr>
                  </w:pPr>
                  <w:r>
                    <w:rPr>
                      <w:rFonts w:hint="default" w:ascii="Times New Roman" w:hAnsi="Times New Roman" w:cs="Times New Roman"/>
                      <w:color w:val="auto"/>
                    </w:rPr>
                    <w:t>3168吨/年</w:t>
                  </w:r>
                </w:p>
              </w:tc>
              <w:tc>
                <w:tcPr>
                  <w:tcW w:w="1333" w:type="pct"/>
                  <w:tcBorders>
                    <w:tl2br w:val="nil"/>
                    <w:tr2bl w:val="nil"/>
                  </w:tcBorders>
                  <w:vAlign w:val="center"/>
                </w:tcPr>
                <w:p w14:paraId="26D3D83B">
                  <w:pPr>
                    <w:pStyle w:val="131"/>
                    <w:rPr>
                      <w:rFonts w:hint="default" w:ascii="Times New Roman" w:hAnsi="Times New Roman" w:cs="Times New Roman"/>
                      <w:color w:val="auto"/>
                    </w:rPr>
                  </w:pPr>
                  <w:r>
                    <w:rPr>
                      <w:rFonts w:hint="default" w:ascii="Times New Roman" w:hAnsi="Times New Roman" w:cs="Times New Roman"/>
                      <w:color w:val="auto"/>
                    </w:rPr>
                    <w:t>196944吨/年</w:t>
                  </w:r>
                </w:p>
              </w:tc>
            </w:tr>
            <w:tr w14:paraId="31540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92" w:type="pct"/>
                  <w:tcBorders>
                    <w:tl2br w:val="nil"/>
                    <w:tr2bl w:val="nil"/>
                  </w:tcBorders>
                  <w:vAlign w:val="center"/>
                </w:tcPr>
                <w:p w14:paraId="07D7DC3D">
                  <w:pPr>
                    <w:pStyle w:val="131"/>
                    <w:rPr>
                      <w:rFonts w:hint="default" w:ascii="Times New Roman" w:hAnsi="Times New Roman" w:cs="Times New Roman"/>
                      <w:color w:val="auto"/>
                    </w:rPr>
                  </w:pPr>
                  <w:r>
                    <w:rPr>
                      <w:rFonts w:hint="default" w:ascii="Times New Roman" w:hAnsi="Times New Roman" w:cs="Times New Roman"/>
                      <w:color w:val="auto"/>
                    </w:rPr>
                    <w:t>5</w:t>
                  </w:r>
                </w:p>
              </w:tc>
              <w:tc>
                <w:tcPr>
                  <w:tcW w:w="1108" w:type="pct"/>
                  <w:tcBorders>
                    <w:tl2br w:val="nil"/>
                    <w:tr2bl w:val="nil"/>
                  </w:tcBorders>
                  <w:vAlign w:val="center"/>
                </w:tcPr>
                <w:p w14:paraId="621D012E">
                  <w:pPr>
                    <w:pStyle w:val="131"/>
                    <w:rPr>
                      <w:rFonts w:hint="default" w:ascii="Times New Roman" w:hAnsi="Times New Roman" w:cs="Times New Roman"/>
                      <w:color w:val="auto"/>
                    </w:rPr>
                  </w:pPr>
                  <w:r>
                    <w:rPr>
                      <w:rFonts w:hint="default" w:ascii="Times New Roman" w:hAnsi="Times New Roman" w:cs="Times New Roman"/>
                      <w:color w:val="auto"/>
                    </w:rPr>
                    <w:t>电</w:t>
                  </w:r>
                </w:p>
              </w:tc>
              <w:tc>
                <w:tcPr>
                  <w:tcW w:w="1047" w:type="pct"/>
                  <w:tcBorders>
                    <w:tl2br w:val="nil"/>
                    <w:tr2bl w:val="nil"/>
                  </w:tcBorders>
                  <w:vAlign w:val="center"/>
                </w:tcPr>
                <w:p w14:paraId="002067C6">
                  <w:pPr>
                    <w:widowControl/>
                    <w:jc w:val="left"/>
                    <w:rPr>
                      <w:rFonts w:hint="default" w:ascii="Times New Roman" w:hAnsi="Times New Roman" w:cs="Times New Roman"/>
                      <w:color w:val="auto"/>
                    </w:rPr>
                  </w:pPr>
                  <w:r>
                    <w:rPr>
                      <w:rFonts w:hint="default" w:ascii="Times New Roman" w:hAnsi="Times New Roman" w:cs="Times New Roman"/>
                      <w:color w:val="auto"/>
                    </w:rPr>
                    <w:t>9240</w:t>
                  </w:r>
                  <w:r>
                    <w:rPr>
                      <w:rFonts w:hint="default" w:ascii="Times New Roman" w:hAnsi="Times New Roman" w:cs="Times New Roman"/>
                      <w:color w:val="auto"/>
                      <w:kern w:val="0"/>
                      <w:szCs w:val="21"/>
                      <w:lang w:bidi="ar"/>
                    </w:rPr>
                    <w:t>万 kW</w:t>
                  </w:r>
                  <w:r>
                    <w:rPr>
                      <w:rFonts w:hint="default" w:ascii="Times New Roman" w:hAnsi="Times New Roman" w:cs="Times New Roman"/>
                      <w:b/>
                      <w:bCs/>
                      <w:color w:val="auto"/>
                      <w:kern w:val="0"/>
                      <w:szCs w:val="21"/>
                      <w:lang w:bidi="ar"/>
                    </w:rPr>
                    <w:t>·</w:t>
                  </w:r>
                  <w:r>
                    <w:rPr>
                      <w:rFonts w:hint="default" w:ascii="Times New Roman" w:hAnsi="Times New Roman" w:cs="Times New Roman"/>
                      <w:color w:val="auto"/>
                      <w:kern w:val="0"/>
                      <w:szCs w:val="21"/>
                      <w:lang w:bidi="ar"/>
                    </w:rPr>
                    <w:t>h/a</w:t>
                  </w:r>
                </w:p>
              </w:tc>
              <w:tc>
                <w:tcPr>
                  <w:tcW w:w="1017" w:type="pct"/>
                  <w:tcBorders>
                    <w:tl2br w:val="nil"/>
                    <w:tr2bl w:val="nil"/>
                  </w:tcBorders>
                  <w:vAlign w:val="center"/>
                </w:tcPr>
                <w:p w14:paraId="65801811">
                  <w:pPr>
                    <w:widowControl/>
                    <w:jc w:val="left"/>
                    <w:rPr>
                      <w:rFonts w:hint="default" w:ascii="Times New Roman" w:hAnsi="Times New Roman" w:cs="Times New Roman"/>
                      <w:color w:val="auto"/>
                    </w:rPr>
                  </w:pPr>
                  <w:r>
                    <w:rPr>
                      <w:rFonts w:hint="default" w:ascii="Times New Roman" w:hAnsi="Times New Roman" w:cs="Times New Roman"/>
                      <w:color w:val="auto"/>
                    </w:rPr>
                    <w:t>1500</w:t>
                  </w:r>
                  <w:r>
                    <w:rPr>
                      <w:rFonts w:hint="default" w:ascii="Times New Roman" w:hAnsi="Times New Roman" w:cs="Times New Roman"/>
                      <w:color w:val="auto"/>
                      <w:kern w:val="0"/>
                      <w:szCs w:val="21"/>
                      <w:lang w:bidi="ar"/>
                    </w:rPr>
                    <w:t>万kW</w:t>
                  </w:r>
                  <w:r>
                    <w:rPr>
                      <w:rFonts w:hint="default" w:ascii="Times New Roman" w:hAnsi="Times New Roman" w:cs="Times New Roman"/>
                      <w:b/>
                      <w:bCs/>
                      <w:color w:val="auto"/>
                      <w:kern w:val="0"/>
                      <w:szCs w:val="21"/>
                      <w:lang w:bidi="ar"/>
                    </w:rPr>
                    <w:t>·</w:t>
                  </w:r>
                  <w:r>
                    <w:rPr>
                      <w:rFonts w:hint="default" w:ascii="Times New Roman" w:hAnsi="Times New Roman" w:cs="Times New Roman"/>
                      <w:color w:val="auto"/>
                      <w:kern w:val="0"/>
                      <w:szCs w:val="21"/>
                      <w:lang w:bidi="ar"/>
                    </w:rPr>
                    <w:t>h/a</w:t>
                  </w:r>
                </w:p>
              </w:tc>
              <w:tc>
                <w:tcPr>
                  <w:tcW w:w="1333" w:type="pct"/>
                  <w:tcBorders>
                    <w:tl2br w:val="nil"/>
                    <w:tr2bl w:val="nil"/>
                  </w:tcBorders>
                  <w:vAlign w:val="center"/>
                </w:tcPr>
                <w:p w14:paraId="7B68973B">
                  <w:pPr>
                    <w:widowControl/>
                    <w:jc w:val="left"/>
                    <w:rPr>
                      <w:rFonts w:hint="default" w:ascii="Times New Roman" w:hAnsi="Times New Roman" w:cs="Times New Roman"/>
                      <w:color w:val="auto"/>
                    </w:rPr>
                  </w:pPr>
                  <w:r>
                    <w:rPr>
                      <w:rFonts w:hint="default" w:ascii="Times New Roman" w:hAnsi="Times New Roman" w:cs="Times New Roman"/>
                      <w:color w:val="auto"/>
                    </w:rPr>
                    <w:t>10740</w:t>
                  </w:r>
                  <w:r>
                    <w:rPr>
                      <w:rFonts w:hint="default" w:ascii="Times New Roman" w:hAnsi="Times New Roman" w:cs="Times New Roman"/>
                      <w:color w:val="auto"/>
                      <w:kern w:val="0"/>
                      <w:szCs w:val="21"/>
                      <w:lang w:bidi="ar"/>
                    </w:rPr>
                    <w:t>万kW</w:t>
                  </w:r>
                  <w:r>
                    <w:rPr>
                      <w:rFonts w:hint="default" w:ascii="Times New Roman" w:hAnsi="Times New Roman" w:cs="Times New Roman"/>
                      <w:b/>
                      <w:bCs/>
                      <w:color w:val="auto"/>
                      <w:kern w:val="0"/>
                      <w:szCs w:val="21"/>
                      <w:lang w:bidi="ar"/>
                    </w:rPr>
                    <w:t>·</w:t>
                  </w:r>
                  <w:r>
                    <w:rPr>
                      <w:rFonts w:hint="default" w:ascii="Times New Roman" w:hAnsi="Times New Roman" w:cs="Times New Roman"/>
                      <w:color w:val="auto"/>
                      <w:kern w:val="0"/>
                      <w:szCs w:val="21"/>
                      <w:lang w:bidi="ar"/>
                    </w:rPr>
                    <w:t>h/a</w:t>
                  </w:r>
                </w:p>
              </w:tc>
            </w:tr>
          </w:tbl>
          <w:p w14:paraId="5C33A018">
            <w:pPr>
              <w:pStyle w:val="41"/>
              <w:keepNext w:val="0"/>
              <w:keepLines w:val="0"/>
              <w:pageBreakBefore w:val="0"/>
              <w:widowControl w:val="0"/>
              <w:kinsoku/>
              <w:wordWrap/>
              <w:overflowPunct/>
              <w:topLinePunct w:val="0"/>
              <w:autoSpaceDE/>
              <w:autoSpaceDN/>
              <w:bidi w:val="0"/>
              <w:adjustRightInd w:val="0"/>
              <w:snapToGrid w:val="0"/>
              <w:spacing w:before="190" w:beforeLines="50" w:beforeAutospacing="0" w:after="0" w:afterAutospacing="0"/>
              <w:ind w:firstLine="480"/>
              <w:textAlignment w:val="auto"/>
              <w:rPr>
                <w:rFonts w:hint="default" w:ascii="Times New Roman" w:hAnsi="Times New Roman" w:cs="Times New Roman"/>
                <w:color w:val="auto"/>
              </w:rPr>
            </w:pPr>
            <w:r>
              <w:rPr>
                <w:rFonts w:hint="default" w:ascii="Times New Roman" w:hAnsi="Times New Roman" w:cs="Times New Roman"/>
                <w:color w:val="auto"/>
              </w:rPr>
              <w:t>（4）主要生产设备</w:t>
            </w:r>
          </w:p>
          <w:p w14:paraId="3362C7CA">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 xml:space="preserve">表2.4-10 </w:t>
            </w:r>
            <w:r>
              <w:rPr>
                <w:rFonts w:hint="eastAsia" w:eastAsia="黑体" w:cs="Times New Roman"/>
                <w:b w:val="0"/>
                <w:bCs/>
                <w:color w:val="auto"/>
                <w:lang w:val="en-US" w:eastAsia="zh-CN"/>
              </w:rPr>
              <w:t xml:space="preserve"> </w:t>
            </w:r>
            <w:r>
              <w:rPr>
                <w:rFonts w:hint="default" w:ascii="Times New Roman" w:hAnsi="Times New Roman" w:eastAsia="黑体" w:cs="Times New Roman"/>
                <w:b w:val="0"/>
                <w:bCs/>
                <w:color w:val="auto"/>
              </w:rPr>
              <w:t>现有工程主要生产设备一览表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9"/>
              <w:gridCol w:w="1282"/>
              <w:gridCol w:w="2869"/>
              <w:gridCol w:w="1201"/>
              <w:gridCol w:w="1030"/>
              <w:gridCol w:w="1351"/>
            </w:tblGrid>
            <w:tr w14:paraId="6021E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4A845FC1">
                  <w:pPr>
                    <w:pStyle w:val="131"/>
                    <w:rPr>
                      <w:rFonts w:hint="default" w:ascii="Times New Roman" w:hAnsi="Times New Roman" w:cs="Times New Roman"/>
                      <w:color w:val="auto"/>
                    </w:rPr>
                  </w:pPr>
                  <w:r>
                    <w:rPr>
                      <w:rFonts w:hint="default" w:ascii="Times New Roman" w:hAnsi="Times New Roman" w:cs="Times New Roman"/>
                      <w:color w:val="auto"/>
                    </w:rPr>
                    <w:t>序号</w:t>
                  </w:r>
                </w:p>
              </w:tc>
              <w:tc>
                <w:tcPr>
                  <w:tcW w:w="742" w:type="pct"/>
                  <w:tcBorders>
                    <w:tl2br w:val="nil"/>
                    <w:tr2bl w:val="nil"/>
                  </w:tcBorders>
                  <w:vAlign w:val="center"/>
                </w:tcPr>
                <w:p w14:paraId="144E3D0A">
                  <w:pPr>
                    <w:pStyle w:val="131"/>
                    <w:rPr>
                      <w:rFonts w:hint="default" w:ascii="Times New Roman" w:hAnsi="Times New Roman" w:cs="Times New Roman"/>
                      <w:color w:val="auto"/>
                    </w:rPr>
                  </w:pPr>
                  <w:r>
                    <w:rPr>
                      <w:rFonts w:hint="default" w:ascii="Times New Roman" w:hAnsi="Times New Roman" w:cs="Times New Roman"/>
                      <w:color w:val="auto"/>
                    </w:rPr>
                    <w:t>设备</w:t>
                  </w:r>
                </w:p>
                <w:p w14:paraId="00D926F5">
                  <w:pPr>
                    <w:pStyle w:val="131"/>
                    <w:rPr>
                      <w:rFonts w:hint="default" w:ascii="Times New Roman" w:hAnsi="Times New Roman" w:cs="Times New Roman"/>
                      <w:color w:val="auto"/>
                    </w:rPr>
                  </w:pPr>
                  <w:r>
                    <w:rPr>
                      <w:rFonts w:hint="default" w:ascii="Times New Roman" w:hAnsi="Times New Roman" w:cs="Times New Roman"/>
                      <w:color w:val="auto"/>
                    </w:rPr>
                    <w:t>名称</w:t>
                  </w:r>
                </w:p>
              </w:tc>
              <w:tc>
                <w:tcPr>
                  <w:tcW w:w="1661" w:type="pct"/>
                  <w:tcBorders>
                    <w:tl2br w:val="nil"/>
                    <w:tr2bl w:val="nil"/>
                  </w:tcBorders>
                  <w:vAlign w:val="center"/>
                </w:tcPr>
                <w:p w14:paraId="3B26363B">
                  <w:pPr>
                    <w:pStyle w:val="131"/>
                    <w:rPr>
                      <w:rFonts w:hint="default" w:ascii="Times New Roman" w:hAnsi="Times New Roman" w:cs="Times New Roman"/>
                      <w:color w:val="auto"/>
                    </w:rPr>
                  </w:pPr>
                  <w:r>
                    <w:rPr>
                      <w:rFonts w:hint="default" w:ascii="Times New Roman" w:hAnsi="Times New Roman" w:cs="Times New Roman"/>
                      <w:color w:val="auto"/>
                    </w:rPr>
                    <w:t>规格</w:t>
                  </w:r>
                </w:p>
              </w:tc>
              <w:tc>
                <w:tcPr>
                  <w:tcW w:w="695" w:type="pct"/>
                  <w:tcBorders>
                    <w:tl2br w:val="nil"/>
                    <w:tr2bl w:val="nil"/>
                  </w:tcBorders>
                  <w:vAlign w:val="center"/>
                </w:tcPr>
                <w:p w14:paraId="2EC3B934">
                  <w:pPr>
                    <w:pStyle w:val="131"/>
                    <w:rPr>
                      <w:rFonts w:hint="default" w:ascii="Times New Roman" w:hAnsi="Times New Roman" w:cs="Times New Roman"/>
                      <w:color w:val="auto"/>
                    </w:rPr>
                  </w:pPr>
                  <w:r>
                    <w:rPr>
                      <w:rFonts w:hint="default" w:ascii="Times New Roman" w:hAnsi="Times New Roman" w:cs="Times New Roman"/>
                      <w:color w:val="auto"/>
                    </w:rPr>
                    <w:t>现有已投产工程数量（台/套）</w:t>
                  </w:r>
                </w:p>
              </w:tc>
              <w:tc>
                <w:tcPr>
                  <w:tcW w:w="596" w:type="pct"/>
                  <w:tcBorders>
                    <w:tl2br w:val="nil"/>
                    <w:tr2bl w:val="nil"/>
                  </w:tcBorders>
                  <w:vAlign w:val="center"/>
                </w:tcPr>
                <w:p w14:paraId="561A8761">
                  <w:pPr>
                    <w:pStyle w:val="131"/>
                    <w:rPr>
                      <w:rFonts w:hint="default" w:ascii="Times New Roman" w:hAnsi="Times New Roman" w:cs="Times New Roman"/>
                      <w:color w:val="auto"/>
                    </w:rPr>
                  </w:pPr>
                  <w:r>
                    <w:rPr>
                      <w:rFonts w:hint="default" w:ascii="Times New Roman" w:hAnsi="Times New Roman" w:cs="Times New Roman"/>
                      <w:color w:val="auto"/>
                    </w:rPr>
                    <w:t>在建工程数量（台/套）</w:t>
                  </w:r>
                </w:p>
              </w:tc>
              <w:tc>
                <w:tcPr>
                  <w:tcW w:w="782" w:type="pct"/>
                  <w:tcBorders>
                    <w:tl2br w:val="nil"/>
                    <w:tr2bl w:val="nil"/>
                  </w:tcBorders>
                  <w:vAlign w:val="center"/>
                </w:tcPr>
                <w:p w14:paraId="3FF182E7">
                  <w:pPr>
                    <w:pStyle w:val="131"/>
                    <w:rPr>
                      <w:rFonts w:hint="default" w:ascii="Times New Roman" w:hAnsi="Times New Roman" w:cs="Times New Roman"/>
                      <w:color w:val="auto"/>
                    </w:rPr>
                  </w:pPr>
                  <w:r>
                    <w:rPr>
                      <w:rFonts w:hint="default" w:ascii="Times New Roman" w:hAnsi="Times New Roman" w:cs="Times New Roman"/>
                      <w:color w:val="auto"/>
                    </w:rPr>
                    <w:t>现有工程</w:t>
                  </w:r>
                </w:p>
                <w:p w14:paraId="00CE00C0">
                  <w:pPr>
                    <w:pStyle w:val="131"/>
                    <w:rPr>
                      <w:rFonts w:hint="default" w:ascii="Times New Roman" w:hAnsi="Times New Roman" w:cs="Times New Roman"/>
                      <w:color w:val="auto"/>
                    </w:rPr>
                  </w:pPr>
                  <w:r>
                    <w:rPr>
                      <w:rFonts w:hint="default" w:ascii="Times New Roman" w:hAnsi="Times New Roman" w:cs="Times New Roman"/>
                      <w:color w:val="auto"/>
                    </w:rPr>
                    <w:t>全厂数量（台/套）</w:t>
                  </w:r>
                </w:p>
              </w:tc>
            </w:tr>
            <w:tr w14:paraId="14DE6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6AF64CB5">
                  <w:pPr>
                    <w:pStyle w:val="131"/>
                    <w:rPr>
                      <w:rFonts w:hint="default" w:ascii="Times New Roman" w:hAnsi="Times New Roman" w:cs="Times New Roman"/>
                      <w:color w:val="auto"/>
                    </w:rPr>
                  </w:pPr>
                  <w:r>
                    <w:rPr>
                      <w:rFonts w:hint="default" w:ascii="Times New Roman" w:hAnsi="Times New Roman" w:cs="Times New Roman"/>
                      <w:color w:val="auto"/>
                    </w:rPr>
                    <w:t>1</w:t>
                  </w:r>
                </w:p>
              </w:tc>
              <w:tc>
                <w:tcPr>
                  <w:tcW w:w="742" w:type="pct"/>
                  <w:vMerge w:val="restart"/>
                  <w:tcBorders>
                    <w:tl2br w:val="nil"/>
                    <w:tr2bl w:val="nil"/>
                  </w:tcBorders>
                  <w:vAlign w:val="center"/>
                </w:tcPr>
                <w:p w14:paraId="4CC9FB31">
                  <w:pPr>
                    <w:pStyle w:val="131"/>
                    <w:rPr>
                      <w:rFonts w:hint="default" w:ascii="Times New Roman" w:hAnsi="Times New Roman" w:cs="Times New Roman"/>
                      <w:color w:val="auto"/>
                    </w:rPr>
                  </w:pPr>
                  <w:r>
                    <w:rPr>
                      <w:rFonts w:hint="default" w:ascii="Times New Roman" w:hAnsi="Times New Roman" w:cs="Times New Roman"/>
                      <w:color w:val="auto"/>
                    </w:rPr>
                    <w:t>机械部分</w:t>
                  </w:r>
                </w:p>
              </w:tc>
              <w:tc>
                <w:tcPr>
                  <w:tcW w:w="1661" w:type="pct"/>
                  <w:tcBorders>
                    <w:tl2br w:val="nil"/>
                    <w:tr2bl w:val="nil"/>
                  </w:tcBorders>
                  <w:vAlign w:val="center"/>
                </w:tcPr>
                <w:p w14:paraId="11765FAF">
                  <w:pPr>
                    <w:pStyle w:val="131"/>
                    <w:rPr>
                      <w:rFonts w:hint="default" w:ascii="Times New Roman" w:hAnsi="Times New Roman" w:cs="Times New Roman"/>
                      <w:color w:val="auto"/>
                    </w:rPr>
                  </w:pPr>
                  <w:r>
                    <w:rPr>
                      <w:rFonts w:hint="default" w:ascii="Times New Roman" w:hAnsi="Times New Roman" w:cs="Times New Roman"/>
                      <w:color w:val="auto"/>
                    </w:rPr>
                    <w:t>放线架</w:t>
                  </w:r>
                </w:p>
              </w:tc>
              <w:tc>
                <w:tcPr>
                  <w:tcW w:w="695" w:type="pct"/>
                  <w:tcBorders>
                    <w:tl2br w:val="nil"/>
                    <w:tr2bl w:val="nil"/>
                  </w:tcBorders>
                  <w:vAlign w:val="center"/>
                </w:tcPr>
                <w:p w14:paraId="514BDB7B">
                  <w:pPr>
                    <w:pStyle w:val="131"/>
                    <w:rPr>
                      <w:rFonts w:hint="default" w:ascii="Times New Roman" w:hAnsi="Times New Roman" w:cs="Times New Roman"/>
                      <w:color w:val="auto"/>
                    </w:rPr>
                  </w:pPr>
                  <w:r>
                    <w:rPr>
                      <w:rFonts w:hint="default" w:ascii="Times New Roman" w:hAnsi="Times New Roman" w:cs="Times New Roman"/>
                      <w:color w:val="auto"/>
                    </w:rPr>
                    <w:t>16</w:t>
                  </w:r>
                </w:p>
              </w:tc>
              <w:tc>
                <w:tcPr>
                  <w:tcW w:w="596" w:type="pct"/>
                  <w:tcBorders>
                    <w:tl2br w:val="nil"/>
                    <w:tr2bl w:val="nil"/>
                  </w:tcBorders>
                  <w:vAlign w:val="center"/>
                </w:tcPr>
                <w:p w14:paraId="59DE0074">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2B56A22D">
                  <w:pPr>
                    <w:pStyle w:val="131"/>
                    <w:rPr>
                      <w:rFonts w:hint="default" w:ascii="Times New Roman" w:hAnsi="Times New Roman" w:cs="Times New Roman"/>
                      <w:color w:val="auto"/>
                    </w:rPr>
                  </w:pPr>
                  <w:r>
                    <w:rPr>
                      <w:rFonts w:hint="default" w:ascii="Times New Roman" w:hAnsi="Times New Roman" w:cs="Times New Roman"/>
                      <w:color w:val="auto"/>
                    </w:rPr>
                    <w:t>16</w:t>
                  </w:r>
                </w:p>
              </w:tc>
            </w:tr>
            <w:tr w14:paraId="3F6B9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02C005EB">
                  <w:pPr>
                    <w:pStyle w:val="131"/>
                    <w:rPr>
                      <w:rFonts w:hint="default" w:ascii="Times New Roman" w:hAnsi="Times New Roman" w:cs="Times New Roman"/>
                      <w:color w:val="auto"/>
                    </w:rPr>
                  </w:pPr>
                  <w:r>
                    <w:rPr>
                      <w:rFonts w:hint="default" w:ascii="Times New Roman" w:hAnsi="Times New Roman" w:cs="Times New Roman"/>
                      <w:color w:val="auto"/>
                    </w:rPr>
                    <w:t>2</w:t>
                  </w:r>
                </w:p>
              </w:tc>
              <w:tc>
                <w:tcPr>
                  <w:tcW w:w="742" w:type="pct"/>
                  <w:vMerge w:val="continue"/>
                  <w:tcBorders>
                    <w:tl2br w:val="nil"/>
                    <w:tr2bl w:val="nil"/>
                  </w:tcBorders>
                  <w:vAlign w:val="center"/>
                </w:tcPr>
                <w:p w14:paraId="4D55A448">
                  <w:pPr>
                    <w:pStyle w:val="131"/>
                    <w:rPr>
                      <w:rFonts w:hint="default" w:ascii="Times New Roman" w:hAnsi="Times New Roman" w:cs="Times New Roman"/>
                      <w:color w:val="auto"/>
                    </w:rPr>
                  </w:pPr>
                </w:p>
              </w:tc>
              <w:tc>
                <w:tcPr>
                  <w:tcW w:w="1661" w:type="pct"/>
                  <w:tcBorders>
                    <w:tl2br w:val="nil"/>
                    <w:tr2bl w:val="nil"/>
                  </w:tcBorders>
                  <w:vAlign w:val="center"/>
                </w:tcPr>
                <w:p w14:paraId="760F4646">
                  <w:pPr>
                    <w:pStyle w:val="131"/>
                    <w:rPr>
                      <w:rFonts w:hint="default" w:ascii="Times New Roman" w:hAnsi="Times New Roman" w:cs="Times New Roman"/>
                      <w:color w:val="auto"/>
                    </w:rPr>
                  </w:pPr>
                  <w:r>
                    <w:rPr>
                      <w:rFonts w:hint="default" w:ascii="Times New Roman" w:hAnsi="Times New Roman" w:cs="Times New Roman"/>
                      <w:color w:val="auto"/>
                    </w:rPr>
                    <w:t>理线架</w:t>
                  </w:r>
                </w:p>
              </w:tc>
              <w:tc>
                <w:tcPr>
                  <w:tcW w:w="695" w:type="pct"/>
                  <w:tcBorders>
                    <w:tl2br w:val="nil"/>
                    <w:tr2bl w:val="nil"/>
                  </w:tcBorders>
                  <w:vAlign w:val="center"/>
                </w:tcPr>
                <w:p w14:paraId="09457CCA">
                  <w:pPr>
                    <w:pStyle w:val="131"/>
                    <w:rPr>
                      <w:rFonts w:hint="default" w:ascii="Times New Roman" w:hAnsi="Times New Roman" w:cs="Times New Roman"/>
                      <w:color w:val="auto"/>
                    </w:rPr>
                  </w:pPr>
                  <w:r>
                    <w:rPr>
                      <w:rFonts w:hint="default" w:ascii="Times New Roman" w:hAnsi="Times New Roman" w:cs="Times New Roman"/>
                      <w:color w:val="auto"/>
                    </w:rPr>
                    <w:t>16</w:t>
                  </w:r>
                </w:p>
              </w:tc>
              <w:tc>
                <w:tcPr>
                  <w:tcW w:w="596" w:type="pct"/>
                  <w:tcBorders>
                    <w:tl2br w:val="nil"/>
                    <w:tr2bl w:val="nil"/>
                  </w:tcBorders>
                  <w:vAlign w:val="center"/>
                </w:tcPr>
                <w:p w14:paraId="40711F05">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3235F976">
                  <w:pPr>
                    <w:pStyle w:val="131"/>
                    <w:rPr>
                      <w:rFonts w:hint="default" w:ascii="Times New Roman" w:hAnsi="Times New Roman" w:cs="Times New Roman"/>
                      <w:color w:val="auto"/>
                    </w:rPr>
                  </w:pPr>
                  <w:r>
                    <w:rPr>
                      <w:rFonts w:hint="default" w:ascii="Times New Roman" w:hAnsi="Times New Roman" w:cs="Times New Roman"/>
                      <w:color w:val="auto"/>
                    </w:rPr>
                    <w:t>16</w:t>
                  </w:r>
                </w:p>
              </w:tc>
            </w:tr>
            <w:tr w14:paraId="11AB1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3FF37D9D">
                  <w:pPr>
                    <w:pStyle w:val="131"/>
                    <w:rPr>
                      <w:rFonts w:hint="default" w:ascii="Times New Roman" w:hAnsi="Times New Roman" w:cs="Times New Roman"/>
                      <w:color w:val="auto"/>
                    </w:rPr>
                  </w:pPr>
                  <w:r>
                    <w:rPr>
                      <w:rFonts w:hint="default" w:ascii="Times New Roman" w:hAnsi="Times New Roman" w:cs="Times New Roman"/>
                      <w:color w:val="auto"/>
                    </w:rPr>
                    <w:t>3</w:t>
                  </w:r>
                </w:p>
              </w:tc>
              <w:tc>
                <w:tcPr>
                  <w:tcW w:w="742" w:type="pct"/>
                  <w:vMerge w:val="continue"/>
                  <w:tcBorders>
                    <w:tl2br w:val="nil"/>
                    <w:tr2bl w:val="nil"/>
                  </w:tcBorders>
                  <w:vAlign w:val="center"/>
                </w:tcPr>
                <w:p w14:paraId="2927B2A2">
                  <w:pPr>
                    <w:pStyle w:val="131"/>
                    <w:rPr>
                      <w:rFonts w:hint="default" w:ascii="Times New Roman" w:hAnsi="Times New Roman" w:cs="Times New Roman"/>
                      <w:color w:val="auto"/>
                    </w:rPr>
                  </w:pPr>
                </w:p>
              </w:tc>
              <w:tc>
                <w:tcPr>
                  <w:tcW w:w="1661" w:type="pct"/>
                  <w:tcBorders>
                    <w:tl2br w:val="nil"/>
                    <w:tr2bl w:val="nil"/>
                  </w:tcBorders>
                  <w:vAlign w:val="center"/>
                </w:tcPr>
                <w:p w14:paraId="788E50A0">
                  <w:pPr>
                    <w:pStyle w:val="131"/>
                    <w:rPr>
                      <w:rFonts w:hint="default" w:ascii="Times New Roman" w:hAnsi="Times New Roman" w:cs="Times New Roman"/>
                      <w:color w:val="auto"/>
                    </w:rPr>
                  </w:pPr>
                  <w:r>
                    <w:rPr>
                      <w:rFonts w:hint="default" w:ascii="Times New Roman" w:hAnsi="Times New Roman" w:cs="Times New Roman"/>
                      <w:color w:val="auto"/>
                    </w:rPr>
                    <w:t>机械去锈机</w:t>
                  </w:r>
                </w:p>
              </w:tc>
              <w:tc>
                <w:tcPr>
                  <w:tcW w:w="695" w:type="pct"/>
                  <w:tcBorders>
                    <w:tl2br w:val="nil"/>
                    <w:tr2bl w:val="nil"/>
                  </w:tcBorders>
                  <w:vAlign w:val="center"/>
                </w:tcPr>
                <w:p w14:paraId="5F4094EB">
                  <w:pPr>
                    <w:pStyle w:val="131"/>
                    <w:rPr>
                      <w:rFonts w:hint="default" w:ascii="Times New Roman" w:hAnsi="Times New Roman" w:cs="Times New Roman"/>
                      <w:color w:val="auto"/>
                    </w:rPr>
                  </w:pPr>
                  <w:r>
                    <w:rPr>
                      <w:rFonts w:hint="default" w:ascii="Times New Roman" w:hAnsi="Times New Roman" w:cs="Times New Roman"/>
                      <w:color w:val="auto"/>
                    </w:rPr>
                    <w:t>16</w:t>
                  </w:r>
                </w:p>
              </w:tc>
              <w:tc>
                <w:tcPr>
                  <w:tcW w:w="596" w:type="pct"/>
                  <w:tcBorders>
                    <w:tl2br w:val="nil"/>
                    <w:tr2bl w:val="nil"/>
                  </w:tcBorders>
                  <w:vAlign w:val="center"/>
                </w:tcPr>
                <w:p w14:paraId="39870EA8">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0E68B6CF">
                  <w:pPr>
                    <w:pStyle w:val="131"/>
                    <w:rPr>
                      <w:rFonts w:hint="default" w:ascii="Times New Roman" w:hAnsi="Times New Roman" w:cs="Times New Roman"/>
                      <w:color w:val="auto"/>
                    </w:rPr>
                  </w:pPr>
                  <w:r>
                    <w:rPr>
                      <w:rFonts w:hint="default" w:ascii="Times New Roman" w:hAnsi="Times New Roman" w:cs="Times New Roman"/>
                      <w:color w:val="auto"/>
                    </w:rPr>
                    <w:t>16</w:t>
                  </w:r>
                </w:p>
              </w:tc>
            </w:tr>
            <w:tr w14:paraId="17088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3F90C965">
                  <w:pPr>
                    <w:pStyle w:val="131"/>
                    <w:rPr>
                      <w:rFonts w:hint="default" w:ascii="Times New Roman" w:hAnsi="Times New Roman" w:cs="Times New Roman"/>
                      <w:color w:val="auto"/>
                    </w:rPr>
                  </w:pPr>
                  <w:r>
                    <w:rPr>
                      <w:rFonts w:hint="default" w:ascii="Times New Roman" w:hAnsi="Times New Roman" w:cs="Times New Roman"/>
                      <w:color w:val="auto"/>
                    </w:rPr>
                    <w:t>4</w:t>
                  </w:r>
                </w:p>
              </w:tc>
              <w:tc>
                <w:tcPr>
                  <w:tcW w:w="742" w:type="pct"/>
                  <w:vMerge w:val="continue"/>
                  <w:tcBorders>
                    <w:tl2br w:val="nil"/>
                    <w:tr2bl w:val="nil"/>
                  </w:tcBorders>
                  <w:vAlign w:val="center"/>
                </w:tcPr>
                <w:p w14:paraId="1F6AB4A9">
                  <w:pPr>
                    <w:pStyle w:val="131"/>
                    <w:rPr>
                      <w:rFonts w:hint="default" w:ascii="Times New Roman" w:hAnsi="Times New Roman" w:cs="Times New Roman"/>
                      <w:color w:val="auto"/>
                    </w:rPr>
                  </w:pPr>
                </w:p>
              </w:tc>
              <w:tc>
                <w:tcPr>
                  <w:tcW w:w="1661" w:type="pct"/>
                  <w:tcBorders>
                    <w:tl2br w:val="nil"/>
                    <w:tr2bl w:val="nil"/>
                  </w:tcBorders>
                  <w:vAlign w:val="center"/>
                </w:tcPr>
                <w:p w14:paraId="1E56F970">
                  <w:pPr>
                    <w:pStyle w:val="131"/>
                    <w:rPr>
                      <w:rFonts w:hint="default" w:ascii="Times New Roman" w:hAnsi="Times New Roman" w:cs="Times New Roman"/>
                      <w:color w:val="auto"/>
                    </w:rPr>
                  </w:pPr>
                  <w:r>
                    <w:rPr>
                      <w:rFonts w:hint="default" w:ascii="Times New Roman" w:hAnsi="Times New Roman" w:cs="Times New Roman"/>
                      <w:color w:val="auto"/>
                    </w:rPr>
                    <w:t>拉拔成型机</w:t>
                  </w:r>
                </w:p>
              </w:tc>
              <w:tc>
                <w:tcPr>
                  <w:tcW w:w="695" w:type="pct"/>
                  <w:tcBorders>
                    <w:tl2br w:val="nil"/>
                    <w:tr2bl w:val="nil"/>
                  </w:tcBorders>
                  <w:vAlign w:val="center"/>
                </w:tcPr>
                <w:p w14:paraId="434093D4">
                  <w:pPr>
                    <w:pStyle w:val="131"/>
                    <w:rPr>
                      <w:rFonts w:hint="default" w:ascii="Times New Roman" w:hAnsi="Times New Roman" w:cs="Times New Roman"/>
                      <w:color w:val="auto"/>
                    </w:rPr>
                  </w:pPr>
                  <w:r>
                    <w:rPr>
                      <w:rFonts w:hint="default" w:ascii="Times New Roman" w:hAnsi="Times New Roman" w:cs="Times New Roman"/>
                      <w:color w:val="auto"/>
                    </w:rPr>
                    <w:t>16</w:t>
                  </w:r>
                </w:p>
              </w:tc>
              <w:tc>
                <w:tcPr>
                  <w:tcW w:w="596" w:type="pct"/>
                  <w:tcBorders>
                    <w:tl2br w:val="nil"/>
                    <w:tr2bl w:val="nil"/>
                  </w:tcBorders>
                  <w:vAlign w:val="center"/>
                </w:tcPr>
                <w:p w14:paraId="7EE4778B">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12D73B0C">
                  <w:pPr>
                    <w:pStyle w:val="131"/>
                    <w:rPr>
                      <w:rFonts w:hint="default" w:ascii="Times New Roman" w:hAnsi="Times New Roman" w:cs="Times New Roman"/>
                      <w:color w:val="auto"/>
                    </w:rPr>
                  </w:pPr>
                  <w:r>
                    <w:rPr>
                      <w:rFonts w:hint="default" w:ascii="Times New Roman" w:hAnsi="Times New Roman" w:cs="Times New Roman"/>
                      <w:color w:val="auto"/>
                    </w:rPr>
                    <w:t>16</w:t>
                  </w:r>
                </w:p>
              </w:tc>
            </w:tr>
            <w:tr w14:paraId="01D85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3A32DA3B">
                  <w:pPr>
                    <w:pStyle w:val="131"/>
                    <w:rPr>
                      <w:rFonts w:hint="default" w:ascii="Times New Roman" w:hAnsi="Times New Roman" w:cs="Times New Roman"/>
                      <w:color w:val="auto"/>
                    </w:rPr>
                  </w:pPr>
                  <w:r>
                    <w:rPr>
                      <w:rFonts w:hint="default" w:ascii="Times New Roman" w:hAnsi="Times New Roman" w:cs="Times New Roman"/>
                      <w:color w:val="auto"/>
                    </w:rPr>
                    <w:t>5</w:t>
                  </w:r>
                </w:p>
              </w:tc>
              <w:tc>
                <w:tcPr>
                  <w:tcW w:w="742" w:type="pct"/>
                  <w:vMerge w:val="continue"/>
                  <w:tcBorders>
                    <w:tl2br w:val="nil"/>
                    <w:tr2bl w:val="nil"/>
                  </w:tcBorders>
                  <w:vAlign w:val="center"/>
                </w:tcPr>
                <w:p w14:paraId="77D9D350">
                  <w:pPr>
                    <w:pStyle w:val="131"/>
                    <w:rPr>
                      <w:rFonts w:hint="default" w:ascii="Times New Roman" w:hAnsi="Times New Roman" w:cs="Times New Roman"/>
                      <w:color w:val="auto"/>
                    </w:rPr>
                  </w:pPr>
                </w:p>
              </w:tc>
              <w:tc>
                <w:tcPr>
                  <w:tcW w:w="1661" w:type="pct"/>
                  <w:tcBorders>
                    <w:tl2br w:val="nil"/>
                    <w:tr2bl w:val="nil"/>
                  </w:tcBorders>
                  <w:vAlign w:val="center"/>
                </w:tcPr>
                <w:p w14:paraId="40DF5AA8">
                  <w:pPr>
                    <w:pStyle w:val="131"/>
                    <w:rPr>
                      <w:rFonts w:hint="default" w:ascii="Times New Roman" w:hAnsi="Times New Roman" w:cs="Times New Roman"/>
                      <w:color w:val="auto"/>
                    </w:rPr>
                  </w:pPr>
                  <w:r>
                    <w:rPr>
                      <w:rFonts w:hint="default" w:ascii="Times New Roman" w:hAnsi="Times New Roman" w:cs="Times New Roman"/>
                      <w:color w:val="auto"/>
                    </w:rPr>
                    <w:t>矫直机</w:t>
                  </w:r>
                </w:p>
              </w:tc>
              <w:tc>
                <w:tcPr>
                  <w:tcW w:w="695" w:type="pct"/>
                  <w:tcBorders>
                    <w:tl2br w:val="nil"/>
                    <w:tr2bl w:val="nil"/>
                  </w:tcBorders>
                  <w:vAlign w:val="center"/>
                </w:tcPr>
                <w:p w14:paraId="548CC4C9">
                  <w:pPr>
                    <w:pStyle w:val="131"/>
                    <w:rPr>
                      <w:rFonts w:hint="default" w:ascii="Times New Roman" w:hAnsi="Times New Roman" w:cs="Times New Roman"/>
                      <w:color w:val="auto"/>
                    </w:rPr>
                  </w:pPr>
                  <w:r>
                    <w:rPr>
                      <w:rFonts w:hint="default" w:ascii="Times New Roman" w:hAnsi="Times New Roman" w:cs="Times New Roman"/>
                      <w:color w:val="auto"/>
                    </w:rPr>
                    <w:t>16</w:t>
                  </w:r>
                </w:p>
              </w:tc>
              <w:tc>
                <w:tcPr>
                  <w:tcW w:w="596" w:type="pct"/>
                  <w:tcBorders>
                    <w:tl2br w:val="nil"/>
                    <w:tr2bl w:val="nil"/>
                  </w:tcBorders>
                  <w:vAlign w:val="center"/>
                </w:tcPr>
                <w:p w14:paraId="36DBD420">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1A4218DC">
                  <w:pPr>
                    <w:pStyle w:val="131"/>
                    <w:rPr>
                      <w:rFonts w:hint="default" w:ascii="Times New Roman" w:hAnsi="Times New Roman" w:cs="Times New Roman"/>
                      <w:color w:val="auto"/>
                    </w:rPr>
                  </w:pPr>
                  <w:r>
                    <w:rPr>
                      <w:rFonts w:hint="default" w:ascii="Times New Roman" w:hAnsi="Times New Roman" w:cs="Times New Roman"/>
                      <w:color w:val="auto"/>
                    </w:rPr>
                    <w:t>16</w:t>
                  </w:r>
                </w:p>
              </w:tc>
            </w:tr>
            <w:tr w14:paraId="0D461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6CA1B5AF">
                  <w:pPr>
                    <w:pStyle w:val="131"/>
                    <w:rPr>
                      <w:rFonts w:hint="default" w:ascii="Times New Roman" w:hAnsi="Times New Roman" w:cs="Times New Roman"/>
                      <w:color w:val="auto"/>
                    </w:rPr>
                  </w:pPr>
                  <w:r>
                    <w:rPr>
                      <w:rFonts w:hint="default" w:ascii="Times New Roman" w:hAnsi="Times New Roman" w:cs="Times New Roman"/>
                      <w:color w:val="auto"/>
                    </w:rPr>
                    <w:t>6</w:t>
                  </w:r>
                </w:p>
              </w:tc>
              <w:tc>
                <w:tcPr>
                  <w:tcW w:w="742" w:type="pct"/>
                  <w:vMerge w:val="continue"/>
                  <w:tcBorders>
                    <w:tl2br w:val="nil"/>
                    <w:tr2bl w:val="nil"/>
                  </w:tcBorders>
                  <w:vAlign w:val="center"/>
                </w:tcPr>
                <w:p w14:paraId="351D9939">
                  <w:pPr>
                    <w:pStyle w:val="131"/>
                    <w:rPr>
                      <w:rFonts w:hint="default" w:ascii="Times New Roman" w:hAnsi="Times New Roman" w:cs="Times New Roman"/>
                      <w:color w:val="auto"/>
                    </w:rPr>
                  </w:pPr>
                </w:p>
              </w:tc>
              <w:tc>
                <w:tcPr>
                  <w:tcW w:w="1661" w:type="pct"/>
                  <w:tcBorders>
                    <w:tl2br w:val="nil"/>
                    <w:tr2bl w:val="nil"/>
                  </w:tcBorders>
                  <w:vAlign w:val="center"/>
                </w:tcPr>
                <w:p w14:paraId="4A5442E5">
                  <w:pPr>
                    <w:pStyle w:val="131"/>
                    <w:rPr>
                      <w:rFonts w:hint="default" w:ascii="Times New Roman" w:hAnsi="Times New Roman" w:cs="Times New Roman"/>
                      <w:color w:val="auto"/>
                    </w:rPr>
                  </w:pPr>
                  <w:r>
                    <w:rPr>
                      <w:rFonts w:hint="default" w:ascii="Times New Roman" w:hAnsi="Times New Roman" w:cs="Times New Roman"/>
                      <w:color w:val="auto"/>
                    </w:rPr>
                    <w:t>清洁机</w:t>
                  </w:r>
                </w:p>
              </w:tc>
              <w:tc>
                <w:tcPr>
                  <w:tcW w:w="695" w:type="pct"/>
                  <w:tcBorders>
                    <w:tl2br w:val="nil"/>
                    <w:tr2bl w:val="nil"/>
                  </w:tcBorders>
                  <w:vAlign w:val="center"/>
                </w:tcPr>
                <w:p w14:paraId="2303ADBD">
                  <w:pPr>
                    <w:pStyle w:val="131"/>
                    <w:rPr>
                      <w:rFonts w:hint="default" w:ascii="Times New Roman" w:hAnsi="Times New Roman" w:cs="Times New Roman"/>
                      <w:color w:val="auto"/>
                    </w:rPr>
                  </w:pPr>
                  <w:r>
                    <w:rPr>
                      <w:rFonts w:hint="default" w:ascii="Times New Roman" w:hAnsi="Times New Roman" w:cs="Times New Roman"/>
                      <w:color w:val="auto"/>
                    </w:rPr>
                    <w:t>16</w:t>
                  </w:r>
                </w:p>
              </w:tc>
              <w:tc>
                <w:tcPr>
                  <w:tcW w:w="596" w:type="pct"/>
                  <w:tcBorders>
                    <w:tl2br w:val="nil"/>
                    <w:tr2bl w:val="nil"/>
                  </w:tcBorders>
                  <w:vAlign w:val="center"/>
                </w:tcPr>
                <w:p w14:paraId="10033A34">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572B78E6">
                  <w:pPr>
                    <w:pStyle w:val="131"/>
                    <w:rPr>
                      <w:rFonts w:hint="default" w:ascii="Times New Roman" w:hAnsi="Times New Roman" w:cs="Times New Roman"/>
                      <w:color w:val="auto"/>
                    </w:rPr>
                  </w:pPr>
                  <w:r>
                    <w:rPr>
                      <w:rFonts w:hint="default" w:ascii="Times New Roman" w:hAnsi="Times New Roman" w:cs="Times New Roman"/>
                      <w:color w:val="auto"/>
                    </w:rPr>
                    <w:t>16</w:t>
                  </w:r>
                </w:p>
              </w:tc>
            </w:tr>
            <w:tr w14:paraId="5B492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485E3C54">
                  <w:pPr>
                    <w:pStyle w:val="131"/>
                    <w:rPr>
                      <w:rFonts w:hint="default" w:ascii="Times New Roman" w:hAnsi="Times New Roman" w:cs="Times New Roman"/>
                      <w:color w:val="auto"/>
                    </w:rPr>
                  </w:pPr>
                  <w:r>
                    <w:rPr>
                      <w:rFonts w:hint="default" w:ascii="Times New Roman" w:hAnsi="Times New Roman" w:cs="Times New Roman"/>
                      <w:color w:val="auto"/>
                    </w:rPr>
                    <w:t>7</w:t>
                  </w:r>
                </w:p>
              </w:tc>
              <w:tc>
                <w:tcPr>
                  <w:tcW w:w="742" w:type="pct"/>
                  <w:vMerge w:val="continue"/>
                  <w:tcBorders>
                    <w:tl2br w:val="nil"/>
                    <w:tr2bl w:val="nil"/>
                  </w:tcBorders>
                  <w:vAlign w:val="center"/>
                </w:tcPr>
                <w:p w14:paraId="000F7D12">
                  <w:pPr>
                    <w:pStyle w:val="131"/>
                    <w:rPr>
                      <w:rFonts w:hint="default" w:ascii="Times New Roman" w:hAnsi="Times New Roman" w:cs="Times New Roman"/>
                      <w:color w:val="auto"/>
                    </w:rPr>
                  </w:pPr>
                </w:p>
              </w:tc>
              <w:tc>
                <w:tcPr>
                  <w:tcW w:w="1661" w:type="pct"/>
                  <w:tcBorders>
                    <w:tl2br w:val="nil"/>
                    <w:tr2bl w:val="nil"/>
                  </w:tcBorders>
                  <w:vAlign w:val="center"/>
                </w:tcPr>
                <w:p w14:paraId="19A9950B">
                  <w:pPr>
                    <w:pStyle w:val="131"/>
                    <w:rPr>
                      <w:rFonts w:hint="default" w:ascii="Times New Roman" w:hAnsi="Times New Roman" w:cs="Times New Roman"/>
                      <w:color w:val="auto"/>
                    </w:rPr>
                  </w:pPr>
                  <w:r>
                    <w:rPr>
                      <w:rFonts w:hint="default" w:ascii="Times New Roman" w:hAnsi="Times New Roman" w:cs="Times New Roman"/>
                      <w:color w:val="auto"/>
                    </w:rPr>
                    <w:t>1#牵引机</w:t>
                  </w:r>
                </w:p>
              </w:tc>
              <w:tc>
                <w:tcPr>
                  <w:tcW w:w="695" w:type="pct"/>
                  <w:tcBorders>
                    <w:tl2br w:val="nil"/>
                    <w:tr2bl w:val="nil"/>
                  </w:tcBorders>
                  <w:vAlign w:val="center"/>
                </w:tcPr>
                <w:p w14:paraId="274C9938">
                  <w:pPr>
                    <w:pStyle w:val="131"/>
                    <w:rPr>
                      <w:rFonts w:hint="default" w:ascii="Times New Roman" w:hAnsi="Times New Roman" w:cs="Times New Roman"/>
                      <w:color w:val="auto"/>
                    </w:rPr>
                  </w:pPr>
                  <w:r>
                    <w:rPr>
                      <w:rFonts w:hint="default" w:ascii="Times New Roman" w:hAnsi="Times New Roman" w:cs="Times New Roman"/>
                      <w:color w:val="auto"/>
                    </w:rPr>
                    <w:t>16</w:t>
                  </w:r>
                </w:p>
              </w:tc>
              <w:tc>
                <w:tcPr>
                  <w:tcW w:w="596" w:type="pct"/>
                  <w:tcBorders>
                    <w:tl2br w:val="nil"/>
                    <w:tr2bl w:val="nil"/>
                  </w:tcBorders>
                  <w:vAlign w:val="center"/>
                </w:tcPr>
                <w:p w14:paraId="36A1F855">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55132259">
                  <w:pPr>
                    <w:pStyle w:val="131"/>
                    <w:rPr>
                      <w:rFonts w:hint="default" w:ascii="Times New Roman" w:hAnsi="Times New Roman" w:cs="Times New Roman"/>
                      <w:color w:val="auto"/>
                    </w:rPr>
                  </w:pPr>
                  <w:r>
                    <w:rPr>
                      <w:rFonts w:hint="default" w:ascii="Times New Roman" w:hAnsi="Times New Roman" w:cs="Times New Roman"/>
                      <w:color w:val="auto"/>
                    </w:rPr>
                    <w:t>16</w:t>
                  </w:r>
                </w:p>
              </w:tc>
            </w:tr>
            <w:tr w14:paraId="42BA3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30C83E82">
                  <w:pPr>
                    <w:pStyle w:val="131"/>
                    <w:rPr>
                      <w:rFonts w:hint="default" w:ascii="Times New Roman" w:hAnsi="Times New Roman" w:cs="Times New Roman"/>
                      <w:color w:val="auto"/>
                    </w:rPr>
                  </w:pPr>
                  <w:r>
                    <w:rPr>
                      <w:rFonts w:hint="default" w:ascii="Times New Roman" w:hAnsi="Times New Roman" w:cs="Times New Roman"/>
                      <w:color w:val="auto"/>
                    </w:rPr>
                    <w:t>8</w:t>
                  </w:r>
                </w:p>
              </w:tc>
              <w:tc>
                <w:tcPr>
                  <w:tcW w:w="742" w:type="pct"/>
                  <w:vMerge w:val="continue"/>
                  <w:tcBorders>
                    <w:tl2br w:val="nil"/>
                    <w:tr2bl w:val="nil"/>
                  </w:tcBorders>
                  <w:vAlign w:val="center"/>
                </w:tcPr>
                <w:p w14:paraId="4BC73EB4">
                  <w:pPr>
                    <w:pStyle w:val="131"/>
                    <w:rPr>
                      <w:rFonts w:hint="default" w:ascii="Times New Roman" w:hAnsi="Times New Roman" w:cs="Times New Roman"/>
                      <w:color w:val="auto"/>
                    </w:rPr>
                  </w:pPr>
                </w:p>
              </w:tc>
              <w:tc>
                <w:tcPr>
                  <w:tcW w:w="1661" w:type="pct"/>
                  <w:tcBorders>
                    <w:tl2br w:val="nil"/>
                    <w:tr2bl w:val="nil"/>
                  </w:tcBorders>
                  <w:vAlign w:val="center"/>
                </w:tcPr>
                <w:p w14:paraId="48326630">
                  <w:pPr>
                    <w:pStyle w:val="131"/>
                    <w:rPr>
                      <w:rFonts w:hint="default" w:ascii="Times New Roman" w:hAnsi="Times New Roman" w:cs="Times New Roman"/>
                      <w:color w:val="auto"/>
                    </w:rPr>
                  </w:pPr>
                  <w:r>
                    <w:rPr>
                      <w:rFonts w:hint="default" w:ascii="Times New Roman" w:hAnsi="Times New Roman" w:cs="Times New Roman"/>
                      <w:color w:val="auto"/>
                    </w:rPr>
                    <w:t>淬火水槽</w:t>
                  </w:r>
                </w:p>
              </w:tc>
              <w:tc>
                <w:tcPr>
                  <w:tcW w:w="695" w:type="pct"/>
                  <w:tcBorders>
                    <w:tl2br w:val="nil"/>
                    <w:tr2bl w:val="nil"/>
                  </w:tcBorders>
                  <w:vAlign w:val="center"/>
                </w:tcPr>
                <w:p w14:paraId="4F69E28C">
                  <w:pPr>
                    <w:pStyle w:val="131"/>
                    <w:rPr>
                      <w:rFonts w:hint="default" w:ascii="Times New Roman" w:hAnsi="Times New Roman" w:cs="Times New Roman"/>
                      <w:color w:val="auto"/>
                    </w:rPr>
                  </w:pPr>
                  <w:r>
                    <w:rPr>
                      <w:rFonts w:hint="default" w:ascii="Times New Roman" w:hAnsi="Times New Roman" w:cs="Times New Roman"/>
                      <w:color w:val="auto"/>
                    </w:rPr>
                    <w:t>16</w:t>
                  </w:r>
                </w:p>
              </w:tc>
              <w:tc>
                <w:tcPr>
                  <w:tcW w:w="596" w:type="pct"/>
                  <w:tcBorders>
                    <w:tl2br w:val="nil"/>
                    <w:tr2bl w:val="nil"/>
                  </w:tcBorders>
                  <w:vAlign w:val="center"/>
                </w:tcPr>
                <w:p w14:paraId="69CBD666">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260AE491">
                  <w:pPr>
                    <w:pStyle w:val="131"/>
                    <w:rPr>
                      <w:rFonts w:hint="default" w:ascii="Times New Roman" w:hAnsi="Times New Roman" w:cs="Times New Roman"/>
                      <w:color w:val="auto"/>
                    </w:rPr>
                  </w:pPr>
                  <w:r>
                    <w:rPr>
                      <w:rFonts w:hint="default" w:ascii="Times New Roman" w:hAnsi="Times New Roman" w:cs="Times New Roman"/>
                      <w:color w:val="auto"/>
                    </w:rPr>
                    <w:t>16</w:t>
                  </w:r>
                </w:p>
              </w:tc>
            </w:tr>
            <w:tr w14:paraId="2DEBE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486597BB">
                  <w:pPr>
                    <w:pStyle w:val="131"/>
                    <w:rPr>
                      <w:rFonts w:hint="default" w:ascii="Times New Roman" w:hAnsi="Times New Roman" w:cs="Times New Roman"/>
                      <w:color w:val="auto"/>
                    </w:rPr>
                  </w:pPr>
                  <w:r>
                    <w:rPr>
                      <w:rFonts w:hint="default" w:ascii="Times New Roman" w:hAnsi="Times New Roman" w:cs="Times New Roman"/>
                      <w:color w:val="auto"/>
                    </w:rPr>
                    <w:t>9</w:t>
                  </w:r>
                </w:p>
              </w:tc>
              <w:tc>
                <w:tcPr>
                  <w:tcW w:w="742" w:type="pct"/>
                  <w:vMerge w:val="continue"/>
                  <w:tcBorders>
                    <w:tl2br w:val="nil"/>
                    <w:tr2bl w:val="nil"/>
                  </w:tcBorders>
                  <w:vAlign w:val="center"/>
                </w:tcPr>
                <w:p w14:paraId="1BF8E7C2">
                  <w:pPr>
                    <w:pStyle w:val="131"/>
                    <w:rPr>
                      <w:rFonts w:hint="default" w:ascii="Times New Roman" w:hAnsi="Times New Roman" w:cs="Times New Roman"/>
                      <w:color w:val="auto"/>
                    </w:rPr>
                  </w:pPr>
                </w:p>
              </w:tc>
              <w:tc>
                <w:tcPr>
                  <w:tcW w:w="1661" w:type="pct"/>
                  <w:tcBorders>
                    <w:tl2br w:val="nil"/>
                    <w:tr2bl w:val="nil"/>
                  </w:tcBorders>
                  <w:vAlign w:val="center"/>
                </w:tcPr>
                <w:p w14:paraId="5020156E">
                  <w:pPr>
                    <w:pStyle w:val="131"/>
                    <w:rPr>
                      <w:rFonts w:hint="default" w:ascii="Times New Roman" w:hAnsi="Times New Roman" w:cs="Times New Roman"/>
                      <w:color w:val="auto"/>
                    </w:rPr>
                  </w:pPr>
                  <w:r>
                    <w:rPr>
                      <w:rFonts w:hint="default" w:ascii="Times New Roman" w:hAnsi="Times New Roman" w:cs="Times New Roman"/>
                      <w:color w:val="auto"/>
                    </w:rPr>
                    <w:t>回火水槽</w:t>
                  </w:r>
                </w:p>
              </w:tc>
              <w:tc>
                <w:tcPr>
                  <w:tcW w:w="695" w:type="pct"/>
                  <w:tcBorders>
                    <w:tl2br w:val="nil"/>
                    <w:tr2bl w:val="nil"/>
                  </w:tcBorders>
                  <w:vAlign w:val="center"/>
                </w:tcPr>
                <w:p w14:paraId="74A7D67F">
                  <w:pPr>
                    <w:pStyle w:val="131"/>
                    <w:rPr>
                      <w:rFonts w:hint="default" w:ascii="Times New Roman" w:hAnsi="Times New Roman" w:cs="Times New Roman"/>
                      <w:color w:val="auto"/>
                    </w:rPr>
                  </w:pPr>
                  <w:r>
                    <w:rPr>
                      <w:rFonts w:hint="default" w:ascii="Times New Roman" w:hAnsi="Times New Roman" w:cs="Times New Roman"/>
                      <w:color w:val="auto"/>
                    </w:rPr>
                    <w:t>16</w:t>
                  </w:r>
                </w:p>
              </w:tc>
              <w:tc>
                <w:tcPr>
                  <w:tcW w:w="596" w:type="pct"/>
                  <w:tcBorders>
                    <w:tl2br w:val="nil"/>
                    <w:tr2bl w:val="nil"/>
                  </w:tcBorders>
                  <w:vAlign w:val="center"/>
                </w:tcPr>
                <w:p w14:paraId="0E6401E5">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55A049F6">
                  <w:pPr>
                    <w:pStyle w:val="131"/>
                    <w:rPr>
                      <w:rFonts w:hint="default" w:ascii="Times New Roman" w:hAnsi="Times New Roman" w:cs="Times New Roman"/>
                      <w:color w:val="auto"/>
                    </w:rPr>
                  </w:pPr>
                  <w:r>
                    <w:rPr>
                      <w:rFonts w:hint="default" w:ascii="Times New Roman" w:hAnsi="Times New Roman" w:cs="Times New Roman"/>
                      <w:color w:val="auto"/>
                    </w:rPr>
                    <w:t>16</w:t>
                  </w:r>
                </w:p>
              </w:tc>
            </w:tr>
            <w:tr w14:paraId="6496A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6757E045">
                  <w:pPr>
                    <w:pStyle w:val="131"/>
                    <w:rPr>
                      <w:rFonts w:hint="default" w:ascii="Times New Roman" w:hAnsi="Times New Roman" w:cs="Times New Roman"/>
                      <w:color w:val="auto"/>
                    </w:rPr>
                  </w:pPr>
                  <w:r>
                    <w:rPr>
                      <w:rFonts w:hint="default" w:ascii="Times New Roman" w:hAnsi="Times New Roman" w:cs="Times New Roman"/>
                      <w:color w:val="auto"/>
                    </w:rPr>
                    <w:t>10</w:t>
                  </w:r>
                </w:p>
              </w:tc>
              <w:tc>
                <w:tcPr>
                  <w:tcW w:w="742" w:type="pct"/>
                  <w:vMerge w:val="continue"/>
                  <w:tcBorders>
                    <w:tl2br w:val="nil"/>
                    <w:tr2bl w:val="nil"/>
                  </w:tcBorders>
                  <w:vAlign w:val="center"/>
                </w:tcPr>
                <w:p w14:paraId="622A2352">
                  <w:pPr>
                    <w:pStyle w:val="131"/>
                    <w:rPr>
                      <w:rFonts w:hint="default" w:ascii="Times New Roman" w:hAnsi="Times New Roman" w:cs="Times New Roman"/>
                      <w:color w:val="auto"/>
                    </w:rPr>
                  </w:pPr>
                </w:p>
              </w:tc>
              <w:tc>
                <w:tcPr>
                  <w:tcW w:w="1661" w:type="pct"/>
                  <w:tcBorders>
                    <w:tl2br w:val="nil"/>
                    <w:tr2bl w:val="nil"/>
                  </w:tcBorders>
                  <w:vAlign w:val="center"/>
                </w:tcPr>
                <w:p w14:paraId="409C4072">
                  <w:pPr>
                    <w:pStyle w:val="131"/>
                    <w:rPr>
                      <w:rFonts w:hint="default" w:ascii="Times New Roman" w:hAnsi="Times New Roman" w:cs="Times New Roman"/>
                      <w:color w:val="auto"/>
                    </w:rPr>
                  </w:pPr>
                  <w:r>
                    <w:rPr>
                      <w:rFonts w:hint="default" w:ascii="Times New Roman" w:hAnsi="Times New Roman" w:cs="Times New Roman"/>
                      <w:color w:val="auto"/>
                    </w:rPr>
                    <w:t>2#牵引机</w:t>
                  </w:r>
                </w:p>
              </w:tc>
              <w:tc>
                <w:tcPr>
                  <w:tcW w:w="695" w:type="pct"/>
                  <w:tcBorders>
                    <w:tl2br w:val="nil"/>
                    <w:tr2bl w:val="nil"/>
                  </w:tcBorders>
                  <w:vAlign w:val="center"/>
                </w:tcPr>
                <w:p w14:paraId="12C7AF56">
                  <w:pPr>
                    <w:pStyle w:val="131"/>
                    <w:rPr>
                      <w:rFonts w:hint="default" w:ascii="Times New Roman" w:hAnsi="Times New Roman" w:cs="Times New Roman"/>
                      <w:color w:val="auto"/>
                    </w:rPr>
                  </w:pPr>
                  <w:r>
                    <w:rPr>
                      <w:rFonts w:hint="default" w:ascii="Times New Roman" w:hAnsi="Times New Roman" w:cs="Times New Roman"/>
                      <w:color w:val="auto"/>
                    </w:rPr>
                    <w:t>16</w:t>
                  </w:r>
                </w:p>
              </w:tc>
              <w:tc>
                <w:tcPr>
                  <w:tcW w:w="596" w:type="pct"/>
                  <w:tcBorders>
                    <w:tl2br w:val="nil"/>
                    <w:tr2bl w:val="nil"/>
                  </w:tcBorders>
                  <w:vAlign w:val="center"/>
                </w:tcPr>
                <w:p w14:paraId="6F591789">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05A5D76C">
                  <w:pPr>
                    <w:pStyle w:val="131"/>
                    <w:rPr>
                      <w:rFonts w:hint="default" w:ascii="Times New Roman" w:hAnsi="Times New Roman" w:cs="Times New Roman"/>
                      <w:color w:val="auto"/>
                    </w:rPr>
                  </w:pPr>
                  <w:r>
                    <w:rPr>
                      <w:rFonts w:hint="default" w:ascii="Times New Roman" w:hAnsi="Times New Roman" w:cs="Times New Roman"/>
                      <w:color w:val="auto"/>
                    </w:rPr>
                    <w:t>16</w:t>
                  </w:r>
                </w:p>
              </w:tc>
            </w:tr>
            <w:tr w14:paraId="0C80A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791031BE">
                  <w:pPr>
                    <w:pStyle w:val="131"/>
                    <w:rPr>
                      <w:rFonts w:hint="default" w:ascii="Times New Roman" w:hAnsi="Times New Roman" w:cs="Times New Roman"/>
                      <w:color w:val="auto"/>
                    </w:rPr>
                  </w:pPr>
                  <w:r>
                    <w:rPr>
                      <w:rFonts w:hint="default" w:ascii="Times New Roman" w:hAnsi="Times New Roman" w:cs="Times New Roman"/>
                      <w:color w:val="auto"/>
                    </w:rPr>
                    <w:t>11</w:t>
                  </w:r>
                </w:p>
              </w:tc>
              <w:tc>
                <w:tcPr>
                  <w:tcW w:w="742" w:type="pct"/>
                  <w:vMerge w:val="continue"/>
                  <w:tcBorders>
                    <w:tl2br w:val="nil"/>
                    <w:tr2bl w:val="nil"/>
                  </w:tcBorders>
                  <w:vAlign w:val="center"/>
                </w:tcPr>
                <w:p w14:paraId="2552A70C">
                  <w:pPr>
                    <w:pStyle w:val="131"/>
                    <w:rPr>
                      <w:rFonts w:hint="default" w:ascii="Times New Roman" w:hAnsi="Times New Roman" w:cs="Times New Roman"/>
                      <w:color w:val="auto"/>
                    </w:rPr>
                  </w:pPr>
                </w:p>
              </w:tc>
              <w:tc>
                <w:tcPr>
                  <w:tcW w:w="1661" w:type="pct"/>
                  <w:tcBorders>
                    <w:tl2br w:val="nil"/>
                    <w:tr2bl w:val="nil"/>
                  </w:tcBorders>
                  <w:vAlign w:val="center"/>
                </w:tcPr>
                <w:p w14:paraId="1B492F81">
                  <w:pPr>
                    <w:pStyle w:val="131"/>
                    <w:rPr>
                      <w:rFonts w:hint="default" w:ascii="Times New Roman" w:hAnsi="Times New Roman" w:cs="Times New Roman"/>
                      <w:color w:val="auto"/>
                    </w:rPr>
                  </w:pPr>
                  <w:r>
                    <w:rPr>
                      <w:rFonts w:hint="default" w:ascii="Times New Roman" w:hAnsi="Times New Roman" w:cs="Times New Roman"/>
                      <w:color w:val="auto"/>
                    </w:rPr>
                    <w:t>液压剪切换向机</w:t>
                  </w:r>
                </w:p>
              </w:tc>
              <w:tc>
                <w:tcPr>
                  <w:tcW w:w="695" w:type="pct"/>
                  <w:tcBorders>
                    <w:tl2br w:val="nil"/>
                    <w:tr2bl w:val="nil"/>
                  </w:tcBorders>
                  <w:vAlign w:val="center"/>
                </w:tcPr>
                <w:p w14:paraId="0E479D70">
                  <w:pPr>
                    <w:pStyle w:val="131"/>
                    <w:rPr>
                      <w:rFonts w:hint="default" w:ascii="Times New Roman" w:hAnsi="Times New Roman" w:cs="Times New Roman"/>
                      <w:color w:val="auto"/>
                    </w:rPr>
                  </w:pPr>
                  <w:r>
                    <w:rPr>
                      <w:rFonts w:hint="default" w:ascii="Times New Roman" w:hAnsi="Times New Roman" w:cs="Times New Roman"/>
                      <w:color w:val="auto"/>
                    </w:rPr>
                    <w:t>16</w:t>
                  </w:r>
                </w:p>
              </w:tc>
              <w:tc>
                <w:tcPr>
                  <w:tcW w:w="596" w:type="pct"/>
                  <w:tcBorders>
                    <w:tl2br w:val="nil"/>
                    <w:tr2bl w:val="nil"/>
                  </w:tcBorders>
                  <w:vAlign w:val="center"/>
                </w:tcPr>
                <w:p w14:paraId="05F9A3F7">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2861CA01">
                  <w:pPr>
                    <w:pStyle w:val="131"/>
                    <w:rPr>
                      <w:rFonts w:hint="default" w:ascii="Times New Roman" w:hAnsi="Times New Roman" w:cs="Times New Roman"/>
                      <w:color w:val="auto"/>
                    </w:rPr>
                  </w:pPr>
                  <w:r>
                    <w:rPr>
                      <w:rFonts w:hint="default" w:ascii="Times New Roman" w:hAnsi="Times New Roman" w:cs="Times New Roman"/>
                      <w:color w:val="auto"/>
                    </w:rPr>
                    <w:t>16</w:t>
                  </w:r>
                </w:p>
              </w:tc>
            </w:tr>
            <w:tr w14:paraId="74B89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71D4E5C0">
                  <w:pPr>
                    <w:pStyle w:val="131"/>
                    <w:rPr>
                      <w:rFonts w:hint="default" w:ascii="Times New Roman" w:hAnsi="Times New Roman" w:cs="Times New Roman"/>
                      <w:color w:val="auto"/>
                    </w:rPr>
                  </w:pPr>
                  <w:r>
                    <w:rPr>
                      <w:rFonts w:hint="default" w:ascii="Times New Roman" w:hAnsi="Times New Roman" w:cs="Times New Roman"/>
                      <w:color w:val="auto"/>
                    </w:rPr>
                    <w:t>12</w:t>
                  </w:r>
                </w:p>
              </w:tc>
              <w:tc>
                <w:tcPr>
                  <w:tcW w:w="742" w:type="pct"/>
                  <w:vMerge w:val="continue"/>
                  <w:tcBorders>
                    <w:tl2br w:val="nil"/>
                    <w:tr2bl w:val="nil"/>
                  </w:tcBorders>
                  <w:vAlign w:val="center"/>
                </w:tcPr>
                <w:p w14:paraId="23F3CED5">
                  <w:pPr>
                    <w:pStyle w:val="131"/>
                    <w:rPr>
                      <w:rFonts w:hint="default" w:ascii="Times New Roman" w:hAnsi="Times New Roman" w:cs="Times New Roman"/>
                      <w:color w:val="auto"/>
                    </w:rPr>
                  </w:pPr>
                </w:p>
              </w:tc>
              <w:tc>
                <w:tcPr>
                  <w:tcW w:w="1661" w:type="pct"/>
                  <w:tcBorders>
                    <w:tl2br w:val="nil"/>
                    <w:tr2bl w:val="nil"/>
                  </w:tcBorders>
                  <w:vAlign w:val="center"/>
                </w:tcPr>
                <w:p w14:paraId="4B53F671">
                  <w:pPr>
                    <w:pStyle w:val="131"/>
                    <w:rPr>
                      <w:rFonts w:hint="default" w:ascii="Times New Roman" w:hAnsi="Times New Roman" w:cs="Times New Roman"/>
                      <w:color w:val="auto"/>
                    </w:rPr>
                  </w:pPr>
                  <w:r>
                    <w:rPr>
                      <w:rFonts w:hint="default" w:ascii="Times New Roman" w:hAnsi="Times New Roman" w:cs="Times New Roman"/>
                      <w:color w:val="auto"/>
                    </w:rPr>
                    <w:t>收线机</w:t>
                  </w:r>
                </w:p>
              </w:tc>
              <w:tc>
                <w:tcPr>
                  <w:tcW w:w="695" w:type="pct"/>
                  <w:tcBorders>
                    <w:tl2br w:val="nil"/>
                    <w:tr2bl w:val="nil"/>
                  </w:tcBorders>
                  <w:vAlign w:val="center"/>
                </w:tcPr>
                <w:p w14:paraId="363E10B9">
                  <w:pPr>
                    <w:pStyle w:val="131"/>
                    <w:rPr>
                      <w:rFonts w:hint="default" w:ascii="Times New Roman" w:hAnsi="Times New Roman" w:cs="Times New Roman"/>
                      <w:color w:val="auto"/>
                    </w:rPr>
                  </w:pPr>
                  <w:r>
                    <w:rPr>
                      <w:rFonts w:hint="default" w:ascii="Times New Roman" w:hAnsi="Times New Roman" w:cs="Times New Roman"/>
                      <w:color w:val="auto"/>
                    </w:rPr>
                    <w:t>32</w:t>
                  </w:r>
                </w:p>
              </w:tc>
              <w:tc>
                <w:tcPr>
                  <w:tcW w:w="596" w:type="pct"/>
                  <w:tcBorders>
                    <w:tl2br w:val="nil"/>
                    <w:tr2bl w:val="nil"/>
                  </w:tcBorders>
                  <w:vAlign w:val="center"/>
                </w:tcPr>
                <w:p w14:paraId="27D305BD">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26CC45BB">
                  <w:pPr>
                    <w:pStyle w:val="131"/>
                    <w:rPr>
                      <w:rFonts w:hint="default" w:ascii="Times New Roman" w:hAnsi="Times New Roman" w:cs="Times New Roman"/>
                      <w:color w:val="auto"/>
                    </w:rPr>
                  </w:pPr>
                  <w:r>
                    <w:rPr>
                      <w:rFonts w:hint="default" w:ascii="Times New Roman" w:hAnsi="Times New Roman" w:cs="Times New Roman"/>
                      <w:color w:val="auto"/>
                    </w:rPr>
                    <w:t>32</w:t>
                  </w:r>
                </w:p>
              </w:tc>
            </w:tr>
            <w:tr w14:paraId="457E4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2ED5271B">
                  <w:pPr>
                    <w:pStyle w:val="131"/>
                    <w:rPr>
                      <w:rFonts w:hint="default" w:ascii="Times New Roman" w:hAnsi="Times New Roman" w:cs="Times New Roman"/>
                      <w:color w:val="auto"/>
                    </w:rPr>
                  </w:pPr>
                  <w:r>
                    <w:rPr>
                      <w:rFonts w:hint="default" w:ascii="Times New Roman" w:hAnsi="Times New Roman" w:cs="Times New Roman"/>
                      <w:color w:val="auto"/>
                    </w:rPr>
                    <w:t>13</w:t>
                  </w:r>
                </w:p>
              </w:tc>
              <w:tc>
                <w:tcPr>
                  <w:tcW w:w="742" w:type="pct"/>
                  <w:vMerge w:val="restart"/>
                  <w:tcBorders>
                    <w:tl2br w:val="nil"/>
                    <w:tr2bl w:val="nil"/>
                  </w:tcBorders>
                  <w:vAlign w:val="center"/>
                </w:tcPr>
                <w:p w14:paraId="7A9F473F">
                  <w:pPr>
                    <w:pStyle w:val="131"/>
                    <w:rPr>
                      <w:rFonts w:hint="default" w:ascii="Times New Roman" w:hAnsi="Times New Roman" w:cs="Times New Roman"/>
                      <w:color w:val="auto"/>
                    </w:rPr>
                  </w:pPr>
                  <w:r>
                    <w:rPr>
                      <w:rFonts w:hint="default" w:ascii="Times New Roman" w:hAnsi="Times New Roman" w:cs="Times New Roman"/>
                      <w:color w:val="auto"/>
                    </w:rPr>
                    <w:t>感应加热设备</w:t>
                  </w:r>
                </w:p>
              </w:tc>
              <w:tc>
                <w:tcPr>
                  <w:tcW w:w="1661" w:type="pct"/>
                  <w:tcBorders>
                    <w:tl2br w:val="nil"/>
                    <w:tr2bl w:val="nil"/>
                  </w:tcBorders>
                  <w:vAlign w:val="center"/>
                </w:tcPr>
                <w:p w14:paraId="7D550FDE">
                  <w:pPr>
                    <w:pStyle w:val="131"/>
                    <w:rPr>
                      <w:rFonts w:hint="default" w:ascii="Times New Roman" w:hAnsi="Times New Roman" w:cs="Times New Roman"/>
                      <w:color w:val="auto"/>
                    </w:rPr>
                  </w:pPr>
                  <w:r>
                    <w:rPr>
                      <w:rFonts w:hint="default" w:ascii="Times New Roman" w:hAnsi="Times New Roman" w:cs="Times New Roman"/>
                      <w:color w:val="auto"/>
                    </w:rPr>
                    <w:t>GZP－600kW/10kHz IGBT中频感应加热电源</w:t>
                  </w:r>
                </w:p>
              </w:tc>
              <w:tc>
                <w:tcPr>
                  <w:tcW w:w="695" w:type="pct"/>
                  <w:tcBorders>
                    <w:tl2br w:val="nil"/>
                    <w:tr2bl w:val="nil"/>
                  </w:tcBorders>
                  <w:vAlign w:val="center"/>
                </w:tcPr>
                <w:p w14:paraId="6D841CEA">
                  <w:pPr>
                    <w:pStyle w:val="131"/>
                    <w:rPr>
                      <w:rFonts w:hint="default" w:ascii="Times New Roman" w:hAnsi="Times New Roman" w:cs="Times New Roman"/>
                      <w:color w:val="auto"/>
                    </w:rPr>
                  </w:pPr>
                  <w:r>
                    <w:rPr>
                      <w:rFonts w:hint="default" w:ascii="Times New Roman" w:hAnsi="Times New Roman" w:cs="Times New Roman"/>
                      <w:color w:val="auto"/>
                    </w:rPr>
                    <w:t>16</w:t>
                  </w:r>
                </w:p>
              </w:tc>
              <w:tc>
                <w:tcPr>
                  <w:tcW w:w="596" w:type="pct"/>
                  <w:tcBorders>
                    <w:tl2br w:val="nil"/>
                    <w:tr2bl w:val="nil"/>
                  </w:tcBorders>
                  <w:vAlign w:val="center"/>
                </w:tcPr>
                <w:p w14:paraId="1BA8B9CD">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57E6081E">
                  <w:pPr>
                    <w:pStyle w:val="131"/>
                    <w:rPr>
                      <w:rFonts w:hint="default" w:ascii="Times New Roman" w:hAnsi="Times New Roman" w:cs="Times New Roman"/>
                      <w:color w:val="auto"/>
                    </w:rPr>
                  </w:pPr>
                  <w:r>
                    <w:rPr>
                      <w:rFonts w:hint="default" w:ascii="Times New Roman" w:hAnsi="Times New Roman" w:cs="Times New Roman"/>
                      <w:color w:val="auto"/>
                    </w:rPr>
                    <w:t>16</w:t>
                  </w:r>
                </w:p>
              </w:tc>
            </w:tr>
            <w:tr w14:paraId="72724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65ADE20F">
                  <w:pPr>
                    <w:pStyle w:val="131"/>
                    <w:rPr>
                      <w:rFonts w:hint="default" w:ascii="Times New Roman" w:hAnsi="Times New Roman" w:cs="Times New Roman"/>
                      <w:color w:val="auto"/>
                    </w:rPr>
                  </w:pPr>
                  <w:r>
                    <w:rPr>
                      <w:rFonts w:hint="default" w:ascii="Times New Roman" w:hAnsi="Times New Roman" w:cs="Times New Roman"/>
                      <w:color w:val="auto"/>
                    </w:rPr>
                    <w:t>14</w:t>
                  </w:r>
                </w:p>
              </w:tc>
              <w:tc>
                <w:tcPr>
                  <w:tcW w:w="742" w:type="pct"/>
                  <w:vMerge w:val="continue"/>
                  <w:tcBorders>
                    <w:tl2br w:val="nil"/>
                    <w:tr2bl w:val="nil"/>
                  </w:tcBorders>
                  <w:vAlign w:val="center"/>
                </w:tcPr>
                <w:p w14:paraId="77CE29BC">
                  <w:pPr>
                    <w:pStyle w:val="131"/>
                    <w:rPr>
                      <w:rFonts w:hint="default" w:ascii="Times New Roman" w:hAnsi="Times New Roman" w:cs="Times New Roman"/>
                      <w:color w:val="auto"/>
                    </w:rPr>
                  </w:pPr>
                </w:p>
              </w:tc>
              <w:tc>
                <w:tcPr>
                  <w:tcW w:w="1661" w:type="pct"/>
                  <w:tcBorders>
                    <w:tl2br w:val="nil"/>
                    <w:tr2bl w:val="nil"/>
                  </w:tcBorders>
                  <w:vAlign w:val="center"/>
                </w:tcPr>
                <w:p w14:paraId="20B3C976">
                  <w:pPr>
                    <w:pStyle w:val="131"/>
                    <w:jc w:val="both"/>
                    <w:rPr>
                      <w:rFonts w:hint="default" w:ascii="Times New Roman" w:hAnsi="Times New Roman" w:cs="Times New Roman"/>
                      <w:color w:val="auto"/>
                    </w:rPr>
                  </w:pPr>
                  <w:r>
                    <w:rPr>
                      <w:rFonts w:hint="default" w:ascii="Times New Roman" w:hAnsi="Times New Roman" w:cs="Times New Roman"/>
                      <w:color w:val="auto"/>
                    </w:rPr>
                    <w:t>GCYP－200kW/40kHz IGBT超音频感应加热电源</w:t>
                  </w:r>
                </w:p>
              </w:tc>
              <w:tc>
                <w:tcPr>
                  <w:tcW w:w="695" w:type="pct"/>
                  <w:tcBorders>
                    <w:tl2br w:val="nil"/>
                    <w:tr2bl w:val="nil"/>
                  </w:tcBorders>
                  <w:vAlign w:val="center"/>
                </w:tcPr>
                <w:p w14:paraId="38A26373">
                  <w:pPr>
                    <w:pStyle w:val="131"/>
                    <w:rPr>
                      <w:rFonts w:hint="default" w:ascii="Times New Roman" w:hAnsi="Times New Roman" w:cs="Times New Roman"/>
                      <w:color w:val="auto"/>
                    </w:rPr>
                  </w:pPr>
                  <w:r>
                    <w:rPr>
                      <w:rFonts w:hint="default" w:ascii="Times New Roman" w:hAnsi="Times New Roman" w:cs="Times New Roman"/>
                      <w:color w:val="auto"/>
                    </w:rPr>
                    <w:t>16</w:t>
                  </w:r>
                </w:p>
              </w:tc>
              <w:tc>
                <w:tcPr>
                  <w:tcW w:w="596" w:type="pct"/>
                  <w:tcBorders>
                    <w:tl2br w:val="nil"/>
                    <w:tr2bl w:val="nil"/>
                  </w:tcBorders>
                  <w:vAlign w:val="center"/>
                </w:tcPr>
                <w:p w14:paraId="5EEB5731">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54FE9F41">
                  <w:pPr>
                    <w:pStyle w:val="131"/>
                    <w:rPr>
                      <w:rFonts w:hint="default" w:ascii="Times New Roman" w:hAnsi="Times New Roman" w:cs="Times New Roman"/>
                      <w:color w:val="auto"/>
                    </w:rPr>
                  </w:pPr>
                  <w:r>
                    <w:rPr>
                      <w:rFonts w:hint="default" w:ascii="Times New Roman" w:hAnsi="Times New Roman" w:cs="Times New Roman"/>
                      <w:color w:val="auto"/>
                    </w:rPr>
                    <w:t>16</w:t>
                  </w:r>
                </w:p>
              </w:tc>
            </w:tr>
            <w:tr w14:paraId="38FC9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74A18A83">
                  <w:pPr>
                    <w:pStyle w:val="131"/>
                    <w:rPr>
                      <w:rFonts w:hint="default" w:ascii="Times New Roman" w:hAnsi="Times New Roman" w:cs="Times New Roman"/>
                      <w:color w:val="auto"/>
                    </w:rPr>
                  </w:pPr>
                  <w:r>
                    <w:rPr>
                      <w:rFonts w:hint="default" w:ascii="Times New Roman" w:hAnsi="Times New Roman" w:cs="Times New Roman"/>
                      <w:color w:val="auto"/>
                    </w:rPr>
                    <w:t>15</w:t>
                  </w:r>
                </w:p>
              </w:tc>
              <w:tc>
                <w:tcPr>
                  <w:tcW w:w="742" w:type="pct"/>
                  <w:vMerge w:val="continue"/>
                  <w:tcBorders>
                    <w:tl2br w:val="nil"/>
                    <w:tr2bl w:val="nil"/>
                  </w:tcBorders>
                  <w:vAlign w:val="center"/>
                </w:tcPr>
                <w:p w14:paraId="597D1ED9">
                  <w:pPr>
                    <w:pStyle w:val="131"/>
                    <w:rPr>
                      <w:rFonts w:hint="default" w:ascii="Times New Roman" w:hAnsi="Times New Roman" w:cs="Times New Roman"/>
                      <w:color w:val="auto"/>
                    </w:rPr>
                  </w:pPr>
                </w:p>
              </w:tc>
              <w:tc>
                <w:tcPr>
                  <w:tcW w:w="1661" w:type="pct"/>
                  <w:tcBorders>
                    <w:tl2br w:val="nil"/>
                    <w:tr2bl w:val="nil"/>
                  </w:tcBorders>
                  <w:vAlign w:val="center"/>
                </w:tcPr>
                <w:p w14:paraId="1CB497F1">
                  <w:pPr>
                    <w:pStyle w:val="131"/>
                    <w:jc w:val="both"/>
                    <w:rPr>
                      <w:rFonts w:hint="default" w:ascii="Times New Roman" w:hAnsi="Times New Roman" w:cs="Times New Roman"/>
                      <w:color w:val="auto"/>
                    </w:rPr>
                  </w:pPr>
                  <w:r>
                    <w:rPr>
                      <w:rFonts w:hint="default" w:ascii="Times New Roman" w:hAnsi="Times New Roman" w:cs="Times New Roman"/>
                      <w:color w:val="auto"/>
                    </w:rPr>
                    <w:t>GCYP－200kW/50kHz IGBT超音频感应加热电源</w:t>
                  </w:r>
                </w:p>
              </w:tc>
              <w:tc>
                <w:tcPr>
                  <w:tcW w:w="695" w:type="pct"/>
                  <w:tcBorders>
                    <w:tl2br w:val="nil"/>
                    <w:tr2bl w:val="nil"/>
                  </w:tcBorders>
                  <w:vAlign w:val="center"/>
                </w:tcPr>
                <w:p w14:paraId="7C3EA9C9">
                  <w:pPr>
                    <w:pStyle w:val="131"/>
                    <w:rPr>
                      <w:rFonts w:hint="default" w:ascii="Times New Roman" w:hAnsi="Times New Roman" w:cs="Times New Roman"/>
                      <w:color w:val="auto"/>
                    </w:rPr>
                  </w:pPr>
                  <w:r>
                    <w:rPr>
                      <w:rFonts w:hint="default" w:ascii="Times New Roman" w:hAnsi="Times New Roman" w:cs="Times New Roman"/>
                      <w:color w:val="auto"/>
                    </w:rPr>
                    <w:t>16</w:t>
                  </w:r>
                </w:p>
              </w:tc>
              <w:tc>
                <w:tcPr>
                  <w:tcW w:w="596" w:type="pct"/>
                  <w:tcBorders>
                    <w:tl2br w:val="nil"/>
                    <w:tr2bl w:val="nil"/>
                  </w:tcBorders>
                  <w:vAlign w:val="center"/>
                </w:tcPr>
                <w:p w14:paraId="6F288562">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00ADBC26">
                  <w:pPr>
                    <w:pStyle w:val="131"/>
                    <w:rPr>
                      <w:rFonts w:hint="default" w:ascii="Times New Roman" w:hAnsi="Times New Roman" w:cs="Times New Roman"/>
                      <w:color w:val="auto"/>
                    </w:rPr>
                  </w:pPr>
                  <w:r>
                    <w:rPr>
                      <w:rFonts w:hint="default" w:ascii="Times New Roman" w:hAnsi="Times New Roman" w:cs="Times New Roman"/>
                      <w:color w:val="auto"/>
                    </w:rPr>
                    <w:t>16</w:t>
                  </w:r>
                </w:p>
              </w:tc>
            </w:tr>
            <w:tr w14:paraId="52423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6525C289">
                  <w:pPr>
                    <w:pStyle w:val="131"/>
                    <w:rPr>
                      <w:rFonts w:hint="default" w:ascii="Times New Roman" w:hAnsi="Times New Roman" w:cs="Times New Roman"/>
                      <w:color w:val="auto"/>
                    </w:rPr>
                  </w:pPr>
                  <w:r>
                    <w:rPr>
                      <w:rFonts w:hint="default" w:ascii="Times New Roman" w:hAnsi="Times New Roman" w:cs="Times New Roman"/>
                      <w:color w:val="auto"/>
                    </w:rPr>
                    <w:t>16</w:t>
                  </w:r>
                </w:p>
              </w:tc>
              <w:tc>
                <w:tcPr>
                  <w:tcW w:w="742" w:type="pct"/>
                  <w:vMerge w:val="continue"/>
                  <w:tcBorders>
                    <w:tl2br w:val="nil"/>
                    <w:tr2bl w:val="nil"/>
                  </w:tcBorders>
                  <w:vAlign w:val="center"/>
                </w:tcPr>
                <w:p w14:paraId="5BBAA8EC">
                  <w:pPr>
                    <w:pStyle w:val="131"/>
                    <w:rPr>
                      <w:rFonts w:hint="default" w:ascii="Times New Roman" w:hAnsi="Times New Roman" w:cs="Times New Roman"/>
                      <w:color w:val="auto"/>
                    </w:rPr>
                  </w:pPr>
                </w:p>
              </w:tc>
              <w:tc>
                <w:tcPr>
                  <w:tcW w:w="1661" w:type="pct"/>
                  <w:tcBorders>
                    <w:tl2br w:val="nil"/>
                    <w:tr2bl w:val="nil"/>
                  </w:tcBorders>
                  <w:vAlign w:val="center"/>
                </w:tcPr>
                <w:p w14:paraId="04DFD3BC">
                  <w:pPr>
                    <w:pStyle w:val="131"/>
                    <w:jc w:val="both"/>
                    <w:rPr>
                      <w:rFonts w:hint="default" w:ascii="Times New Roman" w:hAnsi="Times New Roman" w:cs="Times New Roman"/>
                      <w:color w:val="auto"/>
                    </w:rPr>
                  </w:pPr>
                  <w:r>
                    <w:rPr>
                      <w:rFonts w:hint="default" w:ascii="Times New Roman" w:hAnsi="Times New Roman" w:cs="Times New Roman"/>
                      <w:color w:val="auto"/>
                    </w:rPr>
                    <w:t>GZP－250kW/8kHz IGBT中频感应加热电源</w:t>
                  </w:r>
                </w:p>
              </w:tc>
              <w:tc>
                <w:tcPr>
                  <w:tcW w:w="695" w:type="pct"/>
                  <w:tcBorders>
                    <w:tl2br w:val="nil"/>
                    <w:tr2bl w:val="nil"/>
                  </w:tcBorders>
                  <w:vAlign w:val="center"/>
                </w:tcPr>
                <w:p w14:paraId="6BB84B5E">
                  <w:pPr>
                    <w:pStyle w:val="131"/>
                    <w:rPr>
                      <w:rFonts w:hint="default" w:ascii="Times New Roman" w:hAnsi="Times New Roman" w:cs="Times New Roman"/>
                      <w:color w:val="auto"/>
                    </w:rPr>
                  </w:pPr>
                  <w:r>
                    <w:rPr>
                      <w:rFonts w:hint="default" w:ascii="Times New Roman" w:hAnsi="Times New Roman" w:cs="Times New Roman"/>
                      <w:color w:val="auto"/>
                    </w:rPr>
                    <w:t>16</w:t>
                  </w:r>
                </w:p>
              </w:tc>
              <w:tc>
                <w:tcPr>
                  <w:tcW w:w="596" w:type="pct"/>
                  <w:tcBorders>
                    <w:tl2br w:val="nil"/>
                    <w:tr2bl w:val="nil"/>
                  </w:tcBorders>
                  <w:vAlign w:val="center"/>
                </w:tcPr>
                <w:p w14:paraId="1481E791">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1271D43E">
                  <w:pPr>
                    <w:pStyle w:val="131"/>
                    <w:rPr>
                      <w:rFonts w:hint="default" w:ascii="Times New Roman" w:hAnsi="Times New Roman" w:cs="Times New Roman"/>
                      <w:color w:val="auto"/>
                    </w:rPr>
                  </w:pPr>
                  <w:r>
                    <w:rPr>
                      <w:rFonts w:hint="default" w:ascii="Times New Roman" w:hAnsi="Times New Roman" w:cs="Times New Roman"/>
                      <w:color w:val="auto"/>
                    </w:rPr>
                    <w:t>16</w:t>
                  </w:r>
                </w:p>
              </w:tc>
            </w:tr>
            <w:tr w14:paraId="3067E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4F84BEB9">
                  <w:pPr>
                    <w:pStyle w:val="131"/>
                    <w:rPr>
                      <w:rFonts w:hint="default" w:ascii="Times New Roman" w:hAnsi="Times New Roman" w:cs="Times New Roman"/>
                      <w:color w:val="auto"/>
                    </w:rPr>
                  </w:pPr>
                  <w:r>
                    <w:rPr>
                      <w:rFonts w:hint="default" w:ascii="Times New Roman" w:hAnsi="Times New Roman" w:cs="Times New Roman"/>
                      <w:color w:val="auto"/>
                    </w:rPr>
                    <w:t>17</w:t>
                  </w:r>
                </w:p>
              </w:tc>
              <w:tc>
                <w:tcPr>
                  <w:tcW w:w="742" w:type="pct"/>
                  <w:tcBorders>
                    <w:tl2br w:val="nil"/>
                    <w:tr2bl w:val="nil"/>
                  </w:tcBorders>
                  <w:vAlign w:val="center"/>
                </w:tcPr>
                <w:p w14:paraId="67FF6477">
                  <w:pPr>
                    <w:pStyle w:val="131"/>
                    <w:rPr>
                      <w:rFonts w:hint="default" w:ascii="Times New Roman" w:hAnsi="Times New Roman" w:cs="Times New Roman"/>
                      <w:color w:val="auto"/>
                    </w:rPr>
                  </w:pPr>
                  <w:r>
                    <w:rPr>
                      <w:rFonts w:hint="default" w:ascii="Times New Roman" w:hAnsi="Times New Roman" w:cs="Times New Roman"/>
                      <w:color w:val="auto"/>
                    </w:rPr>
                    <w:t>感应加热炉</w:t>
                  </w:r>
                </w:p>
              </w:tc>
              <w:tc>
                <w:tcPr>
                  <w:tcW w:w="1661" w:type="pct"/>
                  <w:tcBorders>
                    <w:tl2br w:val="nil"/>
                    <w:tr2bl w:val="nil"/>
                  </w:tcBorders>
                  <w:vAlign w:val="center"/>
                </w:tcPr>
                <w:p w14:paraId="44F9EA3A">
                  <w:pPr>
                    <w:pStyle w:val="131"/>
                    <w:rPr>
                      <w:rFonts w:hint="default" w:ascii="Times New Roman" w:hAnsi="Times New Roman" w:cs="Times New Roman"/>
                      <w:color w:val="auto"/>
                    </w:rPr>
                  </w:pPr>
                  <w:r>
                    <w:rPr>
                      <w:rFonts w:hint="default" w:ascii="Times New Roman" w:hAnsi="Times New Roman" w:cs="Times New Roman"/>
                      <w:color w:val="auto"/>
                    </w:rPr>
                    <w:t>感应加热炉</w:t>
                  </w:r>
                </w:p>
              </w:tc>
              <w:tc>
                <w:tcPr>
                  <w:tcW w:w="695" w:type="pct"/>
                  <w:tcBorders>
                    <w:tl2br w:val="nil"/>
                    <w:tr2bl w:val="nil"/>
                  </w:tcBorders>
                  <w:vAlign w:val="center"/>
                </w:tcPr>
                <w:p w14:paraId="638CE5BA">
                  <w:pPr>
                    <w:pStyle w:val="131"/>
                    <w:rPr>
                      <w:rFonts w:hint="default" w:ascii="Times New Roman" w:hAnsi="Times New Roman" w:cs="Times New Roman"/>
                      <w:color w:val="auto"/>
                    </w:rPr>
                  </w:pPr>
                  <w:r>
                    <w:rPr>
                      <w:rFonts w:hint="default" w:ascii="Times New Roman" w:hAnsi="Times New Roman" w:cs="Times New Roman"/>
                      <w:color w:val="auto"/>
                    </w:rPr>
                    <w:t>96</w:t>
                  </w:r>
                </w:p>
              </w:tc>
              <w:tc>
                <w:tcPr>
                  <w:tcW w:w="596" w:type="pct"/>
                  <w:tcBorders>
                    <w:tl2br w:val="nil"/>
                    <w:tr2bl w:val="nil"/>
                  </w:tcBorders>
                  <w:vAlign w:val="center"/>
                </w:tcPr>
                <w:p w14:paraId="24E5D784">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07E7331D">
                  <w:pPr>
                    <w:pStyle w:val="131"/>
                    <w:rPr>
                      <w:rFonts w:hint="default" w:ascii="Times New Roman" w:hAnsi="Times New Roman" w:cs="Times New Roman"/>
                      <w:color w:val="auto"/>
                    </w:rPr>
                  </w:pPr>
                  <w:r>
                    <w:rPr>
                      <w:rFonts w:hint="default" w:ascii="Times New Roman" w:hAnsi="Times New Roman" w:cs="Times New Roman"/>
                      <w:color w:val="auto"/>
                    </w:rPr>
                    <w:t>96</w:t>
                  </w:r>
                </w:p>
              </w:tc>
            </w:tr>
            <w:tr w14:paraId="40642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7E3F1B3C">
                  <w:pPr>
                    <w:pStyle w:val="131"/>
                    <w:rPr>
                      <w:rFonts w:hint="default" w:ascii="Times New Roman" w:hAnsi="Times New Roman" w:cs="Times New Roman"/>
                      <w:color w:val="auto"/>
                    </w:rPr>
                  </w:pPr>
                  <w:r>
                    <w:rPr>
                      <w:rFonts w:hint="default" w:ascii="Times New Roman" w:hAnsi="Times New Roman" w:cs="Times New Roman"/>
                      <w:color w:val="auto"/>
                    </w:rPr>
                    <w:t>18</w:t>
                  </w:r>
                </w:p>
              </w:tc>
              <w:tc>
                <w:tcPr>
                  <w:tcW w:w="742" w:type="pct"/>
                  <w:vMerge w:val="restart"/>
                  <w:tcBorders>
                    <w:tl2br w:val="nil"/>
                    <w:tr2bl w:val="nil"/>
                  </w:tcBorders>
                  <w:vAlign w:val="center"/>
                </w:tcPr>
                <w:p w14:paraId="0ABCAD78">
                  <w:pPr>
                    <w:pStyle w:val="131"/>
                    <w:rPr>
                      <w:rFonts w:hint="default" w:ascii="Times New Roman" w:hAnsi="Times New Roman" w:cs="Times New Roman"/>
                      <w:color w:val="auto"/>
                    </w:rPr>
                  </w:pPr>
                  <w:r>
                    <w:rPr>
                      <w:rFonts w:hint="default" w:ascii="Times New Roman" w:hAnsi="Times New Roman" w:cs="Times New Roman"/>
                      <w:color w:val="auto"/>
                    </w:rPr>
                    <w:t>变频调速柜</w:t>
                  </w:r>
                </w:p>
              </w:tc>
              <w:tc>
                <w:tcPr>
                  <w:tcW w:w="1661" w:type="pct"/>
                  <w:tcBorders>
                    <w:tl2br w:val="nil"/>
                    <w:tr2bl w:val="nil"/>
                  </w:tcBorders>
                  <w:vAlign w:val="center"/>
                </w:tcPr>
                <w:p w14:paraId="54E494CB">
                  <w:pPr>
                    <w:pStyle w:val="131"/>
                    <w:rPr>
                      <w:rFonts w:hint="default" w:ascii="Times New Roman" w:hAnsi="Times New Roman" w:cs="Times New Roman"/>
                      <w:color w:val="auto"/>
                    </w:rPr>
                  </w:pPr>
                  <w:r>
                    <w:rPr>
                      <w:rFonts w:hint="default" w:ascii="Times New Roman" w:hAnsi="Times New Roman" w:cs="Times New Roman"/>
                      <w:color w:val="auto"/>
                    </w:rPr>
                    <w:t>90kW（拉丝机驱动）</w:t>
                  </w:r>
                </w:p>
              </w:tc>
              <w:tc>
                <w:tcPr>
                  <w:tcW w:w="695" w:type="pct"/>
                  <w:tcBorders>
                    <w:tl2br w:val="nil"/>
                    <w:tr2bl w:val="nil"/>
                  </w:tcBorders>
                  <w:vAlign w:val="center"/>
                </w:tcPr>
                <w:p w14:paraId="45D43BC3">
                  <w:pPr>
                    <w:pStyle w:val="131"/>
                    <w:rPr>
                      <w:rFonts w:hint="default" w:ascii="Times New Roman" w:hAnsi="Times New Roman" w:cs="Times New Roman"/>
                      <w:color w:val="auto"/>
                    </w:rPr>
                  </w:pPr>
                  <w:r>
                    <w:rPr>
                      <w:rFonts w:hint="default" w:ascii="Times New Roman" w:hAnsi="Times New Roman" w:cs="Times New Roman"/>
                      <w:color w:val="auto"/>
                    </w:rPr>
                    <w:t>16</w:t>
                  </w:r>
                </w:p>
              </w:tc>
              <w:tc>
                <w:tcPr>
                  <w:tcW w:w="596" w:type="pct"/>
                  <w:tcBorders>
                    <w:tl2br w:val="nil"/>
                    <w:tr2bl w:val="nil"/>
                  </w:tcBorders>
                  <w:vAlign w:val="center"/>
                </w:tcPr>
                <w:p w14:paraId="50FA7D40">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1B54E37D">
                  <w:pPr>
                    <w:pStyle w:val="131"/>
                    <w:rPr>
                      <w:rFonts w:hint="default" w:ascii="Times New Roman" w:hAnsi="Times New Roman" w:cs="Times New Roman"/>
                      <w:color w:val="auto"/>
                    </w:rPr>
                  </w:pPr>
                  <w:r>
                    <w:rPr>
                      <w:rFonts w:hint="default" w:ascii="Times New Roman" w:hAnsi="Times New Roman" w:cs="Times New Roman"/>
                      <w:color w:val="auto"/>
                    </w:rPr>
                    <w:t>16</w:t>
                  </w:r>
                </w:p>
              </w:tc>
            </w:tr>
            <w:tr w14:paraId="288AC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189CDAE9">
                  <w:pPr>
                    <w:pStyle w:val="131"/>
                    <w:rPr>
                      <w:rFonts w:hint="default" w:ascii="Times New Roman" w:hAnsi="Times New Roman" w:cs="Times New Roman"/>
                      <w:color w:val="auto"/>
                    </w:rPr>
                  </w:pPr>
                  <w:r>
                    <w:rPr>
                      <w:rFonts w:hint="default" w:ascii="Times New Roman" w:hAnsi="Times New Roman" w:cs="Times New Roman"/>
                      <w:color w:val="auto"/>
                    </w:rPr>
                    <w:t>19</w:t>
                  </w:r>
                </w:p>
              </w:tc>
              <w:tc>
                <w:tcPr>
                  <w:tcW w:w="742" w:type="pct"/>
                  <w:vMerge w:val="continue"/>
                  <w:tcBorders>
                    <w:tl2br w:val="nil"/>
                    <w:tr2bl w:val="nil"/>
                  </w:tcBorders>
                  <w:vAlign w:val="center"/>
                </w:tcPr>
                <w:p w14:paraId="49F565B7">
                  <w:pPr>
                    <w:pStyle w:val="131"/>
                    <w:rPr>
                      <w:rFonts w:hint="default" w:ascii="Times New Roman" w:hAnsi="Times New Roman" w:cs="Times New Roman"/>
                      <w:color w:val="auto"/>
                    </w:rPr>
                  </w:pPr>
                </w:p>
              </w:tc>
              <w:tc>
                <w:tcPr>
                  <w:tcW w:w="1661" w:type="pct"/>
                  <w:tcBorders>
                    <w:tl2br w:val="nil"/>
                    <w:tr2bl w:val="nil"/>
                  </w:tcBorders>
                  <w:vAlign w:val="center"/>
                </w:tcPr>
                <w:p w14:paraId="26084B59">
                  <w:pPr>
                    <w:pStyle w:val="131"/>
                    <w:rPr>
                      <w:rFonts w:hint="default" w:ascii="Times New Roman" w:hAnsi="Times New Roman" w:cs="Times New Roman"/>
                      <w:color w:val="auto"/>
                    </w:rPr>
                  </w:pPr>
                  <w:r>
                    <w:rPr>
                      <w:rFonts w:hint="default" w:ascii="Times New Roman" w:hAnsi="Times New Roman" w:cs="Times New Roman"/>
                      <w:color w:val="auto"/>
                    </w:rPr>
                    <w:t>5.5kW（刻痕机驱动）</w:t>
                  </w:r>
                </w:p>
              </w:tc>
              <w:tc>
                <w:tcPr>
                  <w:tcW w:w="695" w:type="pct"/>
                  <w:tcBorders>
                    <w:tl2br w:val="nil"/>
                    <w:tr2bl w:val="nil"/>
                  </w:tcBorders>
                  <w:vAlign w:val="center"/>
                </w:tcPr>
                <w:p w14:paraId="5B4E75F3">
                  <w:pPr>
                    <w:pStyle w:val="131"/>
                    <w:rPr>
                      <w:rFonts w:hint="default" w:ascii="Times New Roman" w:hAnsi="Times New Roman" w:cs="Times New Roman"/>
                      <w:color w:val="auto"/>
                    </w:rPr>
                  </w:pPr>
                  <w:r>
                    <w:rPr>
                      <w:rFonts w:hint="default" w:ascii="Times New Roman" w:hAnsi="Times New Roman" w:cs="Times New Roman"/>
                      <w:color w:val="auto"/>
                    </w:rPr>
                    <w:t>16</w:t>
                  </w:r>
                </w:p>
              </w:tc>
              <w:tc>
                <w:tcPr>
                  <w:tcW w:w="596" w:type="pct"/>
                  <w:tcBorders>
                    <w:tl2br w:val="nil"/>
                    <w:tr2bl w:val="nil"/>
                  </w:tcBorders>
                  <w:vAlign w:val="center"/>
                </w:tcPr>
                <w:p w14:paraId="3AB635AC">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0E2F6AEC">
                  <w:pPr>
                    <w:pStyle w:val="131"/>
                    <w:rPr>
                      <w:rFonts w:hint="default" w:ascii="Times New Roman" w:hAnsi="Times New Roman" w:cs="Times New Roman"/>
                      <w:color w:val="auto"/>
                    </w:rPr>
                  </w:pPr>
                  <w:r>
                    <w:rPr>
                      <w:rFonts w:hint="default" w:ascii="Times New Roman" w:hAnsi="Times New Roman" w:cs="Times New Roman"/>
                      <w:color w:val="auto"/>
                    </w:rPr>
                    <w:t>16</w:t>
                  </w:r>
                </w:p>
              </w:tc>
            </w:tr>
            <w:tr w14:paraId="0F370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078D3EE9">
                  <w:pPr>
                    <w:pStyle w:val="131"/>
                    <w:rPr>
                      <w:rFonts w:hint="default" w:ascii="Times New Roman" w:hAnsi="Times New Roman" w:cs="Times New Roman"/>
                      <w:color w:val="auto"/>
                    </w:rPr>
                  </w:pPr>
                  <w:r>
                    <w:rPr>
                      <w:rFonts w:hint="default" w:ascii="Times New Roman" w:hAnsi="Times New Roman" w:cs="Times New Roman"/>
                      <w:color w:val="auto"/>
                    </w:rPr>
                    <w:t>20</w:t>
                  </w:r>
                </w:p>
              </w:tc>
              <w:tc>
                <w:tcPr>
                  <w:tcW w:w="742" w:type="pct"/>
                  <w:vMerge w:val="continue"/>
                  <w:tcBorders>
                    <w:tl2br w:val="nil"/>
                    <w:tr2bl w:val="nil"/>
                  </w:tcBorders>
                  <w:vAlign w:val="center"/>
                </w:tcPr>
                <w:p w14:paraId="38833941">
                  <w:pPr>
                    <w:pStyle w:val="131"/>
                    <w:rPr>
                      <w:rFonts w:hint="default" w:ascii="Times New Roman" w:hAnsi="Times New Roman" w:cs="Times New Roman"/>
                      <w:color w:val="auto"/>
                    </w:rPr>
                  </w:pPr>
                </w:p>
              </w:tc>
              <w:tc>
                <w:tcPr>
                  <w:tcW w:w="1661" w:type="pct"/>
                  <w:tcBorders>
                    <w:tl2br w:val="nil"/>
                    <w:tr2bl w:val="nil"/>
                  </w:tcBorders>
                  <w:vAlign w:val="center"/>
                </w:tcPr>
                <w:p w14:paraId="07D90A39">
                  <w:pPr>
                    <w:pStyle w:val="131"/>
                    <w:rPr>
                      <w:rFonts w:hint="default" w:ascii="Times New Roman" w:hAnsi="Times New Roman" w:cs="Times New Roman"/>
                      <w:color w:val="auto"/>
                    </w:rPr>
                  </w:pPr>
                  <w:r>
                    <w:rPr>
                      <w:rFonts w:hint="default" w:ascii="Times New Roman" w:hAnsi="Times New Roman" w:cs="Times New Roman"/>
                      <w:color w:val="auto"/>
                    </w:rPr>
                    <w:t>11kW（牵引机驱动）</w:t>
                  </w:r>
                </w:p>
              </w:tc>
              <w:tc>
                <w:tcPr>
                  <w:tcW w:w="695" w:type="pct"/>
                  <w:tcBorders>
                    <w:tl2br w:val="nil"/>
                    <w:tr2bl w:val="nil"/>
                  </w:tcBorders>
                  <w:vAlign w:val="center"/>
                </w:tcPr>
                <w:p w14:paraId="05F5B909">
                  <w:pPr>
                    <w:pStyle w:val="131"/>
                    <w:rPr>
                      <w:rFonts w:hint="default" w:ascii="Times New Roman" w:hAnsi="Times New Roman" w:cs="Times New Roman"/>
                      <w:color w:val="auto"/>
                    </w:rPr>
                  </w:pPr>
                  <w:r>
                    <w:rPr>
                      <w:rFonts w:hint="default" w:ascii="Times New Roman" w:hAnsi="Times New Roman" w:cs="Times New Roman"/>
                      <w:color w:val="auto"/>
                    </w:rPr>
                    <w:t>32</w:t>
                  </w:r>
                </w:p>
              </w:tc>
              <w:tc>
                <w:tcPr>
                  <w:tcW w:w="596" w:type="pct"/>
                  <w:tcBorders>
                    <w:tl2br w:val="nil"/>
                    <w:tr2bl w:val="nil"/>
                  </w:tcBorders>
                  <w:vAlign w:val="center"/>
                </w:tcPr>
                <w:p w14:paraId="2375EA4E">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624319BD">
                  <w:pPr>
                    <w:pStyle w:val="131"/>
                    <w:rPr>
                      <w:rFonts w:hint="default" w:ascii="Times New Roman" w:hAnsi="Times New Roman" w:cs="Times New Roman"/>
                      <w:color w:val="auto"/>
                    </w:rPr>
                  </w:pPr>
                  <w:r>
                    <w:rPr>
                      <w:rFonts w:hint="default" w:ascii="Times New Roman" w:hAnsi="Times New Roman" w:cs="Times New Roman"/>
                      <w:color w:val="auto"/>
                    </w:rPr>
                    <w:t>32</w:t>
                  </w:r>
                </w:p>
              </w:tc>
            </w:tr>
            <w:tr w14:paraId="21C43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4B8A8D80">
                  <w:pPr>
                    <w:pStyle w:val="131"/>
                    <w:rPr>
                      <w:rFonts w:hint="default" w:ascii="Times New Roman" w:hAnsi="Times New Roman" w:cs="Times New Roman"/>
                      <w:color w:val="auto"/>
                    </w:rPr>
                  </w:pPr>
                  <w:r>
                    <w:rPr>
                      <w:rFonts w:hint="default" w:ascii="Times New Roman" w:hAnsi="Times New Roman" w:cs="Times New Roman"/>
                      <w:color w:val="auto"/>
                    </w:rPr>
                    <w:t>21</w:t>
                  </w:r>
                </w:p>
              </w:tc>
              <w:tc>
                <w:tcPr>
                  <w:tcW w:w="742" w:type="pct"/>
                  <w:vMerge w:val="continue"/>
                  <w:tcBorders>
                    <w:tl2br w:val="nil"/>
                    <w:tr2bl w:val="nil"/>
                  </w:tcBorders>
                  <w:vAlign w:val="center"/>
                </w:tcPr>
                <w:p w14:paraId="33B6E782">
                  <w:pPr>
                    <w:pStyle w:val="131"/>
                    <w:rPr>
                      <w:rFonts w:hint="default" w:ascii="Times New Roman" w:hAnsi="Times New Roman" w:cs="Times New Roman"/>
                      <w:color w:val="auto"/>
                    </w:rPr>
                  </w:pPr>
                </w:p>
              </w:tc>
              <w:tc>
                <w:tcPr>
                  <w:tcW w:w="1661" w:type="pct"/>
                  <w:tcBorders>
                    <w:tl2br w:val="nil"/>
                    <w:tr2bl w:val="nil"/>
                  </w:tcBorders>
                  <w:vAlign w:val="center"/>
                </w:tcPr>
                <w:p w14:paraId="5ECE8DA8">
                  <w:pPr>
                    <w:pStyle w:val="131"/>
                    <w:rPr>
                      <w:rFonts w:hint="default" w:ascii="Times New Roman" w:hAnsi="Times New Roman" w:cs="Times New Roman"/>
                      <w:color w:val="auto"/>
                    </w:rPr>
                  </w:pPr>
                  <w:r>
                    <w:rPr>
                      <w:rFonts w:hint="default" w:ascii="Times New Roman" w:hAnsi="Times New Roman" w:cs="Times New Roman"/>
                      <w:color w:val="auto"/>
                    </w:rPr>
                    <w:t>4kW（收线机驱动）</w:t>
                  </w:r>
                </w:p>
              </w:tc>
              <w:tc>
                <w:tcPr>
                  <w:tcW w:w="695" w:type="pct"/>
                  <w:tcBorders>
                    <w:tl2br w:val="nil"/>
                    <w:tr2bl w:val="nil"/>
                  </w:tcBorders>
                  <w:vAlign w:val="center"/>
                </w:tcPr>
                <w:p w14:paraId="2A142C01">
                  <w:pPr>
                    <w:pStyle w:val="131"/>
                    <w:rPr>
                      <w:rFonts w:hint="default" w:ascii="Times New Roman" w:hAnsi="Times New Roman" w:cs="Times New Roman"/>
                      <w:color w:val="auto"/>
                    </w:rPr>
                  </w:pPr>
                  <w:r>
                    <w:rPr>
                      <w:rFonts w:hint="default" w:ascii="Times New Roman" w:hAnsi="Times New Roman" w:cs="Times New Roman"/>
                      <w:color w:val="auto"/>
                    </w:rPr>
                    <w:t>32</w:t>
                  </w:r>
                </w:p>
              </w:tc>
              <w:tc>
                <w:tcPr>
                  <w:tcW w:w="596" w:type="pct"/>
                  <w:tcBorders>
                    <w:tl2br w:val="nil"/>
                    <w:tr2bl w:val="nil"/>
                  </w:tcBorders>
                  <w:vAlign w:val="center"/>
                </w:tcPr>
                <w:p w14:paraId="4702B62E">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39FF74AC">
                  <w:pPr>
                    <w:pStyle w:val="131"/>
                    <w:rPr>
                      <w:rFonts w:hint="default" w:ascii="Times New Roman" w:hAnsi="Times New Roman" w:cs="Times New Roman"/>
                      <w:color w:val="auto"/>
                    </w:rPr>
                  </w:pPr>
                  <w:r>
                    <w:rPr>
                      <w:rFonts w:hint="default" w:ascii="Times New Roman" w:hAnsi="Times New Roman" w:cs="Times New Roman"/>
                      <w:color w:val="auto"/>
                    </w:rPr>
                    <w:t>32</w:t>
                  </w:r>
                </w:p>
              </w:tc>
            </w:tr>
            <w:tr w14:paraId="2BCC0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690CA5D9">
                  <w:pPr>
                    <w:pStyle w:val="131"/>
                    <w:rPr>
                      <w:rFonts w:hint="default" w:ascii="Times New Roman" w:hAnsi="Times New Roman" w:cs="Times New Roman"/>
                      <w:color w:val="auto"/>
                    </w:rPr>
                  </w:pPr>
                  <w:r>
                    <w:rPr>
                      <w:rFonts w:hint="default" w:ascii="Times New Roman" w:hAnsi="Times New Roman" w:cs="Times New Roman"/>
                      <w:color w:val="auto"/>
                    </w:rPr>
                    <w:t>22</w:t>
                  </w:r>
                </w:p>
              </w:tc>
              <w:tc>
                <w:tcPr>
                  <w:tcW w:w="742" w:type="pct"/>
                  <w:vMerge w:val="restart"/>
                  <w:tcBorders>
                    <w:tl2br w:val="nil"/>
                    <w:tr2bl w:val="nil"/>
                  </w:tcBorders>
                  <w:vAlign w:val="center"/>
                </w:tcPr>
                <w:p w14:paraId="6B6B411E">
                  <w:pPr>
                    <w:pStyle w:val="131"/>
                    <w:rPr>
                      <w:rFonts w:hint="default" w:ascii="Times New Roman" w:hAnsi="Times New Roman" w:cs="Times New Roman"/>
                      <w:color w:val="auto"/>
                    </w:rPr>
                  </w:pPr>
                  <w:r>
                    <w:rPr>
                      <w:rFonts w:hint="default" w:ascii="Times New Roman" w:hAnsi="Times New Roman" w:cs="Times New Roman"/>
                      <w:color w:val="auto"/>
                    </w:rPr>
                    <w:t>操作台及操作盒</w:t>
                  </w:r>
                </w:p>
              </w:tc>
              <w:tc>
                <w:tcPr>
                  <w:tcW w:w="1661" w:type="pct"/>
                  <w:tcBorders>
                    <w:tl2br w:val="nil"/>
                    <w:tr2bl w:val="nil"/>
                  </w:tcBorders>
                  <w:vAlign w:val="center"/>
                </w:tcPr>
                <w:p w14:paraId="334FF851">
                  <w:pPr>
                    <w:pStyle w:val="131"/>
                    <w:rPr>
                      <w:rFonts w:hint="default" w:ascii="Times New Roman" w:hAnsi="Times New Roman" w:cs="Times New Roman"/>
                      <w:color w:val="auto"/>
                    </w:rPr>
                  </w:pPr>
                  <w:r>
                    <w:rPr>
                      <w:rFonts w:hint="default" w:ascii="Times New Roman" w:hAnsi="Times New Roman" w:cs="Times New Roman"/>
                      <w:color w:val="auto"/>
                    </w:rPr>
                    <w:t>主操作台</w:t>
                  </w:r>
                </w:p>
              </w:tc>
              <w:tc>
                <w:tcPr>
                  <w:tcW w:w="695" w:type="pct"/>
                  <w:tcBorders>
                    <w:tl2br w:val="nil"/>
                    <w:tr2bl w:val="nil"/>
                  </w:tcBorders>
                  <w:vAlign w:val="center"/>
                </w:tcPr>
                <w:p w14:paraId="068D9C0F">
                  <w:pPr>
                    <w:pStyle w:val="131"/>
                    <w:rPr>
                      <w:rFonts w:hint="default" w:ascii="Times New Roman" w:hAnsi="Times New Roman" w:cs="Times New Roman"/>
                      <w:color w:val="auto"/>
                    </w:rPr>
                  </w:pPr>
                  <w:r>
                    <w:rPr>
                      <w:rFonts w:hint="default" w:ascii="Times New Roman" w:hAnsi="Times New Roman" w:cs="Times New Roman"/>
                      <w:color w:val="auto"/>
                    </w:rPr>
                    <w:t>16</w:t>
                  </w:r>
                </w:p>
              </w:tc>
              <w:tc>
                <w:tcPr>
                  <w:tcW w:w="596" w:type="pct"/>
                  <w:tcBorders>
                    <w:tl2br w:val="nil"/>
                    <w:tr2bl w:val="nil"/>
                  </w:tcBorders>
                  <w:vAlign w:val="center"/>
                </w:tcPr>
                <w:p w14:paraId="2F414C2E">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78497F14">
                  <w:pPr>
                    <w:pStyle w:val="131"/>
                    <w:rPr>
                      <w:rFonts w:hint="default" w:ascii="Times New Roman" w:hAnsi="Times New Roman" w:cs="Times New Roman"/>
                      <w:color w:val="auto"/>
                    </w:rPr>
                  </w:pPr>
                  <w:r>
                    <w:rPr>
                      <w:rFonts w:hint="default" w:ascii="Times New Roman" w:hAnsi="Times New Roman" w:cs="Times New Roman"/>
                      <w:color w:val="auto"/>
                    </w:rPr>
                    <w:t>16</w:t>
                  </w:r>
                </w:p>
              </w:tc>
            </w:tr>
            <w:tr w14:paraId="55420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207B2684">
                  <w:pPr>
                    <w:pStyle w:val="131"/>
                    <w:rPr>
                      <w:rFonts w:hint="default" w:ascii="Times New Roman" w:hAnsi="Times New Roman" w:cs="Times New Roman"/>
                      <w:color w:val="auto"/>
                    </w:rPr>
                  </w:pPr>
                  <w:r>
                    <w:rPr>
                      <w:rFonts w:hint="default" w:ascii="Times New Roman" w:hAnsi="Times New Roman" w:cs="Times New Roman"/>
                      <w:color w:val="auto"/>
                    </w:rPr>
                    <w:t>23</w:t>
                  </w:r>
                </w:p>
              </w:tc>
              <w:tc>
                <w:tcPr>
                  <w:tcW w:w="742" w:type="pct"/>
                  <w:vMerge w:val="continue"/>
                  <w:tcBorders>
                    <w:tl2br w:val="nil"/>
                    <w:tr2bl w:val="nil"/>
                  </w:tcBorders>
                  <w:vAlign w:val="center"/>
                </w:tcPr>
                <w:p w14:paraId="56A722BC">
                  <w:pPr>
                    <w:pStyle w:val="131"/>
                    <w:rPr>
                      <w:rFonts w:hint="default" w:ascii="Times New Roman" w:hAnsi="Times New Roman" w:cs="Times New Roman"/>
                      <w:color w:val="auto"/>
                    </w:rPr>
                  </w:pPr>
                </w:p>
              </w:tc>
              <w:tc>
                <w:tcPr>
                  <w:tcW w:w="1661" w:type="pct"/>
                  <w:tcBorders>
                    <w:tl2br w:val="nil"/>
                    <w:tr2bl w:val="nil"/>
                  </w:tcBorders>
                  <w:vAlign w:val="center"/>
                </w:tcPr>
                <w:p w14:paraId="574796AE">
                  <w:pPr>
                    <w:pStyle w:val="131"/>
                    <w:rPr>
                      <w:rFonts w:hint="default" w:ascii="Times New Roman" w:hAnsi="Times New Roman" w:cs="Times New Roman"/>
                      <w:color w:val="auto"/>
                    </w:rPr>
                  </w:pPr>
                  <w:r>
                    <w:rPr>
                      <w:rFonts w:hint="default" w:ascii="Times New Roman" w:hAnsi="Times New Roman" w:cs="Times New Roman"/>
                      <w:color w:val="auto"/>
                    </w:rPr>
                    <w:t>收线操作盒</w:t>
                  </w:r>
                </w:p>
              </w:tc>
              <w:tc>
                <w:tcPr>
                  <w:tcW w:w="695" w:type="pct"/>
                  <w:tcBorders>
                    <w:tl2br w:val="nil"/>
                    <w:tr2bl w:val="nil"/>
                  </w:tcBorders>
                  <w:vAlign w:val="center"/>
                </w:tcPr>
                <w:p w14:paraId="143879DB">
                  <w:pPr>
                    <w:pStyle w:val="131"/>
                    <w:rPr>
                      <w:rFonts w:hint="default" w:ascii="Times New Roman" w:hAnsi="Times New Roman" w:cs="Times New Roman"/>
                      <w:color w:val="auto"/>
                    </w:rPr>
                  </w:pPr>
                  <w:r>
                    <w:rPr>
                      <w:rFonts w:hint="default" w:ascii="Times New Roman" w:hAnsi="Times New Roman" w:cs="Times New Roman"/>
                      <w:color w:val="auto"/>
                    </w:rPr>
                    <w:t>32</w:t>
                  </w:r>
                </w:p>
              </w:tc>
              <w:tc>
                <w:tcPr>
                  <w:tcW w:w="596" w:type="pct"/>
                  <w:tcBorders>
                    <w:tl2br w:val="nil"/>
                    <w:tr2bl w:val="nil"/>
                  </w:tcBorders>
                  <w:vAlign w:val="center"/>
                </w:tcPr>
                <w:p w14:paraId="50CA7FAF">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1E732BD9">
                  <w:pPr>
                    <w:pStyle w:val="131"/>
                    <w:rPr>
                      <w:rFonts w:hint="default" w:ascii="Times New Roman" w:hAnsi="Times New Roman" w:cs="Times New Roman"/>
                      <w:color w:val="auto"/>
                    </w:rPr>
                  </w:pPr>
                  <w:r>
                    <w:rPr>
                      <w:rFonts w:hint="default" w:ascii="Times New Roman" w:hAnsi="Times New Roman" w:cs="Times New Roman"/>
                      <w:color w:val="auto"/>
                    </w:rPr>
                    <w:t>32</w:t>
                  </w:r>
                </w:p>
              </w:tc>
            </w:tr>
            <w:tr w14:paraId="079C5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21" w:type="pct"/>
                  <w:tcBorders>
                    <w:tl2br w:val="nil"/>
                    <w:tr2bl w:val="nil"/>
                  </w:tcBorders>
                  <w:vAlign w:val="center"/>
                </w:tcPr>
                <w:p w14:paraId="1F165D52">
                  <w:pPr>
                    <w:pStyle w:val="131"/>
                    <w:rPr>
                      <w:rFonts w:hint="default" w:ascii="Times New Roman" w:hAnsi="Times New Roman" w:cs="Times New Roman"/>
                      <w:color w:val="auto"/>
                    </w:rPr>
                  </w:pPr>
                  <w:r>
                    <w:rPr>
                      <w:rFonts w:hint="default" w:ascii="Times New Roman" w:hAnsi="Times New Roman" w:cs="Times New Roman"/>
                      <w:color w:val="auto"/>
                    </w:rPr>
                    <w:t>24</w:t>
                  </w:r>
                </w:p>
              </w:tc>
              <w:tc>
                <w:tcPr>
                  <w:tcW w:w="742" w:type="pct"/>
                  <w:vMerge w:val="continue"/>
                  <w:tcBorders>
                    <w:tl2br w:val="nil"/>
                    <w:tr2bl w:val="nil"/>
                  </w:tcBorders>
                  <w:vAlign w:val="center"/>
                </w:tcPr>
                <w:p w14:paraId="30D4D071">
                  <w:pPr>
                    <w:pStyle w:val="131"/>
                    <w:rPr>
                      <w:rFonts w:hint="default" w:ascii="Times New Roman" w:hAnsi="Times New Roman" w:cs="Times New Roman"/>
                      <w:color w:val="auto"/>
                    </w:rPr>
                  </w:pPr>
                </w:p>
              </w:tc>
              <w:tc>
                <w:tcPr>
                  <w:tcW w:w="1661" w:type="pct"/>
                  <w:tcBorders>
                    <w:tl2br w:val="nil"/>
                    <w:tr2bl w:val="nil"/>
                  </w:tcBorders>
                  <w:vAlign w:val="center"/>
                </w:tcPr>
                <w:p w14:paraId="519EEE64">
                  <w:pPr>
                    <w:pStyle w:val="131"/>
                    <w:jc w:val="both"/>
                    <w:rPr>
                      <w:rFonts w:hint="default" w:ascii="Times New Roman" w:hAnsi="Times New Roman" w:cs="Times New Roman"/>
                      <w:color w:val="auto"/>
                    </w:rPr>
                  </w:pPr>
                  <w:r>
                    <w:rPr>
                      <w:rFonts w:hint="default" w:ascii="Times New Roman" w:hAnsi="Times New Roman" w:cs="Times New Roman"/>
                      <w:color w:val="auto"/>
                    </w:rPr>
                    <w:t>点动操作盒（机械去锈、牵引机、拉拔机各1台）</w:t>
                  </w:r>
                </w:p>
              </w:tc>
              <w:tc>
                <w:tcPr>
                  <w:tcW w:w="695" w:type="pct"/>
                  <w:tcBorders>
                    <w:tl2br w:val="nil"/>
                    <w:tr2bl w:val="nil"/>
                  </w:tcBorders>
                  <w:vAlign w:val="center"/>
                </w:tcPr>
                <w:p w14:paraId="2C6F220B">
                  <w:pPr>
                    <w:pStyle w:val="131"/>
                    <w:rPr>
                      <w:rFonts w:hint="default" w:ascii="Times New Roman" w:hAnsi="Times New Roman" w:cs="Times New Roman"/>
                      <w:color w:val="auto"/>
                    </w:rPr>
                  </w:pPr>
                  <w:r>
                    <w:rPr>
                      <w:rFonts w:hint="default" w:ascii="Times New Roman" w:hAnsi="Times New Roman" w:cs="Times New Roman"/>
                      <w:color w:val="auto"/>
                    </w:rPr>
                    <w:t>48</w:t>
                  </w:r>
                </w:p>
              </w:tc>
              <w:tc>
                <w:tcPr>
                  <w:tcW w:w="596" w:type="pct"/>
                  <w:tcBorders>
                    <w:tl2br w:val="nil"/>
                    <w:tr2bl w:val="nil"/>
                  </w:tcBorders>
                  <w:vAlign w:val="center"/>
                </w:tcPr>
                <w:p w14:paraId="1DF19488">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18202A7D">
                  <w:pPr>
                    <w:pStyle w:val="131"/>
                    <w:rPr>
                      <w:rFonts w:hint="default" w:ascii="Times New Roman" w:hAnsi="Times New Roman" w:cs="Times New Roman"/>
                      <w:color w:val="auto"/>
                    </w:rPr>
                  </w:pPr>
                  <w:r>
                    <w:rPr>
                      <w:rFonts w:hint="default" w:ascii="Times New Roman" w:hAnsi="Times New Roman" w:cs="Times New Roman"/>
                      <w:color w:val="auto"/>
                    </w:rPr>
                    <w:t>48</w:t>
                  </w:r>
                </w:p>
              </w:tc>
            </w:tr>
            <w:tr w14:paraId="0DD47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11A26ADE">
                  <w:pPr>
                    <w:pStyle w:val="131"/>
                    <w:rPr>
                      <w:rFonts w:hint="default" w:ascii="Times New Roman" w:hAnsi="Times New Roman" w:cs="Times New Roman"/>
                      <w:color w:val="auto"/>
                    </w:rPr>
                  </w:pPr>
                  <w:r>
                    <w:rPr>
                      <w:rFonts w:hint="default" w:ascii="Times New Roman" w:hAnsi="Times New Roman" w:cs="Times New Roman"/>
                      <w:color w:val="auto"/>
                    </w:rPr>
                    <w:t>25</w:t>
                  </w:r>
                </w:p>
              </w:tc>
              <w:tc>
                <w:tcPr>
                  <w:tcW w:w="742" w:type="pct"/>
                  <w:tcBorders>
                    <w:tl2br w:val="nil"/>
                    <w:tr2bl w:val="nil"/>
                  </w:tcBorders>
                  <w:vAlign w:val="center"/>
                </w:tcPr>
                <w:p w14:paraId="1141A3E5">
                  <w:pPr>
                    <w:pStyle w:val="131"/>
                    <w:rPr>
                      <w:rFonts w:hint="default" w:ascii="Times New Roman" w:hAnsi="Times New Roman" w:cs="Times New Roman"/>
                      <w:color w:val="auto"/>
                    </w:rPr>
                  </w:pPr>
                  <w:r>
                    <w:rPr>
                      <w:rFonts w:hint="default" w:ascii="Times New Roman" w:hAnsi="Times New Roman" w:cs="Times New Roman"/>
                      <w:color w:val="auto"/>
                    </w:rPr>
                    <w:t>测温仪</w:t>
                  </w:r>
                </w:p>
              </w:tc>
              <w:tc>
                <w:tcPr>
                  <w:tcW w:w="1661" w:type="pct"/>
                  <w:tcBorders>
                    <w:tl2br w:val="nil"/>
                    <w:tr2bl w:val="nil"/>
                  </w:tcBorders>
                  <w:vAlign w:val="center"/>
                </w:tcPr>
                <w:p w14:paraId="142E8E1C">
                  <w:pPr>
                    <w:pStyle w:val="131"/>
                    <w:jc w:val="both"/>
                    <w:rPr>
                      <w:rFonts w:hint="default" w:ascii="Times New Roman" w:hAnsi="Times New Roman" w:cs="Times New Roman"/>
                      <w:color w:val="auto"/>
                    </w:rPr>
                  </w:pPr>
                  <w:r>
                    <w:rPr>
                      <w:rFonts w:hint="default" w:ascii="Times New Roman" w:hAnsi="Times New Roman" w:cs="Times New Roman"/>
                      <w:color w:val="auto"/>
                    </w:rPr>
                    <w:t>（测温范围300～1000℃）</w:t>
                  </w:r>
                </w:p>
              </w:tc>
              <w:tc>
                <w:tcPr>
                  <w:tcW w:w="695" w:type="pct"/>
                  <w:tcBorders>
                    <w:tl2br w:val="nil"/>
                    <w:tr2bl w:val="nil"/>
                  </w:tcBorders>
                  <w:vAlign w:val="center"/>
                </w:tcPr>
                <w:p w14:paraId="2368DB38">
                  <w:pPr>
                    <w:pStyle w:val="131"/>
                    <w:rPr>
                      <w:rFonts w:hint="default" w:ascii="Times New Roman" w:hAnsi="Times New Roman" w:cs="Times New Roman"/>
                      <w:color w:val="auto"/>
                    </w:rPr>
                  </w:pPr>
                  <w:r>
                    <w:rPr>
                      <w:rFonts w:hint="default" w:ascii="Times New Roman" w:hAnsi="Times New Roman" w:cs="Times New Roman"/>
                      <w:color w:val="auto"/>
                    </w:rPr>
                    <w:t>32</w:t>
                  </w:r>
                </w:p>
              </w:tc>
              <w:tc>
                <w:tcPr>
                  <w:tcW w:w="596" w:type="pct"/>
                  <w:tcBorders>
                    <w:tl2br w:val="nil"/>
                    <w:tr2bl w:val="nil"/>
                  </w:tcBorders>
                  <w:vAlign w:val="center"/>
                </w:tcPr>
                <w:p w14:paraId="68CCF485">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039172E0">
                  <w:pPr>
                    <w:pStyle w:val="131"/>
                    <w:rPr>
                      <w:rFonts w:hint="default" w:ascii="Times New Roman" w:hAnsi="Times New Roman" w:cs="Times New Roman"/>
                      <w:color w:val="auto"/>
                    </w:rPr>
                  </w:pPr>
                  <w:r>
                    <w:rPr>
                      <w:rFonts w:hint="default" w:ascii="Times New Roman" w:hAnsi="Times New Roman" w:cs="Times New Roman"/>
                      <w:color w:val="auto"/>
                    </w:rPr>
                    <w:t>32</w:t>
                  </w:r>
                </w:p>
              </w:tc>
            </w:tr>
            <w:tr w14:paraId="6850C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521" w:type="pct"/>
                  <w:tcBorders>
                    <w:tl2br w:val="nil"/>
                    <w:tr2bl w:val="nil"/>
                  </w:tcBorders>
                  <w:vAlign w:val="center"/>
                </w:tcPr>
                <w:p w14:paraId="7DA2B6FB">
                  <w:pPr>
                    <w:pStyle w:val="131"/>
                    <w:rPr>
                      <w:rFonts w:hint="default" w:ascii="Times New Roman" w:hAnsi="Times New Roman" w:cs="Times New Roman"/>
                      <w:color w:val="auto"/>
                    </w:rPr>
                  </w:pPr>
                  <w:r>
                    <w:rPr>
                      <w:rFonts w:hint="default" w:ascii="Times New Roman" w:hAnsi="Times New Roman" w:cs="Times New Roman"/>
                      <w:color w:val="auto"/>
                    </w:rPr>
                    <w:t>26</w:t>
                  </w:r>
                </w:p>
              </w:tc>
              <w:tc>
                <w:tcPr>
                  <w:tcW w:w="742" w:type="pct"/>
                  <w:vMerge w:val="restart"/>
                  <w:tcBorders>
                    <w:tl2br w:val="nil"/>
                    <w:tr2bl w:val="nil"/>
                  </w:tcBorders>
                  <w:vAlign w:val="center"/>
                </w:tcPr>
                <w:p w14:paraId="02796046">
                  <w:pPr>
                    <w:pStyle w:val="131"/>
                    <w:rPr>
                      <w:rFonts w:hint="default" w:ascii="Times New Roman" w:hAnsi="Times New Roman" w:cs="Times New Roman"/>
                      <w:color w:val="auto"/>
                    </w:rPr>
                  </w:pPr>
                  <w:r>
                    <w:rPr>
                      <w:rFonts w:hint="default" w:ascii="Times New Roman" w:hAnsi="Times New Roman" w:cs="Times New Roman"/>
                      <w:color w:val="auto"/>
                    </w:rPr>
                    <w:t>配电开关柜</w:t>
                  </w:r>
                </w:p>
              </w:tc>
              <w:tc>
                <w:tcPr>
                  <w:tcW w:w="1661" w:type="pct"/>
                  <w:tcBorders>
                    <w:tl2br w:val="nil"/>
                    <w:tr2bl w:val="nil"/>
                  </w:tcBorders>
                  <w:vAlign w:val="center"/>
                </w:tcPr>
                <w:p w14:paraId="30A48D6E">
                  <w:pPr>
                    <w:pStyle w:val="131"/>
                    <w:jc w:val="both"/>
                    <w:rPr>
                      <w:rFonts w:hint="default" w:ascii="Times New Roman" w:hAnsi="Times New Roman" w:cs="Times New Roman"/>
                      <w:color w:val="auto"/>
                    </w:rPr>
                  </w:pPr>
                  <w:r>
                    <w:rPr>
                      <w:rFonts w:hint="default" w:ascii="Times New Roman" w:hAnsi="Times New Roman" w:cs="Times New Roman"/>
                      <w:color w:val="auto"/>
                    </w:rPr>
                    <w:t>1#配电开关柜：加热电源配电及主电路开关</w:t>
                  </w:r>
                </w:p>
              </w:tc>
              <w:tc>
                <w:tcPr>
                  <w:tcW w:w="695" w:type="pct"/>
                  <w:tcBorders>
                    <w:tl2br w:val="nil"/>
                    <w:tr2bl w:val="nil"/>
                  </w:tcBorders>
                  <w:vAlign w:val="center"/>
                </w:tcPr>
                <w:p w14:paraId="2EC4934D">
                  <w:pPr>
                    <w:pStyle w:val="131"/>
                    <w:rPr>
                      <w:rFonts w:hint="default" w:ascii="Times New Roman" w:hAnsi="Times New Roman" w:cs="Times New Roman"/>
                      <w:color w:val="auto"/>
                    </w:rPr>
                  </w:pPr>
                  <w:r>
                    <w:rPr>
                      <w:rFonts w:hint="default" w:ascii="Times New Roman" w:hAnsi="Times New Roman" w:cs="Times New Roman"/>
                      <w:color w:val="auto"/>
                    </w:rPr>
                    <w:t>16</w:t>
                  </w:r>
                </w:p>
              </w:tc>
              <w:tc>
                <w:tcPr>
                  <w:tcW w:w="596" w:type="pct"/>
                  <w:tcBorders>
                    <w:tl2br w:val="nil"/>
                    <w:tr2bl w:val="nil"/>
                  </w:tcBorders>
                  <w:vAlign w:val="center"/>
                </w:tcPr>
                <w:p w14:paraId="26C56949">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32661D73">
                  <w:pPr>
                    <w:pStyle w:val="131"/>
                    <w:rPr>
                      <w:rFonts w:hint="default" w:ascii="Times New Roman" w:hAnsi="Times New Roman" w:cs="Times New Roman"/>
                      <w:color w:val="auto"/>
                    </w:rPr>
                  </w:pPr>
                  <w:r>
                    <w:rPr>
                      <w:rFonts w:hint="default" w:ascii="Times New Roman" w:hAnsi="Times New Roman" w:cs="Times New Roman"/>
                      <w:color w:val="auto"/>
                    </w:rPr>
                    <w:t>16</w:t>
                  </w:r>
                </w:p>
              </w:tc>
            </w:tr>
            <w:tr w14:paraId="01065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1C445CFD">
                  <w:pPr>
                    <w:pStyle w:val="131"/>
                    <w:rPr>
                      <w:rFonts w:hint="default" w:ascii="Times New Roman" w:hAnsi="Times New Roman" w:cs="Times New Roman"/>
                      <w:color w:val="auto"/>
                    </w:rPr>
                  </w:pPr>
                  <w:r>
                    <w:rPr>
                      <w:rFonts w:hint="default" w:ascii="Times New Roman" w:hAnsi="Times New Roman" w:cs="Times New Roman"/>
                      <w:color w:val="auto"/>
                    </w:rPr>
                    <w:t>27</w:t>
                  </w:r>
                </w:p>
              </w:tc>
              <w:tc>
                <w:tcPr>
                  <w:tcW w:w="742" w:type="pct"/>
                  <w:vMerge w:val="continue"/>
                  <w:tcBorders>
                    <w:tl2br w:val="nil"/>
                    <w:tr2bl w:val="nil"/>
                  </w:tcBorders>
                  <w:vAlign w:val="center"/>
                </w:tcPr>
                <w:p w14:paraId="376CB5BA">
                  <w:pPr>
                    <w:pStyle w:val="131"/>
                    <w:rPr>
                      <w:rFonts w:hint="default" w:ascii="Times New Roman" w:hAnsi="Times New Roman" w:cs="Times New Roman"/>
                      <w:color w:val="auto"/>
                    </w:rPr>
                  </w:pPr>
                </w:p>
              </w:tc>
              <w:tc>
                <w:tcPr>
                  <w:tcW w:w="1661" w:type="pct"/>
                  <w:tcBorders>
                    <w:tl2br w:val="nil"/>
                    <w:tr2bl w:val="nil"/>
                  </w:tcBorders>
                  <w:vAlign w:val="center"/>
                </w:tcPr>
                <w:p w14:paraId="3612C13A">
                  <w:pPr>
                    <w:pStyle w:val="131"/>
                    <w:jc w:val="both"/>
                    <w:rPr>
                      <w:rFonts w:hint="default" w:ascii="Times New Roman" w:hAnsi="Times New Roman" w:cs="Times New Roman"/>
                      <w:color w:val="auto"/>
                    </w:rPr>
                  </w:pPr>
                  <w:r>
                    <w:rPr>
                      <w:rFonts w:hint="default" w:ascii="Times New Roman" w:hAnsi="Times New Roman" w:cs="Times New Roman"/>
                      <w:color w:val="auto"/>
                    </w:rPr>
                    <w:t>2#配电开关柜：加热电源及对焊机、电焊机、轧尖机</w:t>
                  </w:r>
                </w:p>
              </w:tc>
              <w:tc>
                <w:tcPr>
                  <w:tcW w:w="695" w:type="pct"/>
                  <w:tcBorders>
                    <w:tl2br w:val="nil"/>
                    <w:tr2bl w:val="nil"/>
                  </w:tcBorders>
                  <w:vAlign w:val="center"/>
                </w:tcPr>
                <w:p w14:paraId="72CB157E">
                  <w:pPr>
                    <w:pStyle w:val="131"/>
                    <w:rPr>
                      <w:rFonts w:hint="default" w:ascii="Times New Roman" w:hAnsi="Times New Roman" w:cs="Times New Roman"/>
                      <w:color w:val="auto"/>
                    </w:rPr>
                  </w:pPr>
                  <w:r>
                    <w:rPr>
                      <w:rFonts w:hint="default" w:ascii="Times New Roman" w:hAnsi="Times New Roman" w:cs="Times New Roman"/>
                      <w:color w:val="auto"/>
                    </w:rPr>
                    <w:t>16</w:t>
                  </w:r>
                </w:p>
              </w:tc>
              <w:tc>
                <w:tcPr>
                  <w:tcW w:w="596" w:type="pct"/>
                  <w:tcBorders>
                    <w:tl2br w:val="nil"/>
                    <w:tr2bl w:val="nil"/>
                  </w:tcBorders>
                  <w:vAlign w:val="center"/>
                </w:tcPr>
                <w:p w14:paraId="15DFBD48">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11BA3090">
                  <w:pPr>
                    <w:pStyle w:val="131"/>
                    <w:rPr>
                      <w:rFonts w:hint="default" w:ascii="Times New Roman" w:hAnsi="Times New Roman" w:cs="Times New Roman"/>
                      <w:color w:val="auto"/>
                    </w:rPr>
                  </w:pPr>
                  <w:r>
                    <w:rPr>
                      <w:rFonts w:hint="default" w:ascii="Times New Roman" w:hAnsi="Times New Roman" w:cs="Times New Roman"/>
                      <w:color w:val="auto"/>
                    </w:rPr>
                    <w:t>16</w:t>
                  </w:r>
                </w:p>
              </w:tc>
            </w:tr>
            <w:tr w14:paraId="52C05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68472C70">
                  <w:pPr>
                    <w:pStyle w:val="131"/>
                    <w:rPr>
                      <w:rFonts w:hint="default" w:ascii="Times New Roman" w:hAnsi="Times New Roman" w:cs="Times New Roman"/>
                      <w:color w:val="auto"/>
                    </w:rPr>
                  </w:pPr>
                  <w:r>
                    <w:rPr>
                      <w:rFonts w:hint="default" w:ascii="Times New Roman" w:hAnsi="Times New Roman" w:cs="Times New Roman"/>
                      <w:color w:val="auto"/>
                    </w:rPr>
                    <w:t>28</w:t>
                  </w:r>
                </w:p>
              </w:tc>
              <w:tc>
                <w:tcPr>
                  <w:tcW w:w="742" w:type="pct"/>
                  <w:vMerge w:val="continue"/>
                  <w:tcBorders>
                    <w:tl2br w:val="nil"/>
                    <w:tr2bl w:val="nil"/>
                  </w:tcBorders>
                  <w:vAlign w:val="center"/>
                </w:tcPr>
                <w:p w14:paraId="02178040">
                  <w:pPr>
                    <w:pStyle w:val="131"/>
                    <w:rPr>
                      <w:rFonts w:hint="default" w:ascii="Times New Roman" w:hAnsi="Times New Roman" w:cs="Times New Roman"/>
                      <w:color w:val="auto"/>
                    </w:rPr>
                  </w:pPr>
                </w:p>
              </w:tc>
              <w:tc>
                <w:tcPr>
                  <w:tcW w:w="1661" w:type="pct"/>
                  <w:tcBorders>
                    <w:tl2br w:val="nil"/>
                    <w:tr2bl w:val="nil"/>
                  </w:tcBorders>
                  <w:vAlign w:val="center"/>
                </w:tcPr>
                <w:p w14:paraId="530C5CFD">
                  <w:pPr>
                    <w:pStyle w:val="131"/>
                    <w:jc w:val="both"/>
                    <w:rPr>
                      <w:rFonts w:hint="default" w:ascii="Times New Roman" w:hAnsi="Times New Roman" w:cs="Times New Roman"/>
                      <w:color w:val="auto"/>
                    </w:rPr>
                  </w:pPr>
                  <w:r>
                    <w:rPr>
                      <w:rFonts w:hint="default" w:ascii="Times New Roman" w:hAnsi="Times New Roman" w:cs="Times New Roman"/>
                      <w:color w:val="auto"/>
                    </w:rPr>
                    <w:t>3#配电开关柜：加热电源 1#变频柜、空压机、操作台</w:t>
                  </w:r>
                </w:p>
              </w:tc>
              <w:tc>
                <w:tcPr>
                  <w:tcW w:w="695" w:type="pct"/>
                  <w:tcBorders>
                    <w:tl2br w:val="nil"/>
                    <w:tr2bl w:val="nil"/>
                  </w:tcBorders>
                  <w:vAlign w:val="center"/>
                </w:tcPr>
                <w:p w14:paraId="723B5953">
                  <w:pPr>
                    <w:pStyle w:val="131"/>
                    <w:rPr>
                      <w:rFonts w:hint="default" w:ascii="Times New Roman" w:hAnsi="Times New Roman" w:cs="Times New Roman"/>
                      <w:color w:val="auto"/>
                    </w:rPr>
                  </w:pPr>
                  <w:r>
                    <w:rPr>
                      <w:rFonts w:hint="default" w:ascii="Times New Roman" w:hAnsi="Times New Roman" w:cs="Times New Roman"/>
                      <w:color w:val="auto"/>
                    </w:rPr>
                    <w:t>16</w:t>
                  </w:r>
                </w:p>
              </w:tc>
              <w:tc>
                <w:tcPr>
                  <w:tcW w:w="596" w:type="pct"/>
                  <w:tcBorders>
                    <w:tl2br w:val="nil"/>
                    <w:tr2bl w:val="nil"/>
                  </w:tcBorders>
                  <w:vAlign w:val="center"/>
                </w:tcPr>
                <w:p w14:paraId="1B676AE6">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782" w:type="pct"/>
                  <w:tcBorders>
                    <w:tl2br w:val="nil"/>
                    <w:tr2bl w:val="nil"/>
                  </w:tcBorders>
                  <w:vAlign w:val="center"/>
                </w:tcPr>
                <w:p w14:paraId="56FF42B6">
                  <w:pPr>
                    <w:pStyle w:val="131"/>
                    <w:rPr>
                      <w:rFonts w:hint="default" w:ascii="Times New Roman" w:hAnsi="Times New Roman" w:cs="Times New Roman"/>
                      <w:color w:val="auto"/>
                    </w:rPr>
                  </w:pPr>
                  <w:r>
                    <w:rPr>
                      <w:rFonts w:hint="default" w:ascii="Times New Roman" w:hAnsi="Times New Roman" w:cs="Times New Roman"/>
                      <w:color w:val="auto"/>
                    </w:rPr>
                    <w:t>16</w:t>
                  </w:r>
                </w:p>
              </w:tc>
            </w:tr>
            <w:tr w14:paraId="3C933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187146AE">
                  <w:pPr>
                    <w:pStyle w:val="131"/>
                    <w:rPr>
                      <w:rFonts w:hint="default" w:ascii="Times New Roman" w:hAnsi="Times New Roman" w:cs="Times New Roman"/>
                      <w:color w:val="auto"/>
                    </w:rPr>
                  </w:pPr>
                  <w:r>
                    <w:rPr>
                      <w:rFonts w:hint="default" w:ascii="Times New Roman" w:hAnsi="Times New Roman" w:cs="Times New Roman"/>
                      <w:color w:val="auto"/>
                    </w:rPr>
                    <w:t>29</w:t>
                  </w:r>
                </w:p>
              </w:tc>
              <w:tc>
                <w:tcPr>
                  <w:tcW w:w="742" w:type="pct"/>
                  <w:vMerge w:val="restart"/>
                  <w:tcBorders>
                    <w:tl2br w:val="nil"/>
                    <w:tr2bl w:val="nil"/>
                  </w:tcBorders>
                  <w:vAlign w:val="center"/>
                </w:tcPr>
                <w:p w14:paraId="0F979A1D">
                  <w:pPr>
                    <w:pStyle w:val="131"/>
                    <w:rPr>
                      <w:rFonts w:hint="default" w:ascii="Times New Roman" w:hAnsi="Times New Roman" w:cs="Times New Roman"/>
                      <w:color w:val="auto"/>
                    </w:rPr>
                  </w:pPr>
                  <w:r>
                    <w:rPr>
                      <w:rFonts w:hint="default" w:ascii="Times New Roman" w:hAnsi="Times New Roman" w:cs="Times New Roman"/>
                      <w:color w:val="auto"/>
                    </w:rPr>
                    <w:t>三连拉钢丝生产线</w:t>
                  </w:r>
                </w:p>
              </w:tc>
              <w:tc>
                <w:tcPr>
                  <w:tcW w:w="1661" w:type="pct"/>
                  <w:tcBorders>
                    <w:tl2br w:val="nil"/>
                    <w:tr2bl w:val="nil"/>
                  </w:tcBorders>
                  <w:vAlign w:val="center"/>
                </w:tcPr>
                <w:p w14:paraId="04D83B5E">
                  <w:pPr>
                    <w:pStyle w:val="131"/>
                    <w:jc w:val="both"/>
                    <w:rPr>
                      <w:rFonts w:hint="default" w:ascii="Times New Roman" w:hAnsi="Times New Roman" w:cs="Times New Roman"/>
                      <w:color w:val="auto"/>
                    </w:rPr>
                  </w:pPr>
                  <w:r>
                    <w:rPr>
                      <w:rFonts w:hint="default" w:ascii="Times New Roman" w:hAnsi="Times New Roman" w:cs="Times New Roman"/>
                      <w:color w:val="auto"/>
                    </w:rPr>
                    <w:t>立式旋转被动放线架</w:t>
                  </w:r>
                </w:p>
              </w:tc>
              <w:tc>
                <w:tcPr>
                  <w:tcW w:w="695" w:type="pct"/>
                  <w:tcBorders>
                    <w:tl2br w:val="nil"/>
                    <w:tr2bl w:val="nil"/>
                  </w:tcBorders>
                  <w:vAlign w:val="center"/>
                </w:tcPr>
                <w:p w14:paraId="63159062">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596" w:type="pct"/>
                  <w:tcBorders>
                    <w:tl2br w:val="nil"/>
                    <w:tr2bl w:val="nil"/>
                  </w:tcBorders>
                  <w:vAlign w:val="center"/>
                </w:tcPr>
                <w:p w14:paraId="2EDBB1B7">
                  <w:pPr>
                    <w:pStyle w:val="131"/>
                    <w:rPr>
                      <w:rFonts w:hint="default" w:ascii="Times New Roman" w:hAnsi="Times New Roman" w:cs="Times New Roman"/>
                      <w:color w:val="auto"/>
                    </w:rPr>
                  </w:pPr>
                  <w:r>
                    <w:rPr>
                      <w:rFonts w:hint="default" w:ascii="Times New Roman" w:hAnsi="Times New Roman" w:cs="Times New Roman"/>
                      <w:color w:val="auto"/>
                    </w:rPr>
                    <w:t>1</w:t>
                  </w:r>
                </w:p>
              </w:tc>
              <w:tc>
                <w:tcPr>
                  <w:tcW w:w="782" w:type="pct"/>
                  <w:tcBorders>
                    <w:tl2br w:val="nil"/>
                    <w:tr2bl w:val="nil"/>
                  </w:tcBorders>
                  <w:vAlign w:val="center"/>
                </w:tcPr>
                <w:p w14:paraId="311EF4AA">
                  <w:pPr>
                    <w:pStyle w:val="131"/>
                    <w:rPr>
                      <w:rFonts w:hint="default" w:ascii="Times New Roman" w:hAnsi="Times New Roman" w:cs="Times New Roman"/>
                      <w:color w:val="auto"/>
                    </w:rPr>
                  </w:pPr>
                  <w:r>
                    <w:rPr>
                      <w:rFonts w:hint="default" w:ascii="Times New Roman" w:hAnsi="Times New Roman" w:cs="Times New Roman"/>
                      <w:color w:val="auto"/>
                    </w:rPr>
                    <w:t>1</w:t>
                  </w:r>
                </w:p>
              </w:tc>
            </w:tr>
            <w:tr w14:paraId="0E762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1F94A468">
                  <w:pPr>
                    <w:pStyle w:val="131"/>
                    <w:rPr>
                      <w:rFonts w:hint="default" w:ascii="Times New Roman" w:hAnsi="Times New Roman" w:cs="Times New Roman"/>
                      <w:color w:val="auto"/>
                    </w:rPr>
                  </w:pPr>
                  <w:r>
                    <w:rPr>
                      <w:rFonts w:hint="default" w:ascii="Times New Roman" w:hAnsi="Times New Roman" w:cs="Times New Roman"/>
                      <w:color w:val="auto"/>
                    </w:rPr>
                    <w:t>30</w:t>
                  </w:r>
                </w:p>
              </w:tc>
              <w:tc>
                <w:tcPr>
                  <w:tcW w:w="742" w:type="pct"/>
                  <w:vMerge w:val="continue"/>
                  <w:tcBorders>
                    <w:tl2br w:val="nil"/>
                    <w:tr2bl w:val="nil"/>
                  </w:tcBorders>
                  <w:vAlign w:val="center"/>
                </w:tcPr>
                <w:p w14:paraId="375ACE6D">
                  <w:pPr>
                    <w:pStyle w:val="131"/>
                    <w:rPr>
                      <w:rFonts w:hint="default" w:ascii="Times New Roman" w:hAnsi="Times New Roman" w:cs="Times New Roman"/>
                      <w:color w:val="auto"/>
                    </w:rPr>
                  </w:pPr>
                </w:p>
              </w:tc>
              <w:tc>
                <w:tcPr>
                  <w:tcW w:w="1661" w:type="pct"/>
                  <w:tcBorders>
                    <w:tl2br w:val="nil"/>
                    <w:tr2bl w:val="nil"/>
                  </w:tcBorders>
                  <w:vAlign w:val="center"/>
                </w:tcPr>
                <w:p w14:paraId="74EF6794">
                  <w:pPr>
                    <w:pStyle w:val="131"/>
                    <w:jc w:val="both"/>
                    <w:rPr>
                      <w:rFonts w:hint="default" w:ascii="Times New Roman" w:hAnsi="Times New Roman" w:cs="Times New Roman"/>
                      <w:color w:val="auto"/>
                    </w:rPr>
                  </w:pPr>
                  <w:r>
                    <w:rPr>
                      <w:rFonts w:hint="default" w:ascii="Times New Roman" w:hAnsi="Times New Roman" w:cs="Times New Roman"/>
                      <w:color w:val="auto"/>
                    </w:rPr>
                    <w:t xml:space="preserve">LZ/800 直进式拉丝机-45kW </w:t>
                  </w:r>
                </w:p>
              </w:tc>
              <w:tc>
                <w:tcPr>
                  <w:tcW w:w="695" w:type="pct"/>
                  <w:tcBorders>
                    <w:tl2br w:val="nil"/>
                    <w:tr2bl w:val="nil"/>
                  </w:tcBorders>
                  <w:vAlign w:val="center"/>
                </w:tcPr>
                <w:p w14:paraId="101D8EC5">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596" w:type="pct"/>
                  <w:tcBorders>
                    <w:tl2br w:val="nil"/>
                    <w:tr2bl w:val="nil"/>
                  </w:tcBorders>
                  <w:vAlign w:val="center"/>
                </w:tcPr>
                <w:p w14:paraId="050C63D2">
                  <w:pPr>
                    <w:pStyle w:val="131"/>
                    <w:rPr>
                      <w:rFonts w:hint="default" w:ascii="Times New Roman" w:hAnsi="Times New Roman" w:cs="Times New Roman"/>
                      <w:color w:val="auto"/>
                    </w:rPr>
                  </w:pPr>
                  <w:r>
                    <w:rPr>
                      <w:rFonts w:hint="default" w:ascii="Times New Roman" w:hAnsi="Times New Roman" w:cs="Times New Roman"/>
                      <w:color w:val="auto"/>
                    </w:rPr>
                    <w:t>2</w:t>
                  </w:r>
                </w:p>
              </w:tc>
              <w:tc>
                <w:tcPr>
                  <w:tcW w:w="782" w:type="pct"/>
                  <w:tcBorders>
                    <w:tl2br w:val="nil"/>
                    <w:tr2bl w:val="nil"/>
                  </w:tcBorders>
                  <w:vAlign w:val="center"/>
                </w:tcPr>
                <w:p w14:paraId="322B3F0B">
                  <w:pPr>
                    <w:pStyle w:val="131"/>
                    <w:rPr>
                      <w:rFonts w:hint="default" w:ascii="Times New Roman" w:hAnsi="Times New Roman" w:cs="Times New Roman"/>
                      <w:color w:val="auto"/>
                    </w:rPr>
                  </w:pPr>
                  <w:r>
                    <w:rPr>
                      <w:rFonts w:hint="default" w:ascii="Times New Roman" w:hAnsi="Times New Roman" w:cs="Times New Roman"/>
                      <w:color w:val="auto"/>
                    </w:rPr>
                    <w:t>2</w:t>
                  </w:r>
                </w:p>
              </w:tc>
            </w:tr>
            <w:tr w14:paraId="78768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5768B23D">
                  <w:pPr>
                    <w:pStyle w:val="131"/>
                    <w:rPr>
                      <w:rFonts w:hint="default" w:ascii="Times New Roman" w:hAnsi="Times New Roman" w:cs="Times New Roman"/>
                      <w:color w:val="auto"/>
                    </w:rPr>
                  </w:pPr>
                  <w:r>
                    <w:rPr>
                      <w:rFonts w:hint="default" w:ascii="Times New Roman" w:hAnsi="Times New Roman" w:cs="Times New Roman"/>
                      <w:color w:val="auto"/>
                    </w:rPr>
                    <w:t>31</w:t>
                  </w:r>
                </w:p>
              </w:tc>
              <w:tc>
                <w:tcPr>
                  <w:tcW w:w="742" w:type="pct"/>
                  <w:vMerge w:val="continue"/>
                  <w:tcBorders>
                    <w:tl2br w:val="nil"/>
                    <w:tr2bl w:val="nil"/>
                  </w:tcBorders>
                  <w:vAlign w:val="center"/>
                </w:tcPr>
                <w:p w14:paraId="0B55A801">
                  <w:pPr>
                    <w:pStyle w:val="131"/>
                    <w:rPr>
                      <w:rFonts w:hint="default" w:ascii="Times New Roman" w:hAnsi="Times New Roman" w:cs="Times New Roman"/>
                      <w:color w:val="auto"/>
                    </w:rPr>
                  </w:pPr>
                </w:p>
              </w:tc>
              <w:tc>
                <w:tcPr>
                  <w:tcW w:w="1661" w:type="pct"/>
                  <w:tcBorders>
                    <w:tl2br w:val="nil"/>
                    <w:tr2bl w:val="nil"/>
                  </w:tcBorders>
                  <w:vAlign w:val="center"/>
                </w:tcPr>
                <w:p w14:paraId="3579D502">
                  <w:pPr>
                    <w:pStyle w:val="131"/>
                    <w:jc w:val="both"/>
                    <w:rPr>
                      <w:rFonts w:hint="default" w:ascii="Times New Roman" w:hAnsi="Times New Roman" w:cs="Times New Roman"/>
                      <w:color w:val="auto"/>
                    </w:rPr>
                  </w:pPr>
                  <w:r>
                    <w:rPr>
                      <w:rFonts w:hint="default" w:ascii="Times New Roman" w:hAnsi="Times New Roman" w:cs="Times New Roman"/>
                      <w:color w:val="auto"/>
                    </w:rPr>
                    <w:t xml:space="preserve">DL/800 倒立式拉丝机-45kW </w:t>
                  </w:r>
                </w:p>
              </w:tc>
              <w:tc>
                <w:tcPr>
                  <w:tcW w:w="695" w:type="pct"/>
                  <w:tcBorders>
                    <w:tl2br w:val="nil"/>
                    <w:tr2bl w:val="nil"/>
                  </w:tcBorders>
                  <w:vAlign w:val="center"/>
                </w:tcPr>
                <w:p w14:paraId="3E6F9E1E">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596" w:type="pct"/>
                  <w:tcBorders>
                    <w:tl2br w:val="nil"/>
                    <w:tr2bl w:val="nil"/>
                  </w:tcBorders>
                  <w:vAlign w:val="center"/>
                </w:tcPr>
                <w:p w14:paraId="6C2ED1E8">
                  <w:pPr>
                    <w:pStyle w:val="131"/>
                    <w:rPr>
                      <w:rFonts w:hint="default" w:ascii="Times New Roman" w:hAnsi="Times New Roman" w:cs="Times New Roman"/>
                      <w:color w:val="auto"/>
                    </w:rPr>
                  </w:pPr>
                  <w:r>
                    <w:rPr>
                      <w:rFonts w:hint="default" w:ascii="Times New Roman" w:hAnsi="Times New Roman" w:cs="Times New Roman"/>
                      <w:color w:val="auto"/>
                    </w:rPr>
                    <w:t>1</w:t>
                  </w:r>
                </w:p>
              </w:tc>
              <w:tc>
                <w:tcPr>
                  <w:tcW w:w="782" w:type="pct"/>
                  <w:tcBorders>
                    <w:tl2br w:val="nil"/>
                    <w:tr2bl w:val="nil"/>
                  </w:tcBorders>
                  <w:vAlign w:val="center"/>
                </w:tcPr>
                <w:p w14:paraId="65F1D2E7">
                  <w:pPr>
                    <w:pStyle w:val="131"/>
                    <w:rPr>
                      <w:rFonts w:hint="default" w:ascii="Times New Roman" w:hAnsi="Times New Roman" w:cs="Times New Roman"/>
                      <w:color w:val="auto"/>
                    </w:rPr>
                  </w:pPr>
                  <w:r>
                    <w:rPr>
                      <w:rFonts w:hint="default" w:ascii="Times New Roman" w:hAnsi="Times New Roman" w:cs="Times New Roman"/>
                      <w:color w:val="auto"/>
                    </w:rPr>
                    <w:t>1</w:t>
                  </w:r>
                </w:p>
              </w:tc>
            </w:tr>
            <w:tr w14:paraId="7D213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7A06280E">
                  <w:pPr>
                    <w:pStyle w:val="131"/>
                    <w:rPr>
                      <w:rFonts w:hint="default" w:ascii="Times New Roman" w:hAnsi="Times New Roman" w:cs="Times New Roman"/>
                      <w:color w:val="auto"/>
                    </w:rPr>
                  </w:pPr>
                  <w:r>
                    <w:rPr>
                      <w:rFonts w:hint="default" w:ascii="Times New Roman" w:hAnsi="Times New Roman" w:cs="Times New Roman"/>
                      <w:color w:val="auto"/>
                    </w:rPr>
                    <w:t>32</w:t>
                  </w:r>
                </w:p>
              </w:tc>
              <w:tc>
                <w:tcPr>
                  <w:tcW w:w="742" w:type="pct"/>
                  <w:vMerge w:val="restart"/>
                  <w:tcBorders>
                    <w:tl2br w:val="nil"/>
                    <w:tr2bl w:val="nil"/>
                  </w:tcBorders>
                  <w:vAlign w:val="center"/>
                </w:tcPr>
                <w:p w14:paraId="30B9C89C">
                  <w:pPr>
                    <w:pStyle w:val="131"/>
                    <w:rPr>
                      <w:rFonts w:hint="default" w:ascii="Times New Roman" w:hAnsi="Times New Roman" w:cs="Times New Roman"/>
                      <w:color w:val="auto"/>
                    </w:rPr>
                  </w:pPr>
                  <w:r>
                    <w:rPr>
                      <w:rFonts w:hint="default" w:ascii="Times New Roman" w:hAnsi="Times New Roman" w:cs="Times New Roman"/>
                      <w:color w:val="auto"/>
                    </w:rPr>
                    <w:t>四连拉钢丝生产线</w:t>
                  </w:r>
                </w:p>
              </w:tc>
              <w:tc>
                <w:tcPr>
                  <w:tcW w:w="1661" w:type="pct"/>
                  <w:tcBorders>
                    <w:tl2br w:val="nil"/>
                    <w:tr2bl w:val="nil"/>
                  </w:tcBorders>
                  <w:vAlign w:val="center"/>
                </w:tcPr>
                <w:p w14:paraId="39489E18">
                  <w:pPr>
                    <w:pStyle w:val="131"/>
                    <w:jc w:val="both"/>
                    <w:rPr>
                      <w:rFonts w:hint="default" w:ascii="Times New Roman" w:hAnsi="Times New Roman" w:cs="Times New Roman"/>
                      <w:color w:val="auto"/>
                    </w:rPr>
                  </w:pPr>
                  <w:r>
                    <w:rPr>
                      <w:rFonts w:hint="default" w:ascii="Times New Roman" w:hAnsi="Times New Roman" w:cs="Times New Roman"/>
                      <w:color w:val="auto"/>
                    </w:rPr>
                    <w:t>立式旋转被动放线架</w:t>
                  </w:r>
                </w:p>
              </w:tc>
              <w:tc>
                <w:tcPr>
                  <w:tcW w:w="695" w:type="pct"/>
                  <w:tcBorders>
                    <w:tl2br w:val="nil"/>
                    <w:tr2bl w:val="nil"/>
                  </w:tcBorders>
                  <w:vAlign w:val="center"/>
                </w:tcPr>
                <w:p w14:paraId="1F5BAE81">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596" w:type="pct"/>
                  <w:tcBorders>
                    <w:tl2br w:val="nil"/>
                    <w:tr2bl w:val="nil"/>
                  </w:tcBorders>
                  <w:vAlign w:val="center"/>
                </w:tcPr>
                <w:p w14:paraId="2D72C02A">
                  <w:pPr>
                    <w:pStyle w:val="131"/>
                    <w:rPr>
                      <w:rFonts w:hint="default" w:ascii="Times New Roman" w:hAnsi="Times New Roman" w:cs="Times New Roman"/>
                      <w:color w:val="auto"/>
                    </w:rPr>
                  </w:pPr>
                  <w:r>
                    <w:rPr>
                      <w:rFonts w:hint="default" w:ascii="Times New Roman" w:hAnsi="Times New Roman" w:cs="Times New Roman"/>
                      <w:color w:val="auto"/>
                    </w:rPr>
                    <w:t>2</w:t>
                  </w:r>
                </w:p>
              </w:tc>
              <w:tc>
                <w:tcPr>
                  <w:tcW w:w="782" w:type="pct"/>
                  <w:tcBorders>
                    <w:tl2br w:val="nil"/>
                    <w:tr2bl w:val="nil"/>
                  </w:tcBorders>
                  <w:vAlign w:val="center"/>
                </w:tcPr>
                <w:p w14:paraId="4EACE90F">
                  <w:pPr>
                    <w:pStyle w:val="131"/>
                    <w:rPr>
                      <w:rFonts w:hint="default" w:ascii="Times New Roman" w:hAnsi="Times New Roman" w:cs="Times New Roman"/>
                      <w:color w:val="auto"/>
                    </w:rPr>
                  </w:pPr>
                  <w:r>
                    <w:rPr>
                      <w:rFonts w:hint="default" w:ascii="Times New Roman" w:hAnsi="Times New Roman" w:cs="Times New Roman"/>
                      <w:color w:val="auto"/>
                    </w:rPr>
                    <w:t>2</w:t>
                  </w:r>
                </w:p>
              </w:tc>
            </w:tr>
            <w:tr w14:paraId="6C1AE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61B623B6">
                  <w:pPr>
                    <w:pStyle w:val="131"/>
                    <w:rPr>
                      <w:rFonts w:hint="default" w:ascii="Times New Roman" w:hAnsi="Times New Roman" w:cs="Times New Roman"/>
                      <w:color w:val="auto"/>
                    </w:rPr>
                  </w:pPr>
                  <w:r>
                    <w:rPr>
                      <w:rFonts w:hint="default" w:ascii="Times New Roman" w:hAnsi="Times New Roman" w:cs="Times New Roman"/>
                      <w:color w:val="auto"/>
                    </w:rPr>
                    <w:t>33</w:t>
                  </w:r>
                </w:p>
              </w:tc>
              <w:tc>
                <w:tcPr>
                  <w:tcW w:w="742" w:type="pct"/>
                  <w:vMerge w:val="continue"/>
                  <w:tcBorders>
                    <w:tl2br w:val="nil"/>
                    <w:tr2bl w:val="nil"/>
                  </w:tcBorders>
                  <w:vAlign w:val="center"/>
                </w:tcPr>
                <w:p w14:paraId="337F8614">
                  <w:pPr>
                    <w:pStyle w:val="131"/>
                    <w:rPr>
                      <w:rFonts w:hint="default" w:ascii="Times New Roman" w:hAnsi="Times New Roman" w:cs="Times New Roman"/>
                      <w:color w:val="auto"/>
                    </w:rPr>
                  </w:pPr>
                </w:p>
              </w:tc>
              <w:tc>
                <w:tcPr>
                  <w:tcW w:w="1661" w:type="pct"/>
                  <w:tcBorders>
                    <w:tl2br w:val="nil"/>
                    <w:tr2bl w:val="nil"/>
                  </w:tcBorders>
                  <w:vAlign w:val="center"/>
                </w:tcPr>
                <w:p w14:paraId="12427E9F">
                  <w:pPr>
                    <w:pStyle w:val="131"/>
                    <w:jc w:val="both"/>
                    <w:rPr>
                      <w:rFonts w:hint="default" w:ascii="Times New Roman" w:hAnsi="Times New Roman" w:cs="Times New Roman"/>
                      <w:color w:val="auto"/>
                    </w:rPr>
                  </w:pPr>
                  <w:r>
                    <w:rPr>
                      <w:rFonts w:hint="default" w:ascii="Times New Roman" w:hAnsi="Times New Roman" w:cs="Times New Roman"/>
                      <w:color w:val="auto"/>
                    </w:rPr>
                    <w:t>8轮机械剥壳</w:t>
                  </w:r>
                </w:p>
              </w:tc>
              <w:tc>
                <w:tcPr>
                  <w:tcW w:w="695" w:type="pct"/>
                  <w:tcBorders>
                    <w:tl2br w:val="nil"/>
                    <w:tr2bl w:val="nil"/>
                  </w:tcBorders>
                  <w:vAlign w:val="center"/>
                </w:tcPr>
                <w:p w14:paraId="6A1CE2EB">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596" w:type="pct"/>
                  <w:tcBorders>
                    <w:tl2br w:val="nil"/>
                    <w:tr2bl w:val="nil"/>
                  </w:tcBorders>
                  <w:vAlign w:val="center"/>
                </w:tcPr>
                <w:p w14:paraId="5BD32575">
                  <w:pPr>
                    <w:pStyle w:val="131"/>
                    <w:rPr>
                      <w:rFonts w:hint="default" w:ascii="Times New Roman" w:hAnsi="Times New Roman" w:cs="Times New Roman"/>
                      <w:color w:val="auto"/>
                    </w:rPr>
                  </w:pPr>
                  <w:r>
                    <w:rPr>
                      <w:rFonts w:hint="default" w:ascii="Times New Roman" w:hAnsi="Times New Roman" w:cs="Times New Roman"/>
                      <w:color w:val="auto"/>
                    </w:rPr>
                    <w:t>2</w:t>
                  </w:r>
                </w:p>
              </w:tc>
              <w:tc>
                <w:tcPr>
                  <w:tcW w:w="782" w:type="pct"/>
                  <w:tcBorders>
                    <w:tl2br w:val="nil"/>
                    <w:tr2bl w:val="nil"/>
                  </w:tcBorders>
                  <w:vAlign w:val="center"/>
                </w:tcPr>
                <w:p w14:paraId="54CBD7C2">
                  <w:pPr>
                    <w:pStyle w:val="131"/>
                    <w:rPr>
                      <w:rFonts w:hint="default" w:ascii="Times New Roman" w:hAnsi="Times New Roman" w:cs="Times New Roman"/>
                      <w:color w:val="auto"/>
                    </w:rPr>
                  </w:pPr>
                  <w:r>
                    <w:rPr>
                      <w:rFonts w:hint="default" w:ascii="Times New Roman" w:hAnsi="Times New Roman" w:cs="Times New Roman"/>
                      <w:color w:val="auto"/>
                    </w:rPr>
                    <w:t>2</w:t>
                  </w:r>
                </w:p>
              </w:tc>
            </w:tr>
            <w:tr w14:paraId="08C55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62A5877C">
                  <w:pPr>
                    <w:pStyle w:val="131"/>
                    <w:rPr>
                      <w:rFonts w:hint="default" w:ascii="Times New Roman" w:hAnsi="Times New Roman" w:cs="Times New Roman"/>
                      <w:color w:val="auto"/>
                    </w:rPr>
                  </w:pPr>
                  <w:r>
                    <w:rPr>
                      <w:rFonts w:hint="default" w:ascii="Times New Roman" w:hAnsi="Times New Roman" w:cs="Times New Roman"/>
                      <w:color w:val="auto"/>
                    </w:rPr>
                    <w:t>34</w:t>
                  </w:r>
                </w:p>
              </w:tc>
              <w:tc>
                <w:tcPr>
                  <w:tcW w:w="742" w:type="pct"/>
                  <w:vMerge w:val="continue"/>
                  <w:tcBorders>
                    <w:tl2br w:val="nil"/>
                    <w:tr2bl w:val="nil"/>
                  </w:tcBorders>
                  <w:vAlign w:val="center"/>
                </w:tcPr>
                <w:p w14:paraId="3AA2BF02">
                  <w:pPr>
                    <w:pStyle w:val="131"/>
                    <w:rPr>
                      <w:rFonts w:hint="default" w:ascii="Times New Roman" w:hAnsi="Times New Roman" w:cs="Times New Roman"/>
                      <w:color w:val="auto"/>
                    </w:rPr>
                  </w:pPr>
                </w:p>
              </w:tc>
              <w:tc>
                <w:tcPr>
                  <w:tcW w:w="1661" w:type="pct"/>
                  <w:tcBorders>
                    <w:tl2br w:val="nil"/>
                    <w:tr2bl w:val="nil"/>
                  </w:tcBorders>
                  <w:vAlign w:val="center"/>
                </w:tcPr>
                <w:p w14:paraId="1996D8B7">
                  <w:pPr>
                    <w:pStyle w:val="131"/>
                    <w:jc w:val="both"/>
                    <w:rPr>
                      <w:rFonts w:hint="default" w:ascii="Times New Roman" w:hAnsi="Times New Roman" w:cs="Times New Roman"/>
                      <w:color w:val="auto"/>
                    </w:rPr>
                  </w:pPr>
                  <w:r>
                    <w:rPr>
                      <w:rFonts w:hint="default" w:ascii="Times New Roman" w:hAnsi="Times New Roman" w:cs="Times New Roman"/>
                      <w:color w:val="auto"/>
                    </w:rPr>
                    <w:t>环保型双头砂带除锈机</w:t>
                  </w:r>
                </w:p>
              </w:tc>
              <w:tc>
                <w:tcPr>
                  <w:tcW w:w="695" w:type="pct"/>
                  <w:tcBorders>
                    <w:tl2br w:val="nil"/>
                    <w:tr2bl w:val="nil"/>
                  </w:tcBorders>
                  <w:vAlign w:val="center"/>
                </w:tcPr>
                <w:p w14:paraId="5D133258">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596" w:type="pct"/>
                  <w:tcBorders>
                    <w:tl2br w:val="nil"/>
                    <w:tr2bl w:val="nil"/>
                  </w:tcBorders>
                  <w:vAlign w:val="center"/>
                </w:tcPr>
                <w:p w14:paraId="485784A6">
                  <w:pPr>
                    <w:pStyle w:val="131"/>
                    <w:rPr>
                      <w:rFonts w:hint="default" w:ascii="Times New Roman" w:hAnsi="Times New Roman" w:cs="Times New Roman"/>
                      <w:color w:val="auto"/>
                    </w:rPr>
                  </w:pPr>
                  <w:r>
                    <w:rPr>
                      <w:rFonts w:hint="default" w:ascii="Times New Roman" w:hAnsi="Times New Roman" w:cs="Times New Roman"/>
                      <w:color w:val="auto"/>
                    </w:rPr>
                    <w:t>2</w:t>
                  </w:r>
                </w:p>
              </w:tc>
              <w:tc>
                <w:tcPr>
                  <w:tcW w:w="782" w:type="pct"/>
                  <w:tcBorders>
                    <w:tl2br w:val="nil"/>
                    <w:tr2bl w:val="nil"/>
                  </w:tcBorders>
                  <w:vAlign w:val="center"/>
                </w:tcPr>
                <w:p w14:paraId="64195205">
                  <w:pPr>
                    <w:pStyle w:val="131"/>
                    <w:rPr>
                      <w:rFonts w:hint="default" w:ascii="Times New Roman" w:hAnsi="Times New Roman" w:cs="Times New Roman"/>
                      <w:color w:val="auto"/>
                    </w:rPr>
                  </w:pPr>
                  <w:r>
                    <w:rPr>
                      <w:rFonts w:hint="default" w:ascii="Times New Roman" w:hAnsi="Times New Roman" w:cs="Times New Roman"/>
                      <w:color w:val="auto"/>
                    </w:rPr>
                    <w:t>2</w:t>
                  </w:r>
                </w:p>
              </w:tc>
            </w:tr>
            <w:tr w14:paraId="2E737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2E08877F">
                  <w:pPr>
                    <w:pStyle w:val="131"/>
                    <w:rPr>
                      <w:rFonts w:hint="default" w:ascii="Times New Roman" w:hAnsi="Times New Roman" w:cs="Times New Roman"/>
                      <w:color w:val="auto"/>
                    </w:rPr>
                  </w:pPr>
                  <w:r>
                    <w:rPr>
                      <w:rFonts w:hint="default" w:ascii="Times New Roman" w:hAnsi="Times New Roman" w:cs="Times New Roman"/>
                      <w:color w:val="auto"/>
                    </w:rPr>
                    <w:t>35</w:t>
                  </w:r>
                </w:p>
              </w:tc>
              <w:tc>
                <w:tcPr>
                  <w:tcW w:w="742" w:type="pct"/>
                  <w:vMerge w:val="continue"/>
                  <w:tcBorders>
                    <w:tl2br w:val="nil"/>
                    <w:tr2bl w:val="nil"/>
                  </w:tcBorders>
                  <w:vAlign w:val="center"/>
                </w:tcPr>
                <w:p w14:paraId="12BE8771">
                  <w:pPr>
                    <w:pStyle w:val="131"/>
                    <w:rPr>
                      <w:rFonts w:hint="default" w:ascii="Times New Roman" w:hAnsi="Times New Roman" w:cs="Times New Roman"/>
                      <w:color w:val="auto"/>
                    </w:rPr>
                  </w:pPr>
                </w:p>
              </w:tc>
              <w:tc>
                <w:tcPr>
                  <w:tcW w:w="1661" w:type="pct"/>
                  <w:tcBorders>
                    <w:tl2br w:val="nil"/>
                    <w:tr2bl w:val="nil"/>
                  </w:tcBorders>
                  <w:vAlign w:val="center"/>
                </w:tcPr>
                <w:p w14:paraId="698D3407">
                  <w:pPr>
                    <w:pStyle w:val="131"/>
                    <w:jc w:val="both"/>
                    <w:rPr>
                      <w:rFonts w:hint="default" w:ascii="Times New Roman" w:hAnsi="Times New Roman" w:cs="Times New Roman"/>
                      <w:color w:val="auto"/>
                    </w:rPr>
                  </w:pPr>
                  <w:r>
                    <w:rPr>
                      <w:rFonts w:hint="default" w:ascii="Times New Roman" w:hAnsi="Times New Roman" w:cs="Times New Roman"/>
                      <w:color w:val="auto"/>
                    </w:rPr>
                    <w:t>LZ/600 直进式拉丝机-37kW</w:t>
                  </w:r>
                </w:p>
              </w:tc>
              <w:tc>
                <w:tcPr>
                  <w:tcW w:w="695" w:type="pct"/>
                  <w:tcBorders>
                    <w:tl2br w:val="nil"/>
                    <w:tr2bl w:val="nil"/>
                  </w:tcBorders>
                  <w:vAlign w:val="center"/>
                </w:tcPr>
                <w:p w14:paraId="3BFE58A3">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596" w:type="pct"/>
                  <w:tcBorders>
                    <w:tl2br w:val="nil"/>
                    <w:tr2bl w:val="nil"/>
                  </w:tcBorders>
                  <w:vAlign w:val="center"/>
                </w:tcPr>
                <w:p w14:paraId="6DD960D5">
                  <w:pPr>
                    <w:pStyle w:val="131"/>
                    <w:rPr>
                      <w:rFonts w:hint="default" w:ascii="Times New Roman" w:hAnsi="Times New Roman" w:cs="Times New Roman"/>
                      <w:color w:val="auto"/>
                    </w:rPr>
                  </w:pPr>
                  <w:r>
                    <w:rPr>
                      <w:rFonts w:hint="default" w:ascii="Times New Roman" w:hAnsi="Times New Roman" w:cs="Times New Roman"/>
                      <w:color w:val="auto"/>
                    </w:rPr>
                    <w:t>8</w:t>
                  </w:r>
                </w:p>
              </w:tc>
              <w:tc>
                <w:tcPr>
                  <w:tcW w:w="782" w:type="pct"/>
                  <w:tcBorders>
                    <w:tl2br w:val="nil"/>
                    <w:tr2bl w:val="nil"/>
                  </w:tcBorders>
                  <w:vAlign w:val="center"/>
                </w:tcPr>
                <w:p w14:paraId="55DAB5BD">
                  <w:pPr>
                    <w:pStyle w:val="131"/>
                    <w:rPr>
                      <w:rFonts w:hint="default" w:ascii="Times New Roman" w:hAnsi="Times New Roman" w:cs="Times New Roman"/>
                      <w:color w:val="auto"/>
                    </w:rPr>
                  </w:pPr>
                  <w:r>
                    <w:rPr>
                      <w:rFonts w:hint="default" w:ascii="Times New Roman" w:hAnsi="Times New Roman" w:cs="Times New Roman"/>
                      <w:color w:val="auto"/>
                    </w:rPr>
                    <w:t>8</w:t>
                  </w:r>
                </w:p>
              </w:tc>
            </w:tr>
            <w:tr w14:paraId="15D1A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21" w:type="pct"/>
                  <w:tcBorders>
                    <w:tl2br w:val="nil"/>
                    <w:tr2bl w:val="nil"/>
                  </w:tcBorders>
                  <w:vAlign w:val="center"/>
                </w:tcPr>
                <w:p w14:paraId="07000DB5">
                  <w:pPr>
                    <w:pStyle w:val="131"/>
                    <w:rPr>
                      <w:rFonts w:hint="default" w:ascii="Times New Roman" w:hAnsi="Times New Roman" w:cs="Times New Roman"/>
                      <w:color w:val="auto"/>
                    </w:rPr>
                  </w:pPr>
                  <w:r>
                    <w:rPr>
                      <w:rFonts w:hint="default" w:ascii="Times New Roman" w:hAnsi="Times New Roman" w:cs="Times New Roman"/>
                      <w:color w:val="auto"/>
                    </w:rPr>
                    <w:t>36</w:t>
                  </w:r>
                </w:p>
              </w:tc>
              <w:tc>
                <w:tcPr>
                  <w:tcW w:w="742" w:type="pct"/>
                  <w:vMerge w:val="continue"/>
                  <w:tcBorders>
                    <w:tl2br w:val="nil"/>
                    <w:tr2bl w:val="nil"/>
                  </w:tcBorders>
                  <w:vAlign w:val="center"/>
                </w:tcPr>
                <w:p w14:paraId="36B50AEB">
                  <w:pPr>
                    <w:pStyle w:val="131"/>
                    <w:rPr>
                      <w:rFonts w:hint="default" w:ascii="Times New Roman" w:hAnsi="Times New Roman" w:cs="Times New Roman"/>
                      <w:color w:val="auto"/>
                    </w:rPr>
                  </w:pPr>
                </w:p>
              </w:tc>
              <w:tc>
                <w:tcPr>
                  <w:tcW w:w="1661" w:type="pct"/>
                  <w:tcBorders>
                    <w:tl2br w:val="nil"/>
                    <w:tr2bl w:val="nil"/>
                  </w:tcBorders>
                  <w:vAlign w:val="center"/>
                </w:tcPr>
                <w:p w14:paraId="11894626">
                  <w:pPr>
                    <w:pStyle w:val="131"/>
                    <w:jc w:val="both"/>
                    <w:rPr>
                      <w:rFonts w:hint="default" w:ascii="Times New Roman" w:hAnsi="Times New Roman" w:cs="Times New Roman"/>
                      <w:color w:val="auto"/>
                    </w:rPr>
                  </w:pPr>
                  <w:r>
                    <w:rPr>
                      <w:rFonts w:hint="default" w:ascii="Times New Roman" w:hAnsi="Times New Roman" w:cs="Times New Roman"/>
                      <w:color w:val="auto"/>
                    </w:rPr>
                    <w:t>XB600象鼻式收线机-37kW</w:t>
                  </w:r>
                </w:p>
              </w:tc>
              <w:tc>
                <w:tcPr>
                  <w:tcW w:w="695" w:type="pct"/>
                  <w:tcBorders>
                    <w:tl2br w:val="nil"/>
                    <w:tr2bl w:val="nil"/>
                  </w:tcBorders>
                  <w:vAlign w:val="center"/>
                </w:tcPr>
                <w:p w14:paraId="15414BF0">
                  <w:pPr>
                    <w:pStyle w:val="131"/>
                    <w:rPr>
                      <w:rFonts w:hint="default" w:ascii="Times New Roman" w:hAnsi="Times New Roman" w:cs="Times New Roman"/>
                      <w:color w:val="auto"/>
                    </w:rPr>
                  </w:pPr>
                  <w:r>
                    <w:rPr>
                      <w:rFonts w:hint="default" w:ascii="Times New Roman" w:hAnsi="Times New Roman" w:cs="Times New Roman"/>
                      <w:color w:val="auto"/>
                    </w:rPr>
                    <w:t>/</w:t>
                  </w:r>
                </w:p>
              </w:tc>
              <w:tc>
                <w:tcPr>
                  <w:tcW w:w="596" w:type="pct"/>
                  <w:tcBorders>
                    <w:tl2br w:val="nil"/>
                    <w:tr2bl w:val="nil"/>
                  </w:tcBorders>
                  <w:vAlign w:val="center"/>
                </w:tcPr>
                <w:p w14:paraId="1D7DB935">
                  <w:pPr>
                    <w:pStyle w:val="131"/>
                    <w:rPr>
                      <w:rFonts w:hint="default" w:ascii="Times New Roman" w:hAnsi="Times New Roman" w:cs="Times New Roman"/>
                      <w:color w:val="auto"/>
                    </w:rPr>
                  </w:pPr>
                  <w:r>
                    <w:rPr>
                      <w:rFonts w:hint="default" w:ascii="Times New Roman" w:hAnsi="Times New Roman" w:cs="Times New Roman"/>
                      <w:color w:val="auto"/>
                    </w:rPr>
                    <w:t>2</w:t>
                  </w:r>
                </w:p>
              </w:tc>
              <w:tc>
                <w:tcPr>
                  <w:tcW w:w="782" w:type="pct"/>
                  <w:tcBorders>
                    <w:tl2br w:val="nil"/>
                    <w:tr2bl w:val="nil"/>
                  </w:tcBorders>
                  <w:vAlign w:val="center"/>
                </w:tcPr>
                <w:p w14:paraId="6C06FD84">
                  <w:pPr>
                    <w:pStyle w:val="131"/>
                    <w:rPr>
                      <w:rFonts w:hint="default" w:ascii="Times New Roman" w:hAnsi="Times New Roman" w:cs="Times New Roman"/>
                      <w:color w:val="auto"/>
                    </w:rPr>
                  </w:pPr>
                  <w:r>
                    <w:rPr>
                      <w:rFonts w:hint="default" w:ascii="Times New Roman" w:hAnsi="Times New Roman" w:cs="Times New Roman"/>
                      <w:color w:val="auto"/>
                    </w:rPr>
                    <w:t>2</w:t>
                  </w:r>
                </w:p>
              </w:tc>
            </w:tr>
          </w:tbl>
          <w:p w14:paraId="1E885AAD">
            <w:pPr>
              <w:pStyle w:val="41"/>
              <w:keepNext w:val="0"/>
              <w:keepLines w:val="0"/>
              <w:pageBreakBefore w:val="0"/>
              <w:widowControl w:val="0"/>
              <w:kinsoku/>
              <w:wordWrap/>
              <w:overflowPunct/>
              <w:topLinePunct w:val="0"/>
              <w:autoSpaceDE/>
              <w:autoSpaceDN/>
              <w:bidi w:val="0"/>
              <w:adjustRightInd w:val="0"/>
              <w:snapToGrid w:val="0"/>
              <w:spacing w:before="190" w:beforeLines="50" w:beforeAutospacing="0" w:after="0" w:afterAutospacing="0"/>
              <w:ind w:firstLine="480"/>
              <w:textAlignment w:val="auto"/>
              <w:rPr>
                <w:rFonts w:hint="default" w:ascii="Times New Roman" w:hAnsi="Times New Roman" w:cs="Times New Roman"/>
                <w:color w:val="auto"/>
              </w:rPr>
            </w:pPr>
            <w:r>
              <w:rPr>
                <w:rFonts w:hint="default" w:ascii="Times New Roman" w:hAnsi="Times New Roman" w:cs="Times New Roman"/>
                <w:color w:val="auto"/>
              </w:rPr>
              <w:t>（5）总平面布置</w:t>
            </w:r>
          </w:p>
          <w:p w14:paraId="55FDD845">
            <w:pPr>
              <w:pStyle w:val="41"/>
              <w:adjustRightInd w:val="0"/>
              <w:snapToGrid w:val="0"/>
              <w:spacing w:before="0" w:beforeAutospacing="0" w:after="0" w:afterAutospacing="0"/>
              <w:ind w:firstLine="480"/>
              <w:rPr>
                <w:rFonts w:hint="default" w:ascii="Times New Roman" w:hAnsi="Times New Roman" w:cs="Times New Roman"/>
                <w:color w:val="auto"/>
              </w:rPr>
            </w:pPr>
            <w:r>
              <w:rPr>
                <w:rFonts w:hint="default" w:ascii="Times New Roman" w:hAnsi="Times New Roman" w:cs="Times New Roman"/>
                <w:color w:val="auto"/>
              </w:rPr>
              <w:t>现有工程厂区平面布置图见</w:t>
            </w:r>
            <w:r>
              <w:rPr>
                <w:rFonts w:hint="default" w:ascii="Times New Roman" w:hAnsi="Times New Roman" w:cs="Times New Roman"/>
                <w:color w:val="auto"/>
                <w:lang w:val="en-US" w:eastAsia="zh-CN"/>
              </w:rPr>
              <w:t>附</w:t>
            </w:r>
            <w:r>
              <w:rPr>
                <w:rFonts w:hint="default" w:ascii="Times New Roman" w:hAnsi="Times New Roman" w:cs="Times New Roman"/>
                <w:color w:val="auto"/>
              </w:rPr>
              <w:t>图</w:t>
            </w:r>
            <w:r>
              <w:rPr>
                <w:rFonts w:hint="default" w:ascii="Times New Roman" w:hAnsi="Times New Roman" w:cs="Times New Roman"/>
                <w:color w:val="auto"/>
                <w:lang w:val="en-US" w:eastAsia="zh-CN"/>
              </w:rPr>
              <w:t>六</w:t>
            </w:r>
            <w:r>
              <w:rPr>
                <w:rFonts w:hint="default" w:ascii="Times New Roman" w:hAnsi="Times New Roman" w:cs="Times New Roman"/>
                <w:color w:val="auto"/>
              </w:rPr>
              <w:t>。</w:t>
            </w:r>
          </w:p>
          <w:p w14:paraId="3ACDDA03">
            <w:pPr>
              <w:pStyle w:val="41"/>
              <w:adjustRightInd w:val="0"/>
              <w:snapToGrid w:val="0"/>
              <w:spacing w:before="0" w:beforeAutospacing="0" w:after="0" w:afterAutospacing="0"/>
              <w:ind w:firstLine="480"/>
              <w:rPr>
                <w:rFonts w:hint="default" w:ascii="Times New Roman" w:hAnsi="Times New Roman" w:cs="Times New Roman"/>
                <w:color w:val="auto"/>
              </w:rPr>
            </w:pPr>
            <w:r>
              <w:rPr>
                <w:rFonts w:hint="default" w:ascii="Times New Roman" w:hAnsi="Times New Roman" w:cs="Times New Roman"/>
                <w:color w:val="auto"/>
              </w:rPr>
              <w:t>（6）在建工程污染物排放情况</w:t>
            </w:r>
          </w:p>
          <w:p w14:paraId="457DA134">
            <w:pPr>
              <w:pStyle w:val="41"/>
              <w:adjustRightInd w:val="0"/>
              <w:snapToGrid w:val="0"/>
              <w:spacing w:before="0" w:beforeAutospacing="0" w:after="0" w:afterAutospacing="0"/>
              <w:ind w:firstLine="480"/>
              <w:rPr>
                <w:rFonts w:hint="default" w:ascii="Times New Roman" w:hAnsi="Times New Roman" w:cs="Times New Roman"/>
                <w:color w:val="auto"/>
                <w:szCs w:val="24"/>
              </w:rPr>
            </w:pPr>
            <w:r>
              <w:rPr>
                <w:rFonts w:hint="default" w:ascii="Times New Roman" w:hAnsi="Times New Roman" w:cs="Times New Roman"/>
                <w:color w:val="auto"/>
              </w:rPr>
              <w:t>2026年2月</w:t>
            </w:r>
            <w:r>
              <w:rPr>
                <w:rFonts w:hint="default" w:ascii="Times New Roman" w:hAnsi="Times New Roman" w:cs="Times New Roman"/>
                <w:color w:val="auto"/>
                <w:szCs w:val="21"/>
              </w:rPr>
              <w:t>三明市</w:t>
            </w:r>
            <w:r>
              <w:rPr>
                <w:rFonts w:hint="default" w:ascii="Times New Roman" w:hAnsi="Times New Roman" w:cs="Times New Roman"/>
                <w:color w:val="auto"/>
              </w:rPr>
              <w:t>沙县生态环境局以明环评沙函〔2026〕1号）对《明光新型钢丝生产线项目环境影响报告表》出具批复，拟扩建3条钢丝生产线，新增年产1.55万吨钢丝，项目目前正在建设中。由于</w:t>
            </w:r>
            <w:r>
              <w:rPr>
                <w:rFonts w:hint="default" w:ascii="Times New Roman" w:hAnsi="Times New Roman" w:cs="Times New Roman"/>
                <w:color w:val="auto"/>
                <w:szCs w:val="24"/>
              </w:rPr>
              <w:t>在建工程未排污，其污染物排放情况取自</w:t>
            </w:r>
            <w:r>
              <w:rPr>
                <w:rFonts w:hint="default" w:ascii="Times New Roman" w:hAnsi="Times New Roman" w:cs="Times New Roman"/>
                <w:color w:val="auto"/>
              </w:rPr>
              <w:t>《明光新型钢丝生产线项目环境影响报告表》</w:t>
            </w:r>
            <w:r>
              <w:rPr>
                <w:rFonts w:hint="default" w:ascii="Times New Roman" w:hAnsi="Times New Roman" w:cs="Times New Roman"/>
                <w:color w:val="auto"/>
                <w:szCs w:val="24"/>
              </w:rPr>
              <w:t>：</w:t>
            </w:r>
          </w:p>
          <w:p w14:paraId="08A93FF3">
            <w:pPr>
              <w:pStyle w:val="41"/>
              <w:keepNext w:val="0"/>
              <w:keepLines w:val="0"/>
              <w:pageBreakBefore w:val="0"/>
              <w:widowControl w:val="0"/>
              <w:kinsoku/>
              <w:wordWrap/>
              <w:overflowPunct/>
              <w:topLinePunct w:val="0"/>
              <w:autoSpaceDE/>
              <w:autoSpaceDN/>
              <w:bidi w:val="0"/>
              <w:adjustRightInd w:val="0"/>
              <w:snapToGrid w:val="0"/>
              <w:spacing w:before="115" w:beforeLines="30" w:beforeAutospacing="0" w:after="0" w:afterAutospacing="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①废水</w:t>
            </w:r>
          </w:p>
          <w:p w14:paraId="43F9096F">
            <w:pPr>
              <w:pStyle w:val="10"/>
              <w:keepNext w:val="0"/>
              <w:keepLines w:val="0"/>
              <w:pageBreakBefore w:val="0"/>
              <w:widowControl w:val="0"/>
              <w:tabs>
                <w:tab w:val="left" w:pos="1512"/>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2"/>
              </w:rPr>
            </w:pPr>
            <w:r>
              <w:rPr>
                <w:rFonts w:hint="default" w:ascii="Times New Roman" w:hAnsi="Times New Roman" w:cs="Times New Roman"/>
                <w:color w:val="auto"/>
                <w:kern w:val="0"/>
                <w:sz w:val="24"/>
                <w:szCs w:val="22"/>
              </w:rPr>
              <w:t>在建项目无生产废水外排，项目不新增职工，不新增生活污水。废水污染物排放同现有已建工程。</w:t>
            </w:r>
          </w:p>
          <w:p w14:paraId="1167BFF6">
            <w:pPr>
              <w:pStyle w:val="10"/>
              <w:keepNext w:val="0"/>
              <w:keepLines w:val="0"/>
              <w:pageBreakBefore w:val="0"/>
              <w:widowControl w:val="0"/>
              <w:tabs>
                <w:tab w:val="left" w:pos="1512"/>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2"/>
              </w:rPr>
            </w:pPr>
            <w:r>
              <w:rPr>
                <w:rFonts w:hint="default" w:ascii="Times New Roman" w:hAnsi="Times New Roman" w:cs="Times New Roman"/>
                <w:color w:val="auto"/>
                <w:kern w:val="0"/>
                <w:sz w:val="24"/>
                <w:szCs w:val="22"/>
              </w:rPr>
              <w:t>②废气</w:t>
            </w:r>
          </w:p>
          <w:p w14:paraId="6D36FED9">
            <w:pPr>
              <w:pStyle w:val="10"/>
              <w:keepNext w:val="0"/>
              <w:keepLines w:val="0"/>
              <w:pageBreakBefore w:val="0"/>
              <w:widowControl w:val="0"/>
              <w:tabs>
                <w:tab w:val="left" w:pos="1512"/>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2"/>
              </w:rPr>
            </w:pPr>
            <w:r>
              <w:rPr>
                <w:rFonts w:hint="default" w:ascii="Times New Roman" w:hAnsi="Times New Roman" w:cs="Times New Roman"/>
                <w:color w:val="auto"/>
                <w:kern w:val="0"/>
                <w:sz w:val="24"/>
                <w:szCs w:val="22"/>
              </w:rPr>
              <w:t>在建项目生产过程中废气产生环节主要为剥壳除锈、打磨工序产生的废气。公司将各设备安装在密闭车间内，不露天作业，生产设备密闭并配套2台侧吸式集尘设施，废气收集至“滤筒除尘器”处理后在车间内沉降后无组织排放。项目废气无组织排放源强见表2.4-11。</w:t>
            </w:r>
          </w:p>
          <w:p w14:paraId="6DCD2CFA">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lang w:val="en-GB"/>
              </w:rPr>
            </w:pPr>
            <w:r>
              <w:rPr>
                <w:rFonts w:hint="default" w:ascii="Times New Roman" w:hAnsi="Times New Roman" w:eastAsia="黑体" w:cs="Times New Roman"/>
                <w:b w:val="0"/>
                <w:bCs/>
                <w:color w:val="auto"/>
                <w:lang w:val="en-GB"/>
              </w:rPr>
              <w:t>表</w:t>
            </w:r>
            <w:r>
              <w:rPr>
                <w:rFonts w:hint="default" w:ascii="Times New Roman" w:hAnsi="Times New Roman" w:eastAsia="黑体" w:cs="Times New Roman"/>
                <w:b w:val="0"/>
                <w:bCs/>
                <w:color w:val="auto"/>
              </w:rPr>
              <w:t>2.4-11</w:t>
            </w:r>
            <w:r>
              <w:rPr>
                <w:rFonts w:hint="default" w:ascii="Times New Roman" w:hAnsi="Times New Roman" w:eastAsia="黑体" w:cs="Times New Roman"/>
                <w:b w:val="0"/>
                <w:bCs/>
                <w:color w:val="auto"/>
                <w:lang w:val="en-GB"/>
              </w:rPr>
              <w:t xml:space="preserve"> </w:t>
            </w:r>
            <w:r>
              <w:rPr>
                <w:rFonts w:hint="eastAsia" w:eastAsia="黑体" w:cs="Times New Roman"/>
                <w:b w:val="0"/>
                <w:bCs/>
                <w:color w:val="auto"/>
                <w:lang w:val="en-US" w:eastAsia="zh-CN"/>
              </w:rPr>
              <w:t xml:space="preserve"> </w:t>
            </w:r>
            <w:r>
              <w:rPr>
                <w:rFonts w:hint="default" w:ascii="Times New Roman" w:hAnsi="Times New Roman" w:eastAsia="黑体" w:cs="Times New Roman"/>
                <w:b w:val="0"/>
                <w:bCs/>
                <w:color w:val="auto"/>
                <w:lang w:val="en-GB"/>
              </w:rPr>
              <w:t>废气污染物无组织排放源</w:t>
            </w:r>
            <w:r>
              <w:rPr>
                <w:rFonts w:hint="default" w:ascii="Times New Roman" w:hAnsi="Times New Roman" w:eastAsia="黑体" w:cs="Times New Roman"/>
                <w:b w:val="0"/>
                <w:bCs/>
                <w:color w:val="auto"/>
              </w:rPr>
              <w:t>一览表</w:t>
            </w:r>
          </w:p>
          <w:tbl>
            <w:tblPr>
              <w:tblStyle w:val="34"/>
              <w:tblW w:w="4998"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28" w:type="dxa"/>
                <w:bottom w:w="0" w:type="dxa"/>
                <w:right w:w="28" w:type="dxa"/>
              </w:tblCellMar>
            </w:tblPr>
            <w:tblGrid>
              <w:gridCol w:w="1275"/>
              <w:gridCol w:w="3070"/>
              <w:gridCol w:w="2406"/>
              <w:gridCol w:w="1876"/>
            </w:tblGrid>
            <w:tr w14:paraId="6ADE888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63" w:hRule="atLeast"/>
              </w:trPr>
              <w:tc>
                <w:tcPr>
                  <w:tcW w:w="739" w:type="pct"/>
                  <w:vMerge w:val="restart"/>
                  <w:vAlign w:val="center"/>
                </w:tcPr>
                <w:p w14:paraId="37042E94">
                  <w:pPr>
                    <w:keepNext w:val="0"/>
                    <w:keepLines w:val="0"/>
                    <w:pageBreakBefore w:val="0"/>
                    <w:widowControl w:val="0"/>
                    <w:kinsoku/>
                    <w:wordWrap/>
                    <w:overflowPunct/>
                    <w:topLinePunct w:val="0"/>
                    <w:autoSpaceDE/>
                    <w:autoSpaceDN/>
                    <w:bidi w:val="0"/>
                    <w:adjustRightInd/>
                    <w:snapToGrid w:val="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产污环节</w:t>
                  </w:r>
                </w:p>
              </w:tc>
              <w:tc>
                <w:tcPr>
                  <w:tcW w:w="1779" w:type="pct"/>
                  <w:vMerge w:val="restart"/>
                  <w:vAlign w:val="center"/>
                </w:tcPr>
                <w:p w14:paraId="4EF4BCAC">
                  <w:pPr>
                    <w:keepNext w:val="0"/>
                    <w:keepLines w:val="0"/>
                    <w:pageBreakBefore w:val="0"/>
                    <w:widowControl w:val="0"/>
                    <w:kinsoku/>
                    <w:wordWrap/>
                    <w:overflowPunct/>
                    <w:topLinePunct w:val="0"/>
                    <w:autoSpaceDE/>
                    <w:autoSpaceDN/>
                    <w:bidi w:val="0"/>
                    <w:adjustRightInd/>
                    <w:snapToGrid w:val="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污染物种类</w:t>
                  </w:r>
                </w:p>
              </w:tc>
              <w:tc>
                <w:tcPr>
                  <w:tcW w:w="2481" w:type="pct"/>
                  <w:gridSpan w:val="2"/>
                  <w:vAlign w:val="center"/>
                </w:tcPr>
                <w:p w14:paraId="043DBD36">
                  <w:pPr>
                    <w:keepNext w:val="0"/>
                    <w:keepLines w:val="0"/>
                    <w:pageBreakBefore w:val="0"/>
                    <w:widowControl w:val="0"/>
                    <w:kinsoku/>
                    <w:wordWrap/>
                    <w:overflowPunct/>
                    <w:topLinePunct w:val="0"/>
                    <w:autoSpaceDE/>
                    <w:autoSpaceDN/>
                    <w:bidi w:val="0"/>
                    <w:adjustRightInd/>
                    <w:snapToGrid w:val="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排放情况</w:t>
                  </w:r>
                </w:p>
              </w:tc>
            </w:tr>
            <w:tr w14:paraId="5A35075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63" w:hRule="atLeast"/>
              </w:trPr>
              <w:tc>
                <w:tcPr>
                  <w:tcW w:w="739" w:type="pct"/>
                  <w:vMerge w:val="continue"/>
                  <w:vAlign w:val="center"/>
                </w:tcPr>
                <w:p w14:paraId="1D3EAC5A">
                  <w:pPr>
                    <w:keepNext w:val="0"/>
                    <w:keepLines w:val="0"/>
                    <w:pageBreakBefore w:val="0"/>
                    <w:widowControl w:val="0"/>
                    <w:kinsoku/>
                    <w:wordWrap/>
                    <w:overflowPunct/>
                    <w:topLinePunct w:val="0"/>
                    <w:autoSpaceDE/>
                    <w:autoSpaceDN/>
                    <w:bidi w:val="0"/>
                    <w:adjustRightInd/>
                    <w:snapToGrid w:val="0"/>
                    <w:jc w:val="center"/>
                    <w:rPr>
                      <w:rFonts w:hint="default" w:ascii="Times New Roman" w:hAnsi="Times New Roman" w:cs="Times New Roman"/>
                      <w:b w:val="0"/>
                      <w:bCs w:val="0"/>
                      <w:color w:val="auto"/>
                      <w:sz w:val="21"/>
                      <w:szCs w:val="21"/>
                    </w:rPr>
                  </w:pPr>
                </w:p>
              </w:tc>
              <w:tc>
                <w:tcPr>
                  <w:tcW w:w="1779" w:type="pct"/>
                  <w:vMerge w:val="continue"/>
                  <w:vAlign w:val="center"/>
                </w:tcPr>
                <w:p w14:paraId="6B830C85">
                  <w:pPr>
                    <w:keepNext w:val="0"/>
                    <w:keepLines w:val="0"/>
                    <w:pageBreakBefore w:val="0"/>
                    <w:widowControl w:val="0"/>
                    <w:kinsoku/>
                    <w:wordWrap/>
                    <w:overflowPunct/>
                    <w:topLinePunct w:val="0"/>
                    <w:autoSpaceDE/>
                    <w:autoSpaceDN/>
                    <w:bidi w:val="0"/>
                    <w:adjustRightInd/>
                    <w:snapToGrid w:val="0"/>
                    <w:jc w:val="center"/>
                    <w:rPr>
                      <w:rFonts w:hint="default" w:ascii="Times New Roman" w:hAnsi="Times New Roman" w:cs="Times New Roman"/>
                      <w:b w:val="0"/>
                      <w:bCs w:val="0"/>
                      <w:color w:val="auto"/>
                      <w:sz w:val="21"/>
                      <w:szCs w:val="21"/>
                    </w:rPr>
                  </w:pPr>
                </w:p>
              </w:tc>
              <w:tc>
                <w:tcPr>
                  <w:tcW w:w="1394" w:type="pct"/>
                  <w:vAlign w:val="center"/>
                </w:tcPr>
                <w:p w14:paraId="753E9410">
                  <w:pPr>
                    <w:keepNext w:val="0"/>
                    <w:keepLines w:val="0"/>
                    <w:pageBreakBefore w:val="0"/>
                    <w:widowControl w:val="0"/>
                    <w:kinsoku/>
                    <w:wordWrap/>
                    <w:overflowPunct/>
                    <w:topLinePunct w:val="0"/>
                    <w:autoSpaceDE/>
                    <w:autoSpaceDN/>
                    <w:bidi w:val="0"/>
                    <w:adjustRightInd/>
                    <w:snapToGrid w:val="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排放速率（kg/h）</w:t>
                  </w:r>
                </w:p>
              </w:tc>
              <w:tc>
                <w:tcPr>
                  <w:tcW w:w="1086" w:type="pct"/>
                  <w:vAlign w:val="center"/>
                </w:tcPr>
                <w:p w14:paraId="5DE0893A">
                  <w:pPr>
                    <w:keepNext w:val="0"/>
                    <w:keepLines w:val="0"/>
                    <w:pageBreakBefore w:val="0"/>
                    <w:widowControl w:val="0"/>
                    <w:kinsoku/>
                    <w:wordWrap/>
                    <w:overflowPunct/>
                    <w:topLinePunct w:val="0"/>
                    <w:autoSpaceDE/>
                    <w:autoSpaceDN/>
                    <w:bidi w:val="0"/>
                    <w:adjustRightInd/>
                    <w:snapToGrid w:val="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排放量（t/a）</w:t>
                  </w:r>
                </w:p>
              </w:tc>
            </w:tr>
            <w:tr w14:paraId="1FD7F3B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63" w:hRule="atLeast"/>
              </w:trPr>
              <w:tc>
                <w:tcPr>
                  <w:tcW w:w="739" w:type="pct"/>
                  <w:vMerge w:val="continue"/>
                  <w:vAlign w:val="center"/>
                </w:tcPr>
                <w:p w14:paraId="56BB5F13">
                  <w:pPr>
                    <w:keepNext w:val="0"/>
                    <w:keepLines w:val="0"/>
                    <w:pageBreakBefore w:val="0"/>
                    <w:widowControl w:val="0"/>
                    <w:kinsoku/>
                    <w:wordWrap/>
                    <w:overflowPunct/>
                    <w:topLinePunct w:val="0"/>
                    <w:autoSpaceDE/>
                    <w:autoSpaceDN/>
                    <w:bidi w:val="0"/>
                    <w:adjustRightInd/>
                    <w:snapToGrid w:val="0"/>
                    <w:jc w:val="center"/>
                    <w:rPr>
                      <w:rFonts w:hint="default" w:ascii="Times New Roman" w:hAnsi="Times New Roman" w:cs="Times New Roman"/>
                      <w:b w:val="0"/>
                      <w:bCs w:val="0"/>
                      <w:color w:val="auto"/>
                      <w:kern w:val="0"/>
                      <w:sz w:val="21"/>
                      <w:szCs w:val="21"/>
                      <w:lang w:val="en-GB"/>
                    </w:rPr>
                  </w:pPr>
                </w:p>
              </w:tc>
              <w:tc>
                <w:tcPr>
                  <w:tcW w:w="1779" w:type="pct"/>
                  <w:vAlign w:val="center"/>
                </w:tcPr>
                <w:p w14:paraId="533E6459">
                  <w:pPr>
                    <w:keepNext w:val="0"/>
                    <w:keepLines w:val="0"/>
                    <w:pageBreakBefore w:val="0"/>
                    <w:widowControl w:val="0"/>
                    <w:kinsoku/>
                    <w:wordWrap/>
                    <w:overflowPunct/>
                    <w:topLinePunct w:val="0"/>
                    <w:autoSpaceDE/>
                    <w:autoSpaceDN/>
                    <w:bidi w:val="0"/>
                    <w:adjustRightInd/>
                    <w:snapToGrid w:val="0"/>
                    <w:jc w:val="center"/>
                    <w:rPr>
                      <w:rFonts w:hint="default" w:ascii="Times New Roman" w:hAnsi="Times New Roman" w:cs="Times New Roman"/>
                      <w:b w:val="0"/>
                      <w:bCs w:val="0"/>
                      <w:color w:val="auto"/>
                      <w:kern w:val="0"/>
                      <w:sz w:val="21"/>
                      <w:szCs w:val="21"/>
                    </w:rPr>
                  </w:pPr>
                  <w:r>
                    <w:rPr>
                      <w:rFonts w:hint="default" w:ascii="Times New Roman" w:hAnsi="Times New Roman" w:cs="Times New Roman"/>
                      <w:b w:val="0"/>
                      <w:bCs w:val="0"/>
                      <w:color w:val="auto"/>
                      <w:kern w:val="0"/>
                      <w:sz w:val="21"/>
                      <w:szCs w:val="21"/>
                    </w:rPr>
                    <w:t>剥壳除锈、打磨颗粒物</w:t>
                  </w:r>
                </w:p>
              </w:tc>
              <w:tc>
                <w:tcPr>
                  <w:tcW w:w="1394" w:type="pct"/>
                  <w:vAlign w:val="center"/>
                </w:tcPr>
                <w:p w14:paraId="29EF92E4">
                  <w:pPr>
                    <w:keepNext w:val="0"/>
                    <w:keepLines w:val="0"/>
                    <w:pageBreakBefore w:val="0"/>
                    <w:widowControl w:val="0"/>
                    <w:kinsoku/>
                    <w:wordWrap/>
                    <w:overflowPunct/>
                    <w:topLinePunct w:val="0"/>
                    <w:autoSpaceDE/>
                    <w:autoSpaceDN/>
                    <w:bidi w:val="0"/>
                    <w:adjustRightInd/>
                    <w:snapToGrid w:val="0"/>
                    <w:jc w:val="center"/>
                    <w:textAlignment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kern w:val="0"/>
                      <w:sz w:val="21"/>
                      <w:szCs w:val="21"/>
                      <w:lang w:bidi="ar"/>
                    </w:rPr>
                    <w:t>0.16</w:t>
                  </w:r>
                </w:p>
              </w:tc>
              <w:tc>
                <w:tcPr>
                  <w:tcW w:w="1086" w:type="pct"/>
                  <w:vAlign w:val="center"/>
                </w:tcPr>
                <w:p w14:paraId="3A4F0F58">
                  <w:pPr>
                    <w:keepNext w:val="0"/>
                    <w:keepLines w:val="0"/>
                    <w:pageBreakBefore w:val="0"/>
                    <w:widowControl w:val="0"/>
                    <w:kinsoku/>
                    <w:wordWrap/>
                    <w:overflowPunct/>
                    <w:topLinePunct w:val="0"/>
                    <w:autoSpaceDE/>
                    <w:autoSpaceDN/>
                    <w:bidi w:val="0"/>
                    <w:adjustRightInd/>
                    <w:snapToGrid w:val="0"/>
                    <w:jc w:val="center"/>
                    <w:textAlignment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kern w:val="0"/>
                      <w:sz w:val="21"/>
                      <w:szCs w:val="21"/>
                      <w:lang w:bidi="ar"/>
                    </w:rPr>
                    <w:t>0.42</w:t>
                  </w:r>
                </w:p>
              </w:tc>
            </w:tr>
          </w:tbl>
          <w:p w14:paraId="1904E884">
            <w:pPr>
              <w:pStyle w:val="10"/>
              <w:keepNext w:val="0"/>
              <w:keepLines w:val="0"/>
              <w:pageBreakBefore w:val="0"/>
              <w:widowControl w:val="0"/>
              <w:tabs>
                <w:tab w:val="left" w:pos="1512"/>
              </w:tabs>
              <w:kinsoku/>
              <w:wordWrap/>
              <w:overflowPunct/>
              <w:topLinePunct w:val="0"/>
              <w:autoSpaceDE/>
              <w:autoSpaceDN/>
              <w:bidi w:val="0"/>
              <w:adjustRightInd w:val="0"/>
              <w:snapToGrid w:val="0"/>
              <w:spacing w:before="190" w:beforeLines="50" w:line="360" w:lineRule="auto"/>
              <w:ind w:firstLine="480" w:firstLineChars="200"/>
              <w:textAlignment w:val="auto"/>
              <w:rPr>
                <w:rFonts w:hint="default" w:ascii="Times New Roman" w:hAnsi="Times New Roman" w:cs="Times New Roman"/>
                <w:color w:val="auto"/>
                <w:kern w:val="0"/>
                <w:sz w:val="24"/>
                <w:szCs w:val="22"/>
              </w:rPr>
            </w:pPr>
            <w:r>
              <w:rPr>
                <w:rFonts w:hint="default" w:ascii="Times New Roman" w:hAnsi="Times New Roman" w:cs="Times New Roman"/>
                <w:color w:val="auto"/>
                <w:kern w:val="0"/>
                <w:sz w:val="24"/>
                <w:szCs w:val="22"/>
              </w:rPr>
              <w:t>③噪声</w:t>
            </w:r>
          </w:p>
          <w:p w14:paraId="2FF9B797">
            <w:pPr>
              <w:pStyle w:val="41"/>
              <w:adjustRightInd w:val="0"/>
              <w:snapToGrid w:val="0"/>
              <w:spacing w:before="0" w:beforeAutospacing="0" w:after="0" w:afterAutospacing="0"/>
              <w:ind w:firstLine="480"/>
              <w:rPr>
                <w:rFonts w:hint="default" w:ascii="Times New Roman" w:hAnsi="Times New Roman" w:cs="Times New Roman"/>
                <w:color w:val="auto"/>
              </w:rPr>
            </w:pPr>
            <w:r>
              <w:rPr>
                <w:rFonts w:hint="default" w:ascii="Times New Roman" w:hAnsi="Times New Roman" w:cs="Times New Roman"/>
                <w:color w:val="auto"/>
              </w:rPr>
              <w:t>在建项目噪声源来自各设备运行噪声，主要包括剥壳机、砂带除锈机、拉丝机、风机，根据《明光新型钢丝生产线项目环境影响报告表》，</w:t>
            </w:r>
            <w:r>
              <w:rPr>
                <w:rStyle w:val="136"/>
                <w:rFonts w:hint="default" w:ascii="Times New Roman" w:hAnsi="Times New Roman" w:cs="Times New Roman"/>
                <w:color w:val="auto"/>
              </w:rPr>
              <w:t>通过采取设备减振、厂房隔声、绿化降噪等综合治理措施后，</w:t>
            </w:r>
            <w:r>
              <w:rPr>
                <w:rFonts w:hint="default" w:ascii="Times New Roman" w:hAnsi="Times New Roman" w:cs="Times New Roman"/>
                <w:color w:val="auto"/>
              </w:rPr>
              <w:t>厂界噪声影响预测结果：项目运营投产后厂界四周噪声均符合《工业企业厂界环境噪声排放标准》（GB12348-2008）3类标准。</w:t>
            </w:r>
          </w:p>
          <w:p w14:paraId="302D9D78">
            <w:pPr>
              <w:pStyle w:val="41"/>
              <w:adjustRightInd w:val="0"/>
              <w:snapToGrid w:val="0"/>
              <w:spacing w:before="0" w:beforeAutospacing="0" w:after="0" w:afterAutospacing="0"/>
              <w:ind w:firstLine="480"/>
              <w:rPr>
                <w:rFonts w:hint="default" w:ascii="Times New Roman" w:hAnsi="Times New Roman" w:cs="Times New Roman"/>
                <w:color w:val="auto"/>
              </w:rPr>
            </w:pPr>
            <w:r>
              <w:rPr>
                <w:rFonts w:hint="default" w:ascii="Times New Roman" w:hAnsi="Times New Roman" w:cs="Times New Roman"/>
                <w:color w:val="auto"/>
              </w:rPr>
              <w:t>④固废</w:t>
            </w:r>
          </w:p>
          <w:p w14:paraId="08475F03">
            <w:pPr>
              <w:pStyle w:val="103"/>
              <w:rPr>
                <w:rFonts w:hint="default" w:ascii="Times New Roman" w:hAnsi="Times New Roman" w:cs="Times New Roman"/>
                <w:color w:val="auto"/>
                <w:sz w:val="24"/>
                <w:szCs w:val="22"/>
              </w:rPr>
            </w:pPr>
            <w:r>
              <w:rPr>
                <w:rFonts w:hint="default" w:ascii="Times New Roman" w:hAnsi="Times New Roman" w:cs="Times New Roman"/>
                <w:color w:val="auto"/>
                <w:sz w:val="24"/>
                <w:szCs w:val="22"/>
              </w:rPr>
              <w:t>在建项目建成后各类固体废物产生及处置情况详见表2.4-12。</w:t>
            </w:r>
          </w:p>
          <w:p w14:paraId="3F509479">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 xml:space="preserve">表2.4-12 </w:t>
            </w:r>
            <w:r>
              <w:rPr>
                <w:rFonts w:hint="eastAsia" w:eastAsia="黑体" w:cs="Times New Roman"/>
                <w:b w:val="0"/>
                <w:bCs/>
                <w:color w:val="auto"/>
                <w:lang w:val="en-US" w:eastAsia="zh-CN"/>
              </w:rPr>
              <w:t xml:space="preserve"> </w:t>
            </w:r>
            <w:r>
              <w:rPr>
                <w:rFonts w:hint="default" w:ascii="Times New Roman" w:hAnsi="Times New Roman" w:eastAsia="黑体" w:cs="Times New Roman"/>
                <w:b w:val="0"/>
                <w:bCs/>
                <w:color w:val="auto"/>
              </w:rPr>
              <w:t>在建工程固体废物产生及处置情况一览表</w:t>
            </w:r>
          </w:p>
          <w:tbl>
            <w:tblPr>
              <w:tblStyle w:val="34"/>
              <w:tblW w:w="4997"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28" w:type="dxa"/>
                <w:bottom w:w="0" w:type="dxa"/>
                <w:right w:w="28" w:type="dxa"/>
              </w:tblCellMar>
            </w:tblPr>
            <w:tblGrid>
              <w:gridCol w:w="845"/>
              <w:gridCol w:w="1054"/>
              <w:gridCol w:w="683"/>
              <w:gridCol w:w="683"/>
              <w:gridCol w:w="856"/>
              <w:gridCol w:w="1316"/>
              <w:gridCol w:w="897"/>
              <w:gridCol w:w="549"/>
              <w:gridCol w:w="701"/>
              <w:gridCol w:w="1036"/>
            </w:tblGrid>
            <w:tr w14:paraId="0ED8168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340" w:hRule="atLeast"/>
                <w:jc w:val="center"/>
              </w:trPr>
              <w:tc>
                <w:tcPr>
                  <w:tcW w:w="490" w:type="pct"/>
                  <w:tcBorders>
                    <w:tl2br w:val="nil"/>
                    <w:tr2bl w:val="nil"/>
                  </w:tcBorders>
                  <w:vAlign w:val="center"/>
                </w:tcPr>
                <w:p w14:paraId="0F632D53">
                  <w:pPr>
                    <w:pStyle w:val="130"/>
                    <w:rPr>
                      <w:rFonts w:hint="default" w:ascii="Times New Roman" w:hAnsi="Times New Roman" w:cs="Times New Roman"/>
                      <w:color w:val="auto"/>
                    </w:rPr>
                  </w:pPr>
                  <w:r>
                    <w:rPr>
                      <w:rFonts w:hint="default" w:ascii="Times New Roman" w:hAnsi="Times New Roman" w:cs="Times New Roman"/>
                      <w:color w:val="auto"/>
                    </w:rPr>
                    <w:t>产生</w:t>
                  </w:r>
                </w:p>
                <w:p w14:paraId="4F840D1B">
                  <w:pPr>
                    <w:pStyle w:val="130"/>
                    <w:rPr>
                      <w:rFonts w:hint="default" w:ascii="Times New Roman" w:hAnsi="Times New Roman" w:cs="Times New Roman"/>
                      <w:color w:val="auto"/>
                    </w:rPr>
                  </w:pPr>
                  <w:r>
                    <w:rPr>
                      <w:rFonts w:hint="default" w:ascii="Times New Roman" w:hAnsi="Times New Roman" w:cs="Times New Roman"/>
                      <w:color w:val="auto"/>
                    </w:rPr>
                    <w:t>环节</w:t>
                  </w:r>
                </w:p>
              </w:tc>
              <w:tc>
                <w:tcPr>
                  <w:tcW w:w="611" w:type="pct"/>
                  <w:tcBorders>
                    <w:tl2br w:val="nil"/>
                    <w:tr2bl w:val="nil"/>
                  </w:tcBorders>
                  <w:vAlign w:val="center"/>
                </w:tcPr>
                <w:p w14:paraId="52D577BF">
                  <w:pPr>
                    <w:pStyle w:val="130"/>
                    <w:rPr>
                      <w:rFonts w:hint="default" w:ascii="Times New Roman" w:hAnsi="Times New Roman" w:cs="Times New Roman"/>
                      <w:color w:val="auto"/>
                    </w:rPr>
                  </w:pPr>
                  <w:r>
                    <w:rPr>
                      <w:rFonts w:hint="default" w:ascii="Times New Roman" w:hAnsi="Times New Roman" w:cs="Times New Roman"/>
                      <w:color w:val="auto"/>
                    </w:rPr>
                    <w:t>固废名称</w:t>
                  </w:r>
                </w:p>
              </w:tc>
              <w:tc>
                <w:tcPr>
                  <w:tcW w:w="396" w:type="pct"/>
                  <w:tcBorders>
                    <w:tl2br w:val="nil"/>
                    <w:tr2bl w:val="nil"/>
                  </w:tcBorders>
                  <w:vAlign w:val="center"/>
                </w:tcPr>
                <w:p w14:paraId="3CC7AD77">
                  <w:pPr>
                    <w:pStyle w:val="130"/>
                    <w:rPr>
                      <w:rFonts w:hint="default" w:ascii="Times New Roman" w:hAnsi="Times New Roman" w:cs="Times New Roman"/>
                      <w:color w:val="auto"/>
                    </w:rPr>
                  </w:pPr>
                  <w:r>
                    <w:rPr>
                      <w:rFonts w:hint="default" w:ascii="Times New Roman" w:hAnsi="Times New Roman" w:cs="Times New Roman"/>
                      <w:color w:val="auto"/>
                    </w:rPr>
                    <w:t>主要物质成分</w:t>
                  </w:r>
                </w:p>
              </w:tc>
              <w:tc>
                <w:tcPr>
                  <w:tcW w:w="396" w:type="pct"/>
                  <w:tcBorders>
                    <w:tl2br w:val="nil"/>
                    <w:tr2bl w:val="nil"/>
                  </w:tcBorders>
                  <w:vAlign w:val="center"/>
                </w:tcPr>
                <w:p w14:paraId="10543021">
                  <w:pPr>
                    <w:pStyle w:val="130"/>
                    <w:rPr>
                      <w:rFonts w:hint="default" w:ascii="Times New Roman" w:hAnsi="Times New Roman" w:cs="Times New Roman"/>
                      <w:color w:val="auto"/>
                    </w:rPr>
                  </w:pPr>
                  <w:r>
                    <w:rPr>
                      <w:rFonts w:hint="default" w:ascii="Times New Roman" w:hAnsi="Times New Roman" w:cs="Times New Roman"/>
                      <w:color w:val="auto"/>
                    </w:rPr>
                    <w:t>属性</w:t>
                  </w:r>
                </w:p>
              </w:tc>
              <w:tc>
                <w:tcPr>
                  <w:tcW w:w="496" w:type="pct"/>
                  <w:tcBorders>
                    <w:tl2br w:val="nil"/>
                    <w:tr2bl w:val="nil"/>
                  </w:tcBorders>
                  <w:vAlign w:val="center"/>
                </w:tcPr>
                <w:p w14:paraId="54C8A7A9">
                  <w:pPr>
                    <w:pStyle w:val="130"/>
                    <w:rPr>
                      <w:rFonts w:hint="default" w:ascii="Times New Roman" w:hAnsi="Times New Roman" w:cs="Times New Roman"/>
                      <w:color w:val="auto"/>
                    </w:rPr>
                  </w:pPr>
                  <w:r>
                    <w:rPr>
                      <w:rFonts w:hint="default" w:ascii="Times New Roman" w:hAnsi="Times New Roman" w:cs="Times New Roman"/>
                      <w:color w:val="auto"/>
                    </w:rPr>
                    <w:t>废物</w:t>
                  </w:r>
                </w:p>
                <w:p w14:paraId="512ECA37">
                  <w:pPr>
                    <w:pStyle w:val="130"/>
                    <w:rPr>
                      <w:rFonts w:hint="default" w:ascii="Times New Roman" w:hAnsi="Times New Roman" w:cs="Times New Roman"/>
                      <w:color w:val="auto"/>
                    </w:rPr>
                  </w:pPr>
                  <w:r>
                    <w:rPr>
                      <w:rFonts w:hint="default" w:ascii="Times New Roman" w:hAnsi="Times New Roman" w:cs="Times New Roman"/>
                      <w:color w:val="auto"/>
                    </w:rPr>
                    <w:t>类别</w:t>
                  </w:r>
                </w:p>
              </w:tc>
              <w:tc>
                <w:tcPr>
                  <w:tcW w:w="763" w:type="pct"/>
                  <w:tcBorders>
                    <w:tl2br w:val="nil"/>
                    <w:tr2bl w:val="nil"/>
                  </w:tcBorders>
                  <w:vAlign w:val="center"/>
                </w:tcPr>
                <w:p w14:paraId="02EE7C52">
                  <w:pPr>
                    <w:pStyle w:val="130"/>
                    <w:rPr>
                      <w:rFonts w:hint="default" w:ascii="Times New Roman" w:hAnsi="Times New Roman" w:cs="Times New Roman"/>
                      <w:color w:val="auto"/>
                    </w:rPr>
                  </w:pPr>
                  <w:r>
                    <w:rPr>
                      <w:rFonts w:hint="default" w:ascii="Times New Roman" w:hAnsi="Times New Roman" w:cs="Times New Roman"/>
                      <w:color w:val="auto"/>
                    </w:rPr>
                    <w:t>废物代码</w:t>
                  </w:r>
                </w:p>
              </w:tc>
              <w:tc>
                <w:tcPr>
                  <w:tcW w:w="520" w:type="pct"/>
                  <w:tcBorders>
                    <w:tl2br w:val="nil"/>
                    <w:tr2bl w:val="nil"/>
                  </w:tcBorders>
                  <w:vAlign w:val="center"/>
                </w:tcPr>
                <w:p w14:paraId="0C445121">
                  <w:pPr>
                    <w:pStyle w:val="130"/>
                    <w:rPr>
                      <w:rFonts w:hint="default" w:ascii="Times New Roman" w:hAnsi="Times New Roman" w:cs="Times New Roman"/>
                      <w:color w:val="auto"/>
                    </w:rPr>
                  </w:pPr>
                  <w:r>
                    <w:rPr>
                      <w:rFonts w:hint="default" w:ascii="Times New Roman" w:hAnsi="Times New Roman" w:cs="Times New Roman"/>
                      <w:color w:val="auto"/>
                    </w:rPr>
                    <w:t>产生量t/a</w:t>
                  </w:r>
                </w:p>
              </w:tc>
              <w:tc>
                <w:tcPr>
                  <w:tcW w:w="318" w:type="pct"/>
                  <w:tcBorders>
                    <w:tl2br w:val="nil"/>
                    <w:tr2bl w:val="nil"/>
                  </w:tcBorders>
                  <w:vAlign w:val="center"/>
                </w:tcPr>
                <w:p w14:paraId="26C203D4">
                  <w:pPr>
                    <w:pStyle w:val="130"/>
                    <w:rPr>
                      <w:rFonts w:hint="default" w:ascii="Times New Roman" w:hAnsi="Times New Roman" w:cs="Times New Roman"/>
                      <w:color w:val="auto"/>
                    </w:rPr>
                  </w:pPr>
                  <w:r>
                    <w:rPr>
                      <w:rFonts w:hint="default" w:ascii="Times New Roman" w:hAnsi="Times New Roman" w:cs="Times New Roman"/>
                      <w:color w:val="auto"/>
                    </w:rPr>
                    <w:t>危险特性</w:t>
                  </w:r>
                </w:p>
              </w:tc>
              <w:tc>
                <w:tcPr>
                  <w:tcW w:w="406" w:type="pct"/>
                  <w:tcBorders>
                    <w:tl2br w:val="nil"/>
                    <w:tr2bl w:val="nil"/>
                  </w:tcBorders>
                  <w:vAlign w:val="center"/>
                </w:tcPr>
                <w:p w14:paraId="1142B0CE">
                  <w:pPr>
                    <w:pStyle w:val="130"/>
                    <w:rPr>
                      <w:rFonts w:hint="default" w:ascii="Times New Roman" w:hAnsi="Times New Roman" w:cs="Times New Roman"/>
                      <w:color w:val="auto"/>
                    </w:rPr>
                  </w:pPr>
                  <w:r>
                    <w:rPr>
                      <w:rFonts w:hint="default" w:ascii="Times New Roman" w:hAnsi="Times New Roman" w:cs="Times New Roman"/>
                      <w:color w:val="auto"/>
                    </w:rPr>
                    <w:t>储存</w:t>
                  </w:r>
                </w:p>
                <w:p w14:paraId="5BD467B1">
                  <w:pPr>
                    <w:pStyle w:val="130"/>
                    <w:rPr>
                      <w:rFonts w:hint="default" w:ascii="Times New Roman" w:hAnsi="Times New Roman" w:cs="Times New Roman"/>
                      <w:color w:val="auto"/>
                    </w:rPr>
                  </w:pPr>
                  <w:r>
                    <w:rPr>
                      <w:rFonts w:hint="default" w:ascii="Times New Roman" w:hAnsi="Times New Roman" w:cs="Times New Roman"/>
                      <w:color w:val="auto"/>
                    </w:rPr>
                    <w:t>方式</w:t>
                  </w:r>
                </w:p>
              </w:tc>
              <w:tc>
                <w:tcPr>
                  <w:tcW w:w="600" w:type="pct"/>
                  <w:tcBorders>
                    <w:tl2br w:val="nil"/>
                    <w:tr2bl w:val="nil"/>
                  </w:tcBorders>
                  <w:vAlign w:val="center"/>
                </w:tcPr>
                <w:p w14:paraId="774D4A50">
                  <w:pPr>
                    <w:pStyle w:val="130"/>
                    <w:rPr>
                      <w:rFonts w:hint="default" w:ascii="Times New Roman" w:hAnsi="Times New Roman" w:cs="Times New Roman"/>
                      <w:color w:val="auto"/>
                    </w:rPr>
                  </w:pPr>
                  <w:r>
                    <w:rPr>
                      <w:rFonts w:hint="default" w:ascii="Times New Roman" w:hAnsi="Times New Roman" w:cs="Times New Roman"/>
                      <w:color w:val="auto"/>
                    </w:rPr>
                    <w:t>处置方式/去向</w:t>
                  </w:r>
                </w:p>
              </w:tc>
            </w:tr>
            <w:tr w14:paraId="1248916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340" w:hRule="atLeast"/>
                <w:jc w:val="center"/>
              </w:trPr>
              <w:tc>
                <w:tcPr>
                  <w:tcW w:w="490" w:type="pct"/>
                  <w:vMerge w:val="restart"/>
                  <w:tcBorders>
                    <w:tl2br w:val="nil"/>
                    <w:tr2bl w:val="nil"/>
                  </w:tcBorders>
                  <w:vAlign w:val="center"/>
                </w:tcPr>
                <w:p w14:paraId="3BDB6EE8">
                  <w:pPr>
                    <w:pStyle w:val="130"/>
                    <w:jc w:val="both"/>
                    <w:rPr>
                      <w:rFonts w:hint="default" w:ascii="Times New Roman" w:hAnsi="Times New Roman" w:cs="Times New Roman"/>
                      <w:color w:val="auto"/>
                    </w:rPr>
                  </w:pPr>
                  <w:r>
                    <w:rPr>
                      <w:rFonts w:hint="default" w:ascii="Times New Roman" w:hAnsi="Times New Roman" w:cs="Times New Roman"/>
                      <w:color w:val="auto"/>
                    </w:rPr>
                    <w:t>开料、下料、机加工</w:t>
                  </w:r>
                </w:p>
              </w:tc>
              <w:tc>
                <w:tcPr>
                  <w:tcW w:w="611" w:type="pct"/>
                  <w:tcBorders>
                    <w:tl2br w:val="nil"/>
                    <w:tr2bl w:val="nil"/>
                  </w:tcBorders>
                  <w:vAlign w:val="center"/>
                </w:tcPr>
                <w:p w14:paraId="5308036A">
                  <w:pPr>
                    <w:pStyle w:val="130"/>
                    <w:rPr>
                      <w:rFonts w:hint="default" w:ascii="Times New Roman" w:hAnsi="Times New Roman" w:cs="Times New Roman"/>
                      <w:color w:val="auto"/>
                    </w:rPr>
                  </w:pPr>
                  <w:r>
                    <w:rPr>
                      <w:rFonts w:hint="default" w:ascii="Times New Roman" w:hAnsi="Times New Roman" w:cs="Times New Roman"/>
                      <w:color w:val="auto"/>
                    </w:rPr>
                    <w:t>包装线材</w:t>
                  </w:r>
                </w:p>
              </w:tc>
              <w:tc>
                <w:tcPr>
                  <w:tcW w:w="396" w:type="pct"/>
                  <w:vMerge w:val="restart"/>
                  <w:tcBorders>
                    <w:tl2br w:val="nil"/>
                    <w:tr2bl w:val="nil"/>
                  </w:tcBorders>
                  <w:vAlign w:val="center"/>
                </w:tcPr>
                <w:p w14:paraId="1415D46D">
                  <w:pPr>
                    <w:pStyle w:val="130"/>
                    <w:rPr>
                      <w:rFonts w:hint="default" w:ascii="Times New Roman" w:hAnsi="Times New Roman" w:cs="Times New Roman"/>
                      <w:color w:val="auto"/>
                    </w:rPr>
                  </w:pPr>
                  <w:r>
                    <w:rPr>
                      <w:rFonts w:hint="default" w:ascii="Times New Roman" w:hAnsi="Times New Roman" w:cs="Times New Roman"/>
                      <w:color w:val="auto"/>
                    </w:rPr>
                    <w:t>金属氧化物</w:t>
                  </w:r>
                </w:p>
              </w:tc>
              <w:tc>
                <w:tcPr>
                  <w:tcW w:w="396" w:type="pct"/>
                  <w:vMerge w:val="restart"/>
                  <w:tcBorders>
                    <w:tl2br w:val="nil"/>
                    <w:tr2bl w:val="nil"/>
                  </w:tcBorders>
                  <w:vAlign w:val="center"/>
                </w:tcPr>
                <w:p w14:paraId="3F5887B0">
                  <w:pPr>
                    <w:pStyle w:val="130"/>
                    <w:rPr>
                      <w:rFonts w:hint="default" w:ascii="Times New Roman" w:hAnsi="Times New Roman" w:cs="Times New Roman"/>
                      <w:color w:val="auto"/>
                    </w:rPr>
                  </w:pPr>
                  <w:r>
                    <w:rPr>
                      <w:rFonts w:hint="default" w:ascii="Times New Roman" w:hAnsi="Times New Roman" w:cs="Times New Roman"/>
                      <w:color w:val="auto"/>
                    </w:rPr>
                    <w:t>一般工业固体废物</w:t>
                  </w:r>
                </w:p>
              </w:tc>
              <w:tc>
                <w:tcPr>
                  <w:tcW w:w="496" w:type="pct"/>
                  <w:vMerge w:val="restart"/>
                  <w:tcBorders>
                    <w:tl2br w:val="nil"/>
                    <w:tr2bl w:val="nil"/>
                  </w:tcBorders>
                  <w:vAlign w:val="center"/>
                </w:tcPr>
                <w:p w14:paraId="3517EDA4">
                  <w:pPr>
                    <w:pStyle w:val="130"/>
                    <w:rPr>
                      <w:rFonts w:hint="default" w:ascii="Times New Roman" w:hAnsi="Times New Roman" w:cs="Times New Roman"/>
                      <w:color w:val="auto"/>
                    </w:rPr>
                  </w:pPr>
                  <w:r>
                    <w:rPr>
                      <w:rFonts w:hint="default" w:ascii="Times New Roman" w:hAnsi="Times New Roman" w:cs="Times New Roman"/>
                      <w:color w:val="auto"/>
                    </w:rPr>
                    <w:t>SW01</w:t>
                  </w:r>
                </w:p>
              </w:tc>
              <w:tc>
                <w:tcPr>
                  <w:tcW w:w="763" w:type="pct"/>
                  <w:vMerge w:val="restart"/>
                  <w:tcBorders>
                    <w:tl2br w:val="nil"/>
                    <w:tr2bl w:val="nil"/>
                  </w:tcBorders>
                  <w:vAlign w:val="center"/>
                </w:tcPr>
                <w:p w14:paraId="1EFC615D">
                  <w:pPr>
                    <w:pStyle w:val="130"/>
                    <w:rPr>
                      <w:rFonts w:hint="default" w:ascii="Times New Roman" w:hAnsi="Times New Roman" w:cs="Times New Roman"/>
                      <w:color w:val="auto"/>
                    </w:rPr>
                  </w:pPr>
                  <w:r>
                    <w:rPr>
                      <w:rFonts w:hint="default" w:ascii="Times New Roman" w:hAnsi="Times New Roman" w:cs="Times New Roman"/>
                      <w:color w:val="auto"/>
                    </w:rPr>
                    <w:t>313-001-S01</w:t>
                  </w:r>
                </w:p>
              </w:tc>
              <w:tc>
                <w:tcPr>
                  <w:tcW w:w="520" w:type="pct"/>
                  <w:tcBorders>
                    <w:tl2br w:val="nil"/>
                    <w:tr2bl w:val="nil"/>
                  </w:tcBorders>
                  <w:vAlign w:val="center"/>
                </w:tcPr>
                <w:p w14:paraId="4F18F1E6">
                  <w:pPr>
                    <w:pStyle w:val="130"/>
                    <w:rPr>
                      <w:rFonts w:hint="default" w:ascii="Times New Roman" w:hAnsi="Times New Roman" w:cs="Times New Roman"/>
                      <w:color w:val="auto"/>
                    </w:rPr>
                  </w:pPr>
                  <w:r>
                    <w:rPr>
                      <w:rFonts w:hint="default" w:ascii="Times New Roman" w:hAnsi="Times New Roman" w:cs="Times New Roman"/>
                      <w:color w:val="auto"/>
                    </w:rPr>
                    <w:t>68</w:t>
                  </w:r>
                </w:p>
              </w:tc>
              <w:tc>
                <w:tcPr>
                  <w:tcW w:w="318" w:type="pct"/>
                  <w:vMerge w:val="restart"/>
                  <w:tcBorders>
                    <w:tl2br w:val="nil"/>
                    <w:tr2bl w:val="nil"/>
                  </w:tcBorders>
                  <w:vAlign w:val="center"/>
                </w:tcPr>
                <w:p w14:paraId="31CADDC5">
                  <w:pPr>
                    <w:pStyle w:val="130"/>
                    <w:rPr>
                      <w:rFonts w:hint="default" w:ascii="Times New Roman" w:hAnsi="Times New Roman" w:cs="Times New Roman"/>
                      <w:color w:val="auto"/>
                    </w:rPr>
                  </w:pPr>
                  <w:r>
                    <w:rPr>
                      <w:rFonts w:hint="default" w:ascii="Times New Roman" w:hAnsi="Times New Roman" w:cs="Times New Roman"/>
                      <w:color w:val="auto"/>
                    </w:rPr>
                    <w:t>/</w:t>
                  </w:r>
                </w:p>
              </w:tc>
              <w:tc>
                <w:tcPr>
                  <w:tcW w:w="406" w:type="pct"/>
                  <w:vMerge w:val="restart"/>
                  <w:tcBorders>
                    <w:tl2br w:val="nil"/>
                    <w:tr2bl w:val="nil"/>
                  </w:tcBorders>
                  <w:vAlign w:val="center"/>
                </w:tcPr>
                <w:p w14:paraId="33940AE8">
                  <w:pPr>
                    <w:pStyle w:val="130"/>
                    <w:jc w:val="both"/>
                    <w:rPr>
                      <w:rFonts w:hint="default" w:ascii="Times New Roman" w:hAnsi="Times New Roman" w:cs="Times New Roman"/>
                      <w:color w:val="auto"/>
                    </w:rPr>
                  </w:pPr>
                  <w:r>
                    <w:rPr>
                      <w:rFonts w:hint="default" w:ascii="Times New Roman" w:hAnsi="Times New Roman" w:cs="Times New Roman"/>
                      <w:color w:val="auto"/>
                    </w:rPr>
                    <w:t>收集至一般固废间</w:t>
                  </w:r>
                </w:p>
              </w:tc>
              <w:tc>
                <w:tcPr>
                  <w:tcW w:w="600" w:type="pct"/>
                  <w:vMerge w:val="restart"/>
                  <w:tcBorders>
                    <w:tl2br w:val="nil"/>
                    <w:tr2bl w:val="nil"/>
                  </w:tcBorders>
                  <w:vAlign w:val="center"/>
                </w:tcPr>
                <w:p w14:paraId="6EAEAC28">
                  <w:pPr>
                    <w:pStyle w:val="130"/>
                    <w:jc w:val="both"/>
                    <w:rPr>
                      <w:rFonts w:hint="default" w:ascii="Times New Roman" w:hAnsi="Times New Roman" w:cs="Times New Roman"/>
                      <w:color w:val="auto"/>
                    </w:rPr>
                  </w:pPr>
                  <w:r>
                    <w:rPr>
                      <w:rFonts w:hint="default" w:ascii="Times New Roman" w:hAnsi="Times New Roman" w:cs="Times New Roman"/>
                      <w:color w:val="auto"/>
                    </w:rPr>
                    <w:t>定期外售给有关单位利用</w:t>
                  </w:r>
                </w:p>
              </w:tc>
            </w:tr>
            <w:tr w14:paraId="668C918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340" w:hRule="atLeast"/>
                <w:jc w:val="center"/>
              </w:trPr>
              <w:tc>
                <w:tcPr>
                  <w:tcW w:w="490" w:type="pct"/>
                  <w:vMerge w:val="continue"/>
                  <w:tcBorders>
                    <w:tl2br w:val="nil"/>
                    <w:tr2bl w:val="nil"/>
                  </w:tcBorders>
                  <w:vAlign w:val="center"/>
                </w:tcPr>
                <w:p w14:paraId="4FA06182">
                  <w:pPr>
                    <w:pStyle w:val="130"/>
                    <w:rPr>
                      <w:rFonts w:hint="default" w:ascii="Times New Roman" w:hAnsi="Times New Roman" w:cs="Times New Roman"/>
                      <w:color w:val="auto"/>
                    </w:rPr>
                  </w:pPr>
                </w:p>
              </w:tc>
              <w:tc>
                <w:tcPr>
                  <w:tcW w:w="611" w:type="pct"/>
                  <w:tcBorders>
                    <w:tl2br w:val="nil"/>
                    <w:tr2bl w:val="nil"/>
                  </w:tcBorders>
                  <w:vAlign w:val="center"/>
                </w:tcPr>
                <w:p w14:paraId="23776797">
                  <w:pPr>
                    <w:pStyle w:val="130"/>
                    <w:rPr>
                      <w:rFonts w:hint="default" w:ascii="Times New Roman" w:hAnsi="Times New Roman" w:cs="Times New Roman"/>
                      <w:color w:val="auto"/>
                    </w:rPr>
                  </w:pPr>
                  <w:r>
                    <w:rPr>
                      <w:rFonts w:hint="default" w:ascii="Times New Roman" w:hAnsi="Times New Roman" w:cs="Times New Roman"/>
                      <w:color w:val="auto"/>
                    </w:rPr>
                    <w:t>氧化铁皮</w:t>
                  </w:r>
                </w:p>
              </w:tc>
              <w:tc>
                <w:tcPr>
                  <w:tcW w:w="396" w:type="pct"/>
                  <w:vMerge w:val="continue"/>
                  <w:tcBorders>
                    <w:tl2br w:val="nil"/>
                    <w:tr2bl w:val="nil"/>
                  </w:tcBorders>
                  <w:vAlign w:val="center"/>
                </w:tcPr>
                <w:p w14:paraId="43429EFF">
                  <w:pPr>
                    <w:pStyle w:val="130"/>
                    <w:rPr>
                      <w:rFonts w:hint="default" w:ascii="Times New Roman" w:hAnsi="Times New Roman" w:cs="Times New Roman"/>
                      <w:color w:val="auto"/>
                    </w:rPr>
                  </w:pPr>
                </w:p>
              </w:tc>
              <w:tc>
                <w:tcPr>
                  <w:tcW w:w="396" w:type="pct"/>
                  <w:vMerge w:val="continue"/>
                  <w:tcBorders>
                    <w:tl2br w:val="nil"/>
                    <w:tr2bl w:val="nil"/>
                  </w:tcBorders>
                  <w:vAlign w:val="center"/>
                </w:tcPr>
                <w:p w14:paraId="455D63F7">
                  <w:pPr>
                    <w:pStyle w:val="130"/>
                    <w:rPr>
                      <w:rFonts w:hint="default" w:ascii="Times New Roman" w:hAnsi="Times New Roman" w:cs="Times New Roman"/>
                      <w:color w:val="auto"/>
                    </w:rPr>
                  </w:pPr>
                </w:p>
              </w:tc>
              <w:tc>
                <w:tcPr>
                  <w:tcW w:w="496" w:type="pct"/>
                  <w:vMerge w:val="continue"/>
                  <w:tcBorders>
                    <w:tl2br w:val="nil"/>
                    <w:tr2bl w:val="nil"/>
                  </w:tcBorders>
                  <w:vAlign w:val="center"/>
                </w:tcPr>
                <w:p w14:paraId="6800CC29">
                  <w:pPr>
                    <w:pStyle w:val="130"/>
                    <w:rPr>
                      <w:rFonts w:hint="default" w:ascii="Times New Roman" w:hAnsi="Times New Roman" w:cs="Times New Roman"/>
                      <w:color w:val="auto"/>
                    </w:rPr>
                  </w:pPr>
                </w:p>
              </w:tc>
              <w:tc>
                <w:tcPr>
                  <w:tcW w:w="763" w:type="pct"/>
                  <w:vMerge w:val="continue"/>
                  <w:tcBorders>
                    <w:tl2br w:val="nil"/>
                    <w:tr2bl w:val="nil"/>
                  </w:tcBorders>
                  <w:vAlign w:val="center"/>
                </w:tcPr>
                <w:p w14:paraId="0B88FBDB">
                  <w:pPr>
                    <w:pStyle w:val="130"/>
                    <w:rPr>
                      <w:rFonts w:hint="default" w:ascii="Times New Roman" w:hAnsi="Times New Roman" w:cs="Times New Roman"/>
                      <w:color w:val="auto"/>
                    </w:rPr>
                  </w:pPr>
                </w:p>
              </w:tc>
              <w:tc>
                <w:tcPr>
                  <w:tcW w:w="520" w:type="pct"/>
                  <w:tcBorders>
                    <w:tl2br w:val="nil"/>
                    <w:tr2bl w:val="nil"/>
                  </w:tcBorders>
                  <w:vAlign w:val="center"/>
                </w:tcPr>
                <w:p w14:paraId="1F029CB1">
                  <w:pPr>
                    <w:pStyle w:val="130"/>
                    <w:rPr>
                      <w:rFonts w:hint="default" w:ascii="Times New Roman" w:hAnsi="Times New Roman" w:cs="Times New Roman"/>
                      <w:color w:val="auto"/>
                    </w:rPr>
                  </w:pPr>
                  <w:r>
                    <w:rPr>
                      <w:rFonts w:hint="default" w:ascii="Times New Roman" w:hAnsi="Times New Roman" w:cs="Times New Roman"/>
                      <w:color w:val="auto"/>
                    </w:rPr>
                    <w:t>190.87</w:t>
                  </w:r>
                </w:p>
              </w:tc>
              <w:tc>
                <w:tcPr>
                  <w:tcW w:w="318" w:type="pct"/>
                  <w:vMerge w:val="continue"/>
                  <w:tcBorders>
                    <w:tl2br w:val="nil"/>
                    <w:tr2bl w:val="nil"/>
                  </w:tcBorders>
                  <w:vAlign w:val="center"/>
                </w:tcPr>
                <w:p w14:paraId="0EF67AC9">
                  <w:pPr>
                    <w:pStyle w:val="130"/>
                    <w:rPr>
                      <w:rFonts w:hint="default" w:ascii="Times New Roman" w:hAnsi="Times New Roman" w:cs="Times New Roman"/>
                      <w:color w:val="auto"/>
                    </w:rPr>
                  </w:pPr>
                </w:p>
              </w:tc>
              <w:tc>
                <w:tcPr>
                  <w:tcW w:w="406" w:type="pct"/>
                  <w:vMerge w:val="continue"/>
                  <w:tcBorders>
                    <w:tl2br w:val="nil"/>
                    <w:tr2bl w:val="nil"/>
                  </w:tcBorders>
                  <w:vAlign w:val="center"/>
                </w:tcPr>
                <w:p w14:paraId="4D9AE4A5">
                  <w:pPr>
                    <w:pStyle w:val="130"/>
                    <w:jc w:val="both"/>
                    <w:rPr>
                      <w:rFonts w:hint="default" w:ascii="Times New Roman" w:hAnsi="Times New Roman" w:cs="Times New Roman"/>
                      <w:color w:val="auto"/>
                    </w:rPr>
                  </w:pPr>
                </w:p>
              </w:tc>
              <w:tc>
                <w:tcPr>
                  <w:tcW w:w="600" w:type="pct"/>
                  <w:vMerge w:val="continue"/>
                  <w:tcBorders>
                    <w:tl2br w:val="nil"/>
                    <w:tr2bl w:val="nil"/>
                  </w:tcBorders>
                  <w:vAlign w:val="center"/>
                </w:tcPr>
                <w:p w14:paraId="3D017583">
                  <w:pPr>
                    <w:pStyle w:val="130"/>
                    <w:jc w:val="both"/>
                    <w:rPr>
                      <w:rFonts w:hint="default" w:ascii="Times New Roman" w:hAnsi="Times New Roman" w:cs="Times New Roman"/>
                      <w:color w:val="auto"/>
                    </w:rPr>
                  </w:pPr>
                </w:p>
              </w:tc>
            </w:tr>
            <w:tr w14:paraId="336BA60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449" w:hRule="atLeast"/>
                <w:jc w:val="center"/>
              </w:trPr>
              <w:tc>
                <w:tcPr>
                  <w:tcW w:w="490" w:type="pct"/>
                  <w:vMerge w:val="continue"/>
                  <w:tcBorders>
                    <w:tl2br w:val="nil"/>
                    <w:tr2bl w:val="nil"/>
                  </w:tcBorders>
                  <w:vAlign w:val="center"/>
                </w:tcPr>
                <w:p w14:paraId="344B70A0">
                  <w:pPr>
                    <w:pStyle w:val="130"/>
                    <w:rPr>
                      <w:rFonts w:hint="default" w:ascii="Times New Roman" w:hAnsi="Times New Roman" w:cs="Times New Roman"/>
                      <w:color w:val="auto"/>
                    </w:rPr>
                  </w:pPr>
                </w:p>
              </w:tc>
              <w:tc>
                <w:tcPr>
                  <w:tcW w:w="611" w:type="pct"/>
                  <w:tcBorders>
                    <w:tl2br w:val="nil"/>
                    <w:tr2bl w:val="nil"/>
                  </w:tcBorders>
                  <w:vAlign w:val="center"/>
                </w:tcPr>
                <w:p w14:paraId="104E8782">
                  <w:pPr>
                    <w:pStyle w:val="130"/>
                    <w:rPr>
                      <w:rFonts w:hint="default" w:ascii="Times New Roman" w:hAnsi="Times New Roman" w:cs="Times New Roman"/>
                      <w:color w:val="auto"/>
                    </w:rPr>
                  </w:pPr>
                  <w:r>
                    <w:rPr>
                      <w:rFonts w:hint="default" w:ascii="Times New Roman" w:hAnsi="Times New Roman" w:cs="Times New Roman"/>
                      <w:color w:val="auto"/>
                    </w:rPr>
                    <w:t>除尘灰</w:t>
                  </w:r>
                </w:p>
              </w:tc>
              <w:tc>
                <w:tcPr>
                  <w:tcW w:w="396" w:type="pct"/>
                  <w:vMerge w:val="continue"/>
                  <w:tcBorders>
                    <w:tl2br w:val="nil"/>
                    <w:tr2bl w:val="nil"/>
                  </w:tcBorders>
                  <w:vAlign w:val="center"/>
                </w:tcPr>
                <w:p w14:paraId="5EC3A536">
                  <w:pPr>
                    <w:pStyle w:val="130"/>
                    <w:rPr>
                      <w:rFonts w:hint="default" w:ascii="Times New Roman" w:hAnsi="Times New Roman" w:cs="Times New Roman"/>
                      <w:color w:val="auto"/>
                    </w:rPr>
                  </w:pPr>
                </w:p>
              </w:tc>
              <w:tc>
                <w:tcPr>
                  <w:tcW w:w="396" w:type="pct"/>
                  <w:vMerge w:val="continue"/>
                  <w:tcBorders>
                    <w:tl2br w:val="nil"/>
                    <w:tr2bl w:val="nil"/>
                  </w:tcBorders>
                  <w:vAlign w:val="center"/>
                </w:tcPr>
                <w:p w14:paraId="4A09B217">
                  <w:pPr>
                    <w:pStyle w:val="130"/>
                    <w:rPr>
                      <w:rFonts w:hint="default" w:ascii="Times New Roman" w:hAnsi="Times New Roman" w:cs="Times New Roman"/>
                      <w:color w:val="auto"/>
                    </w:rPr>
                  </w:pPr>
                </w:p>
              </w:tc>
              <w:tc>
                <w:tcPr>
                  <w:tcW w:w="496" w:type="pct"/>
                  <w:vMerge w:val="continue"/>
                  <w:tcBorders>
                    <w:tl2br w:val="nil"/>
                    <w:tr2bl w:val="nil"/>
                  </w:tcBorders>
                  <w:vAlign w:val="center"/>
                </w:tcPr>
                <w:p w14:paraId="3CDF2210">
                  <w:pPr>
                    <w:pStyle w:val="130"/>
                    <w:rPr>
                      <w:rFonts w:hint="default" w:ascii="Times New Roman" w:hAnsi="Times New Roman" w:cs="Times New Roman"/>
                      <w:color w:val="auto"/>
                    </w:rPr>
                  </w:pPr>
                </w:p>
              </w:tc>
              <w:tc>
                <w:tcPr>
                  <w:tcW w:w="763" w:type="pct"/>
                  <w:vMerge w:val="continue"/>
                  <w:tcBorders>
                    <w:tl2br w:val="nil"/>
                    <w:tr2bl w:val="nil"/>
                  </w:tcBorders>
                  <w:vAlign w:val="center"/>
                </w:tcPr>
                <w:p w14:paraId="075E367F">
                  <w:pPr>
                    <w:pStyle w:val="130"/>
                    <w:rPr>
                      <w:rFonts w:hint="default" w:ascii="Times New Roman" w:hAnsi="Times New Roman" w:cs="Times New Roman"/>
                      <w:color w:val="auto"/>
                    </w:rPr>
                  </w:pPr>
                </w:p>
              </w:tc>
              <w:tc>
                <w:tcPr>
                  <w:tcW w:w="520" w:type="pct"/>
                  <w:tcBorders>
                    <w:tl2br w:val="nil"/>
                    <w:tr2bl w:val="nil"/>
                  </w:tcBorders>
                  <w:vAlign w:val="center"/>
                </w:tcPr>
                <w:p w14:paraId="13C9979C">
                  <w:pPr>
                    <w:pStyle w:val="130"/>
                    <w:rPr>
                      <w:rFonts w:hint="default" w:ascii="Times New Roman" w:hAnsi="Times New Roman" w:cs="Times New Roman"/>
                      <w:color w:val="auto"/>
                    </w:rPr>
                  </w:pPr>
                  <w:r>
                    <w:rPr>
                      <w:rFonts w:hint="default" w:ascii="Times New Roman" w:hAnsi="Times New Roman" w:cs="Times New Roman"/>
                      <w:color w:val="auto"/>
                    </w:rPr>
                    <w:t>46.05</w:t>
                  </w:r>
                </w:p>
              </w:tc>
              <w:tc>
                <w:tcPr>
                  <w:tcW w:w="318" w:type="pct"/>
                  <w:vMerge w:val="continue"/>
                  <w:tcBorders>
                    <w:tl2br w:val="nil"/>
                    <w:tr2bl w:val="nil"/>
                  </w:tcBorders>
                  <w:vAlign w:val="center"/>
                </w:tcPr>
                <w:p w14:paraId="52A8B993">
                  <w:pPr>
                    <w:pStyle w:val="130"/>
                    <w:rPr>
                      <w:rFonts w:hint="default" w:ascii="Times New Roman" w:hAnsi="Times New Roman" w:cs="Times New Roman"/>
                      <w:color w:val="auto"/>
                    </w:rPr>
                  </w:pPr>
                </w:p>
              </w:tc>
              <w:tc>
                <w:tcPr>
                  <w:tcW w:w="406" w:type="pct"/>
                  <w:vMerge w:val="continue"/>
                  <w:tcBorders>
                    <w:tl2br w:val="nil"/>
                    <w:tr2bl w:val="nil"/>
                  </w:tcBorders>
                  <w:vAlign w:val="center"/>
                </w:tcPr>
                <w:p w14:paraId="44484AA4">
                  <w:pPr>
                    <w:pStyle w:val="130"/>
                    <w:jc w:val="both"/>
                    <w:rPr>
                      <w:rFonts w:hint="default" w:ascii="Times New Roman" w:hAnsi="Times New Roman" w:cs="Times New Roman"/>
                      <w:color w:val="auto"/>
                    </w:rPr>
                  </w:pPr>
                </w:p>
              </w:tc>
              <w:tc>
                <w:tcPr>
                  <w:tcW w:w="600" w:type="pct"/>
                  <w:vMerge w:val="continue"/>
                  <w:tcBorders>
                    <w:tl2br w:val="nil"/>
                    <w:tr2bl w:val="nil"/>
                  </w:tcBorders>
                  <w:vAlign w:val="center"/>
                </w:tcPr>
                <w:p w14:paraId="3086CAF2">
                  <w:pPr>
                    <w:pStyle w:val="130"/>
                    <w:jc w:val="both"/>
                    <w:rPr>
                      <w:rFonts w:hint="default" w:ascii="Times New Roman" w:hAnsi="Times New Roman" w:cs="Times New Roman"/>
                      <w:color w:val="auto"/>
                    </w:rPr>
                  </w:pPr>
                </w:p>
              </w:tc>
            </w:tr>
            <w:tr w14:paraId="764B1A1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340" w:hRule="atLeast"/>
                <w:jc w:val="center"/>
              </w:trPr>
              <w:tc>
                <w:tcPr>
                  <w:tcW w:w="490" w:type="pct"/>
                  <w:vMerge w:val="continue"/>
                  <w:tcBorders>
                    <w:tl2br w:val="nil"/>
                    <w:tr2bl w:val="nil"/>
                  </w:tcBorders>
                  <w:vAlign w:val="center"/>
                </w:tcPr>
                <w:p w14:paraId="57E6AAE5">
                  <w:pPr>
                    <w:pStyle w:val="130"/>
                    <w:rPr>
                      <w:rFonts w:hint="default" w:ascii="Times New Roman" w:hAnsi="Times New Roman" w:cs="Times New Roman"/>
                      <w:color w:val="auto"/>
                    </w:rPr>
                  </w:pPr>
                </w:p>
              </w:tc>
              <w:tc>
                <w:tcPr>
                  <w:tcW w:w="611" w:type="pct"/>
                  <w:tcBorders>
                    <w:tl2br w:val="nil"/>
                    <w:tr2bl w:val="nil"/>
                  </w:tcBorders>
                  <w:vAlign w:val="center"/>
                </w:tcPr>
                <w:p w14:paraId="0D6BA85E">
                  <w:pPr>
                    <w:pStyle w:val="130"/>
                    <w:rPr>
                      <w:rFonts w:hint="default" w:ascii="Times New Roman" w:hAnsi="Times New Roman" w:cs="Times New Roman"/>
                      <w:color w:val="auto"/>
                    </w:rPr>
                  </w:pPr>
                  <w:r>
                    <w:rPr>
                      <w:rFonts w:hint="default" w:ascii="Times New Roman" w:hAnsi="Times New Roman" w:cs="Times New Roman"/>
                      <w:color w:val="auto"/>
                    </w:rPr>
                    <w:t>废滤筒</w:t>
                  </w:r>
                </w:p>
              </w:tc>
              <w:tc>
                <w:tcPr>
                  <w:tcW w:w="396" w:type="pct"/>
                  <w:vMerge w:val="continue"/>
                  <w:tcBorders>
                    <w:tl2br w:val="nil"/>
                    <w:tr2bl w:val="nil"/>
                  </w:tcBorders>
                  <w:vAlign w:val="center"/>
                </w:tcPr>
                <w:p w14:paraId="5F6DE7D1">
                  <w:pPr>
                    <w:pStyle w:val="130"/>
                    <w:rPr>
                      <w:rFonts w:hint="default" w:ascii="Times New Roman" w:hAnsi="Times New Roman" w:cs="Times New Roman"/>
                      <w:color w:val="auto"/>
                    </w:rPr>
                  </w:pPr>
                </w:p>
              </w:tc>
              <w:tc>
                <w:tcPr>
                  <w:tcW w:w="396" w:type="pct"/>
                  <w:vMerge w:val="continue"/>
                  <w:tcBorders>
                    <w:tl2br w:val="nil"/>
                    <w:tr2bl w:val="nil"/>
                  </w:tcBorders>
                  <w:vAlign w:val="center"/>
                </w:tcPr>
                <w:p w14:paraId="2FFBC5CE">
                  <w:pPr>
                    <w:pStyle w:val="130"/>
                    <w:rPr>
                      <w:rFonts w:hint="default" w:ascii="Times New Roman" w:hAnsi="Times New Roman" w:cs="Times New Roman"/>
                      <w:color w:val="auto"/>
                    </w:rPr>
                  </w:pPr>
                </w:p>
              </w:tc>
              <w:tc>
                <w:tcPr>
                  <w:tcW w:w="496" w:type="pct"/>
                  <w:vMerge w:val="continue"/>
                  <w:tcBorders>
                    <w:tl2br w:val="nil"/>
                    <w:tr2bl w:val="nil"/>
                  </w:tcBorders>
                  <w:vAlign w:val="center"/>
                </w:tcPr>
                <w:p w14:paraId="2D5CECC5">
                  <w:pPr>
                    <w:pStyle w:val="130"/>
                    <w:rPr>
                      <w:rFonts w:hint="default" w:ascii="Times New Roman" w:hAnsi="Times New Roman" w:cs="Times New Roman"/>
                      <w:color w:val="auto"/>
                    </w:rPr>
                  </w:pPr>
                </w:p>
              </w:tc>
              <w:tc>
                <w:tcPr>
                  <w:tcW w:w="763" w:type="pct"/>
                  <w:vMerge w:val="continue"/>
                  <w:tcBorders>
                    <w:tl2br w:val="nil"/>
                    <w:tr2bl w:val="nil"/>
                  </w:tcBorders>
                  <w:vAlign w:val="center"/>
                </w:tcPr>
                <w:p w14:paraId="24F1B229">
                  <w:pPr>
                    <w:pStyle w:val="130"/>
                    <w:rPr>
                      <w:rFonts w:hint="default" w:ascii="Times New Roman" w:hAnsi="Times New Roman" w:cs="Times New Roman"/>
                      <w:color w:val="auto"/>
                    </w:rPr>
                  </w:pPr>
                </w:p>
              </w:tc>
              <w:tc>
                <w:tcPr>
                  <w:tcW w:w="520" w:type="pct"/>
                  <w:tcBorders>
                    <w:tl2br w:val="nil"/>
                    <w:tr2bl w:val="nil"/>
                  </w:tcBorders>
                  <w:vAlign w:val="center"/>
                </w:tcPr>
                <w:p w14:paraId="39533C26">
                  <w:pPr>
                    <w:pStyle w:val="130"/>
                    <w:rPr>
                      <w:rFonts w:hint="default" w:ascii="Times New Roman" w:hAnsi="Times New Roman" w:cs="Times New Roman"/>
                      <w:color w:val="auto"/>
                    </w:rPr>
                  </w:pPr>
                  <w:r>
                    <w:rPr>
                      <w:rFonts w:hint="default" w:ascii="Times New Roman" w:hAnsi="Times New Roman" w:cs="Times New Roman"/>
                      <w:color w:val="auto"/>
                    </w:rPr>
                    <w:t>0.02</w:t>
                  </w:r>
                </w:p>
              </w:tc>
              <w:tc>
                <w:tcPr>
                  <w:tcW w:w="318" w:type="pct"/>
                  <w:vMerge w:val="continue"/>
                  <w:tcBorders>
                    <w:tl2br w:val="nil"/>
                    <w:tr2bl w:val="nil"/>
                  </w:tcBorders>
                  <w:vAlign w:val="center"/>
                </w:tcPr>
                <w:p w14:paraId="34A87C82">
                  <w:pPr>
                    <w:pStyle w:val="130"/>
                    <w:rPr>
                      <w:rFonts w:hint="default" w:ascii="Times New Roman" w:hAnsi="Times New Roman" w:cs="Times New Roman"/>
                      <w:color w:val="auto"/>
                    </w:rPr>
                  </w:pPr>
                </w:p>
              </w:tc>
              <w:tc>
                <w:tcPr>
                  <w:tcW w:w="406" w:type="pct"/>
                  <w:vMerge w:val="continue"/>
                  <w:tcBorders>
                    <w:tl2br w:val="nil"/>
                    <w:tr2bl w:val="nil"/>
                  </w:tcBorders>
                  <w:vAlign w:val="center"/>
                </w:tcPr>
                <w:p w14:paraId="3DCD3EB4">
                  <w:pPr>
                    <w:pStyle w:val="130"/>
                    <w:jc w:val="both"/>
                    <w:rPr>
                      <w:rFonts w:hint="default" w:ascii="Times New Roman" w:hAnsi="Times New Roman" w:cs="Times New Roman"/>
                      <w:color w:val="auto"/>
                    </w:rPr>
                  </w:pPr>
                </w:p>
              </w:tc>
              <w:tc>
                <w:tcPr>
                  <w:tcW w:w="600" w:type="pct"/>
                  <w:vMerge w:val="continue"/>
                  <w:tcBorders>
                    <w:tl2br w:val="nil"/>
                    <w:tr2bl w:val="nil"/>
                  </w:tcBorders>
                  <w:vAlign w:val="center"/>
                </w:tcPr>
                <w:p w14:paraId="412163D6">
                  <w:pPr>
                    <w:pStyle w:val="130"/>
                    <w:jc w:val="both"/>
                    <w:rPr>
                      <w:rFonts w:hint="default" w:ascii="Times New Roman" w:hAnsi="Times New Roman" w:cs="Times New Roman"/>
                      <w:color w:val="auto"/>
                    </w:rPr>
                  </w:pPr>
                </w:p>
              </w:tc>
            </w:tr>
            <w:tr w14:paraId="06E494F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277" w:hRule="atLeast"/>
                <w:jc w:val="center"/>
              </w:trPr>
              <w:tc>
                <w:tcPr>
                  <w:tcW w:w="490" w:type="pct"/>
                  <w:tcBorders>
                    <w:tl2br w:val="nil"/>
                    <w:tr2bl w:val="nil"/>
                  </w:tcBorders>
                  <w:vAlign w:val="center"/>
                </w:tcPr>
                <w:p w14:paraId="170A6B7B">
                  <w:pPr>
                    <w:pStyle w:val="130"/>
                    <w:rPr>
                      <w:rFonts w:hint="default" w:ascii="Times New Roman" w:hAnsi="Times New Roman" w:cs="Times New Roman"/>
                      <w:color w:val="auto"/>
                    </w:rPr>
                  </w:pPr>
                  <w:r>
                    <w:rPr>
                      <w:rFonts w:hint="default" w:ascii="Times New Roman" w:hAnsi="Times New Roman" w:cs="Times New Roman"/>
                      <w:color w:val="auto"/>
                    </w:rPr>
                    <w:t>设备维护保养</w:t>
                  </w:r>
                </w:p>
              </w:tc>
              <w:tc>
                <w:tcPr>
                  <w:tcW w:w="611" w:type="pct"/>
                  <w:tcBorders>
                    <w:tl2br w:val="nil"/>
                    <w:tr2bl w:val="nil"/>
                  </w:tcBorders>
                  <w:vAlign w:val="center"/>
                </w:tcPr>
                <w:p w14:paraId="1FC430C4">
                  <w:pPr>
                    <w:pStyle w:val="130"/>
                    <w:rPr>
                      <w:rFonts w:hint="default" w:ascii="Times New Roman" w:hAnsi="Times New Roman" w:cs="Times New Roman"/>
                      <w:color w:val="auto"/>
                    </w:rPr>
                  </w:pPr>
                  <w:r>
                    <w:rPr>
                      <w:rFonts w:hint="default" w:ascii="Times New Roman" w:hAnsi="Times New Roman" w:cs="Times New Roman"/>
                      <w:color w:val="auto"/>
                    </w:rPr>
                    <w:t>废润滑油</w:t>
                  </w:r>
                </w:p>
              </w:tc>
              <w:tc>
                <w:tcPr>
                  <w:tcW w:w="396" w:type="pct"/>
                  <w:tcBorders>
                    <w:tl2br w:val="nil"/>
                    <w:tr2bl w:val="nil"/>
                  </w:tcBorders>
                  <w:vAlign w:val="center"/>
                </w:tcPr>
                <w:p w14:paraId="4005B7AE">
                  <w:pPr>
                    <w:pStyle w:val="130"/>
                    <w:rPr>
                      <w:rFonts w:hint="default" w:ascii="Times New Roman" w:hAnsi="Times New Roman" w:cs="Times New Roman"/>
                      <w:color w:val="auto"/>
                    </w:rPr>
                  </w:pPr>
                  <w:r>
                    <w:rPr>
                      <w:rFonts w:hint="default" w:ascii="Times New Roman" w:hAnsi="Times New Roman" w:cs="Times New Roman"/>
                      <w:color w:val="auto"/>
                    </w:rPr>
                    <w:t>废润滑油</w:t>
                  </w:r>
                </w:p>
              </w:tc>
              <w:tc>
                <w:tcPr>
                  <w:tcW w:w="396" w:type="pct"/>
                  <w:tcBorders>
                    <w:tl2br w:val="nil"/>
                    <w:tr2bl w:val="nil"/>
                  </w:tcBorders>
                  <w:vAlign w:val="center"/>
                </w:tcPr>
                <w:p w14:paraId="3C527BD1">
                  <w:pPr>
                    <w:pStyle w:val="130"/>
                    <w:rPr>
                      <w:rFonts w:hint="default" w:ascii="Times New Roman" w:hAnsi="Times New Roman" w:cs="Times New Roman"/>
                      <w:color w:val="auto"/>
                    </w:rPr>
                  </w:pPr>
                  <w:r>
                    <w:rPr>
                      <w:rFonts w:hint="default" w:ascii="Times New Roman" w:hAnsi="Times New Roman" w:cs="Times New Roman"/>
                      <w:color w:val="auto"/>
                    </w:rPr>
                    <w:t>危险废物</w:t>
                  </w:r>
                </w:p>
              </w:tc>
              <w:tc>
                <w:tcPr>
                  <w:tcW w:w="496" w:type="pct"/>
                  <w:tcBorders>
                    <w:tl2br w:val="nil"/>
                    <w:tr2bl w:val="nil"/>
                  </w:tcBorders>
                  <w:vAlign w:val="center"/>
                </w:tcPr>
                <w:p w14:paraId="53924840">
                  <w:pPr>
                    <w:pStyle w:val="130"/>
                    <w:rPr>
                      <w:rFonts w:hint="default" w:ascii="Times New Roman" w:hAnsi="Times New Roman" w:cs="Times New Roman"/>
                      <w:color w:val="auto"/>
                    </w:rPr>
                  </w:pPr>
                  <w:r>
                    <w:rPr>
                      <w:rFonts w:hint="default" w:ascii="Times New Roman" w:hAnsi="Times New Roman" w:cs="Times New Roman"/>
                      <w:color w:val="auto"/>
                    </w:rPr>
                    <w:t>HW08</w:t>
                  </w:r>
                </w:p>
              </w:tc>
              <w:tc>
                <w:tcPr>
                  <w:tcW w:w="763" w:type="pct"/>
                  <w:tcBorders>
                    <w:tl2br w:val="nil"/>
                    <w:tr2bl w:val="nil"/>
                  </w:tcBorders>
                  <w:vAlign w:val="center"/>
                </w:tcPr>
                <w:p w14:paraId="0C70CE88">
                  <w:pPr>
                    <w:pStyle w:val="130"/>
                    <w:rPr>
                      <w:rFonts w:hint="default" w:ascii="Times New Roman" w:hAnsi="Times New Roman" w:cs="Times New Roman"/>
                      <w:color w:val="auto"/>
                    </w:rPr>
                  </w:pPr>
                  <w:r>
                    <w:rPr>
                      <w:rFonts w:hint="default" w:ascii="Times New Roman" w:hAnsi="Times New Roman" w:eastAsia="TimesNewRomanPSMT" w:cs="Times New Roman"/>
                      <w:color w:val="auto"/>
                    </w:rPr>
                    <w:t>900-249-08</w:t>
                  </w:r>
                </w:p>
              </w:tc>
              <w:tc>
                <w:tcPr>
                  <w:tcW w:w="520" w:type="pct"/>
                  <w:tcBorders>
                    <w:tl2br w:val="nil"/>
                    <w:tr2bl w:val="nil"/>
                  </w:tcBorders>
                  <w:vAlign w:val="center"/>
                </w:tcPr>
                <w:p w14:paraId="57D2E1B6">
                  <w:pPr>
                    <w:pStyle w:val="130"/>
                    <w:rPr>
                      <w:rFonts w:hint="default" w:ascii="Times New Roman" w:hAnsi="Times New Roman" w:cs="Times New Roman"/>
                      <w:color w:val="auto"/>
                    </w:rPr>
                  </w:pPr>
                  <w:r>
                    <w:rPr>
                      <w:rFonts w:hint="default" w:ascii="Times New Roman" w:hAnsi="Times New Roman" w:cs="Times New Roman"/>
                      <w:color w:val="auto"/>
                    </w:rPr>
                    <w:t>0.2</w:t>
                  </w:r>
                </w:p>
              </w:tc>
              <w:tc>
                <w:tcPr>
                  <w:tcW w:w="318" w:type="pct"/>
                  <w:tcBorders>
                    <w:tl2br w:val="nil"/>
                    <w:tr2bl w:val="nil"/>
                  </w:tcBorders>
                  <w:vAlign w:val="center"/>
                </w:tcPr>
                <w:p w14:paraId="3360A0C7">
                  <w:pPr>
                    <w:pStyle w:val="130"/>
                    <w:rPr>
                      <w:rFonts w:hint="default" w:ascii="Times New Roman" w:hAnsi="Times New Roman" w:cs="Times New Roman"/>
                      <w:color w:val="auto"/>
                    </w:rPr>
                  </w:pPr>
                  <w:r>
                    <w:rPr>
                      <w:rFonts w:hint="default" w:ascii="Times New Roman" w:hAnsi="Times New Roman" w:cs="Times New Roman"/>
                      <w:color w:val="auto"/>
                    </w:rPr>
                    <w:t>T/I</w:t>
                  </w:r>
                </w:p>
              </w:tc>
              <w:tc>
                <w:tcPr>
                  <w:tcW w:w="406" w:type="pct"/>
                  <w:tcBorders>
                    <w:tl2br w:val="nil"/>
                    <w:tr2bl w:val="nil"/>
                  </w:tcBorders>
                  <w:vAlign w:val="center"/>
                </w:tcPr>
                <w:p w14:paraId="685BED79">
                  <w:pPr>
                    <w:pStyle w:val="130"/>
                    <w:jc w:val="both"/>
                    <w:rPr>
                      <w:rFonts w:hint="default" w:ascii="Times New Roman" w:hAnsi="Times New Roman" w:cs="Times New Roman"/>
                      <w:color w:val="auto"/>
                    </w:rPr>
                  </w:pPr>
                  <w:r>
                    <w:rPr>
                      <w:rFonts w:hint="default" w:ascii="Times New Roman" w:hAnsi="Times New Roman" w:cs="Times New Roman"/>
                      <w:color w:val="auto"/>
                    </w:rPr>
                    <w:t>收集至危险废物贮存库</w:t>
                  </w:r>
                </w:p>
              </w:tc>
              <w:tc>
                <w:tcPr>
                  <w:tcW w:w="600" w:type="pct"/>
                  <w:tcBorders>
                    <w:tl2br w:val="nil"/>
                    <w:tr2bl w:val="nil"/>
                  </w:tcBorders>
                  <w:vAlign w:val="center"/>
                </w:tcPr>
                <w:p w14:paraId="4ED08CF5">
                  <w:pPr>
                    <w:pStyle w:val="130"/>
                    <w:jc w:val="both"/>
                    <w:rPr>
                      <w:rFonts w:hint="default" w:ascii="Times New Roman" w:hAnsi="Times New Roman" w:cs="Times New Roman"/>
                      <w:color w:val="auto"/>
                    </w:rPr>
                  </w:pPr>
                  <w:r>
                    <w:rPr>
                      <w:rFonts w:hint="default" w:ascii="Times New Roman" w:hAnsi="Times New Roman" w:cs="Times New Roman"/>
                      <w:color w:val="auto"/>
                    </w:rPr>
                    <w:t>委托有资质单位定期清运处置</w:t>
                  </w:r>
                </w:p>
              </w:tc>
            </w:tr>
          </w:tbl>
          <w:p w14:paraId="38C51394">
            <w:pPr>
              <w:pStyle w:val="14"/>
              <w:widowControl w:val="0"/>
              <w:adjustRightInd w:val="0"/>
              <w:spacing w:before="0" w:after="0" w:line="360" w:lineRule="auto"/>
              <w:ind w:right="0"/>
              <w:rPr>
                <w:rFonts w:hint="default" w:ascii="Times New Roman" w:hAnsi="Times New Roman" w:cs="Times New Roman"/>
                <w:color w:val="auto"/>
                <w:spacing w:val="4"/>
                <w:sz w:val="24"/>
              </w:rPr>
            </w:pPr>
          </w:p>
          <w:p w14:paraId="32D62E22">
            <w:pPr>
              <w:pStyle w:val="14"/>
              <w:keepNext w:val="0"/>
              <w:keepLines w:val="0"/>
              <w:pageBreakBefore w:val="0"/>
              <w:widowControl w:val="0"/>
              <w:kinsoku/>
              <w:wordWrap/>
              <w:overflowPunct/>
              <w:topLinePunct w:val="0"/>
              <w:autoSpaceDE/>
              <w:autoSpaceDN/>
              <w:bidi w:val="0"/>
              <w:adjustRightInd w:val="0"/>
              <w:snapToGrid w:val="0"/>
              <w:spacing w:before="115" w:beforeLines="30" w:after="0" w:line="360" w:lineRule="auto"/>
              <w:ind w:right="0"/>
              <w:textAlignment w:val="auto"/>
              <w:rPr>
                <w:rFonts w:hint="default" w:ascii="Times New Roman" w:hAnsi="Times New Roman" w:eastAsia="黑体" w:cs="Times New Roman"/>
                <w:b w:val="0"/>
                <w:bCs w:val="0"/>
                <w:color w:val="auto"/>
                <w:spacing w:val="4"/>
                <w:sz w:val="24"/>
              </w:rPr>
            </w:pPr>
            <w:r>
              <w:rPr>
                <w:rFonts w:hint="default" w:ascii="Times New Roman" w:hAnsi="Times New Roman" w:eastAsia="黑体" w:cs="Times New Roman"/>
                <w:b w:val="0"/>
                <w:bCs w:val="0"/>
                <w:color w:val="auto"/>
                <w:spacing w:val="4"/>
                <w:sz w:val="24"/>
              </w:rPr>
              <w:t>2.4.1.3现有工程污染源及污染防治措施</w:t>
            </w:r>
          </w:p>
          <w:p w14:paraId="23F18464">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表2.4-13  现有工程（现有已投产+在建）污染源及污染防治措施一览表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6"/>
              <w:gridCol w:w="957"/>
              <w:gridCol w:w="2045"/>
              <w:gridCol w:w="1612"/>
              <w:gridCol w:w="3245"/>
            </w:tblGrid>
            <w:tr w14:paraId="6F217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449" w:type="pct"/>
                  <w:tcBorders>
                    <w:tl2br w:val="nil"/>
                    <w:tr2bl w:val="nil"/>
                  </w:tcBorders>
                  <w:tcMar>
                    <w:left w:w="0" w:type="dxa"/>
                    <w:right w:w="0" w:type="dxa"/>
                  </w:tcMar>
                  <w:vAlign w:val="center"/>
                </w:tcPr>
                <w:p w14:paraId="5D61ECB3">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类别</w:t>
                  </w:r>
                </w:p>
              </w:tc>
              <w:tc>
                <w:tcPr>
                  <w:tcW w:w="554" w:type="pct"/>
                  <w:tcBorders>
                    <w:tl2br w:val="nil"/>
                    <w:tr2bl w:val="nil"/>
                  </w:tcBorders>
                  <w:tcMar>
                    <w:left w:w="0" w:type="dxa"/>
                    <w:right w:w="0" w:type="dxa"/>
                  </w:tcMar>
                  <w:vAlign w:val="center"/>
                </w:tcPr>
                <w:p w14:paraId="4DCAD44E">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编号</w:t>
                  </w:r>
                </w:p>
              </w:tc>
              <w:tc>
                <w:tcPr>
                  <w:tcW w:w="1184" w:type="pct"/>
                  <w:tcBorders>
                    <w:tl2br w:val="nil"/>
                    <w:tr2bl w:val="nil"/>
                  </w:tcBorders>
                  <w:tcMar>
                    <w:top w:w="0" w:type="dxa"/>
                    <w:left w:w="0" w:type="dxa"/>
                    <w:bottom w:w="0" w:type="dxa"/>
                    <w:right w:w="0" w:type="dxa"/>
                  </w:tcMar>
                  <w:vAlign w:val="center"/>
                </w:tcPr>
                <w:p w14:paraId="7B4278A8">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污染源</w:t>
                  </w:r>
                </w:p>
              </w:tc>
              <w:tc>
                <w:tcPr>
                  <w:tcW w:w="933" w:type="pct"/>
                  <w:tcBorders>
                    <w:tl2br w:val="nil"/>
                    <w:tr2bl w:val="nil"/>
                  </w:tcBorders>
                  <w:tcMar>
                    <w:left w:w="0" w:type="dxa"/>
                    <w:right w:w="0" w:type="dxa"/>
                  </w:tcMar>
                  <w:vAlign w:val="center"/>
                </w:tcPr>
                <w:p w14:paraId="4E1AAE46">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污染物主要成份</w:t>
                  </w:r>
                </w:p>
              </w:tc>
              <w:tc>
                <w:tcPr>
                  <w:tcW w:w="1878" w:type="pct"/>
                  <w:tcBorders>
                    <w:tl2br w:val="nil"/>
                    <w:tr2bl w:val="nil"/>
                  </w:tcBorders>
                  <w:tcMar>
                    <w:left w:w="0" w:type="dxa"/>
                    <w:right w:w="0" w:type="dxa"/>
                  </w:tcMar>
                  <w:vAlign w:val="center"/>
                </w:tcPr>
                <w:p w14:paraId="016AD5F8">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治理措施及排放去向</w:t>
                  </w:r>
                </w:p>
              </w:tc>
            </w:tr>
            <w:tr w14:paraId="1FF55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tblHeader/>
                <w:jc w:val="center"/>
              </w:trPr>
              <w:tc>
                <w:tcPr>
                  <w:tcW w:w="449" w:type="pct"/>
                  <w:vMerge w:val="restart"/>
                  <w:tcBorders>
                    <w:tl2br w:val="nil"/>
                    <w:tr2bl w:val="nil"/>
                  </w:tcBorders>
                  <w:tcMar>
                    <w:left w:w="0" w:type="dxa"/>
                    <w:right w:w="0" w:type="dxa"/>
                  </w:tcMar>
                  <w:vAlign w:val="center"/>
                </w:tcPr>
                <w:p w14:paraId="1C6756A4">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废气</w:t>
                  </w:r>
                </w:p>
              </w:tc>
              <w:tc>
                <w:tcPr>
                  <w:tcW w:w="554" w:type="pct"/>
                  <w:tcBorders>
                    <w:tl2br w:val="nil"/>
                    <w:tr2bl w:val="nil"/>
                  </w:tcBorders>
                  <w:tcMar>
                    <w:left w:w="0" w:type="dxa"/>
                    <w:right w:w="0" w:type="dxa"/>
                  </w:tcMar>
                  <w:vAlign w:val="center"/>
                </w:tcPr>
                <w:p w14:paraId="1F0A07B6">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DA001</w:t>
                  </w:r>
                </w:p>
              </w:tc>
              <w:tc>
                <w:tcPr>
                  <w:tcW w:w="1184" w:type="pct"/>
                  <w:tcBorders>
                    <w:tl2br w:val="nil"/>
                    <w:tr2bl w:val="nil"/>
                  </w:tcBorders>
                  <w:tcMar>
                    <w:top w:w="0" w:type="dxa"/>
                    <w:left w:w="0" w:type="dxa"/>
                    <w:bottom w:w="0" w:type="dxa"/>
                    <w:right w:w="0" w:type="dxa"/>
                  </w:tcMar>
                  <w:vAlign w:val="center"/>
                </w:tcPr>
                <w:p w14:paraId="40A2CD83">
                  <w:pPr>
                    <w:widowControl/>
                    <w:adjustRightInd w:val="0"/>
                    <w:snapToGrid w:val="0"/>
                    <w:jc w:val="both"/>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1-2#线感应加热废气排放口</w:t>
                  </w:r>
                </w:p>
              </w:tc>
              <w:tc>
                <w:tcPr>
                  <w:tcW w:w="933" w:type="pct"/>
                  <w:tcBorders>
                    <w:tl2br w:val="nil"/>
                    <w:tr2bl w:val="nil"/>
                  </w:tcBorders>
                  <w:tcMar>
                    <w:left w:w="0" w:type="dxa"/>
                    <w:right w:w="0" w:type="dxa"/>
                  </w:tcMar>
                  <w:vAlign w:val="center"/>
                </w:tcPr>
                <w:p w14:paraId="19E60B5C">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颗粒物</w:t>
                  </w:r>
                </w:p>
              </w:tc>
              <w:tc>
                <w:tcPr>
                  <w:tcW w:w="1878" w:type="pct"/>
                  <w:tcBorders>
                    <w:tl2br w:val="nil"/>
                    <w:tr2bl w:val="nil"/>
                  </w:tcBorders>
                  <w:tcMar>
                    <w:left w:w="0" w:type="dxa"/>
                    <w:right w:w="0" w:type="dxa"/>
                  </w:tcMar>
                  <w:vAlign w:val="center"/>
                </w:tcPr>
                <w:p w14:paraId="79893FE7">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由抽烟罩吸附处理后通过15m排气筒排放</w:t>
                  </w:r>
                </w:p>
              </w:tc>
            </w:tr>
            <w:tr w14:paraId="279FA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tblHeader/>
                <w:jc w:val="center"/>
              </w:trPr>
              <w:tc>
                <w:tcPr>
                  <w:tcW w:w="449" w:type="pct"/>
                  <w:vMerge w:val="continue"/>
                  <w:tcBorders>
                    <w:tl2br w:val="nil"/>
                    <w:tr2bl w:val="nil"/>
                  </w:tcBorders>
                  <w:tcMar>
                    <w:left w:w="0" w:type="dxa"/>
                    <w:right w:w="0" w:type="dxa"/>
                  </w:tcMar>
                  <w:vAlign w:val="center"/>
                </w:tcPr>
                <w:p w14:paraId="5FEB2830">
                  <w:pPr>
                    <w:adjustRightInd w:val="0"/>
                    <w:snapToGrid w:val="0"/>
                    <w:jc w:val="center"/>
                    <w:rPr>
                      <w:rFonts w:hint="default" w:ascii="Times New Roman" w:hAnsi="Times New Roman" w:cs="Times New Roman"/>
                      <w:color w:val="auto"/>
                      <w:szCs w:val="21"/>
                    </w:rPr>
                  </w:pPr>
                </w:p>
              </w:tc>
              <w:tc>
                <w:tcPr>
                  <w:tcW w:w="554" w:type="pct"/>
                  <w:tcBorders>
                    <w:tl2br w:val="nil"/>
                    <w:tr2bl w:val="nil"/>
                  </w:tcBorders>
                  <w:tcMar>
                    <w:left w:w="0" w:type="dxa"/>
                    <w:right w:w="0" w:type="dxa"/>
                  </w:tcMar>
                  <w:vAlign w:val="center"/>
                </w:tcPr>
                <w:p w14:paraId="7988E98F">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DA002</w:t>
                  </w:r>
                </w:p>
              </w:tc>
              <w:tc>
                <w:tcPr>
                  <w:tcW w:w="1184" w:type="pct"/>
                  <w:tcBorders>
                    <w:tl2br w:val="nil"/>
                    <w:tr2bl w:val="nil"/>
                  </w:tcBorders>
                  <w:tcMar>
                    <w:top w:w="0" w:type="dxa"/>
                    <w:left w:w="0" w:type="dxa"/>
                    <w:bottom w:w="0" w:type="dxa"/>
                    <w:right w:w="0" w:type="dxa"/>
                  </w:tcMar>
                  <w:vAlign w:val="center"/>
                </w:tcPr>
                <w:p w14:paraId="65C256E7">
                  <w:pPr>
                    <w:widowControl/>
                    <w:adjustRightInd w:val="0"/>
                    <w:snapToGrid w:val="0"/>
                    <w:jc w:val="both"/>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3-4#线感应加热废气排放口</w:t>
                  </w:r>
                </w:p>
              </w:tc>
              <w:tc>
                <w:tcPr>
                  <w:tcW w:w="933" w:type="pct"/>
                  <w:tcBorders>
                    <w:tl2br w:val="nil"/>
                    <w:tr2bl w:val="nil"/>
                  </w:tcBorders>
                  <w:tcMar>
                    <w:left w:w="0" w:type="dxa"/>
                    <w:right w:w="0" w:type="dxa"/>
                  </w:tcMar>
                  <w:vAlign w:val="center"/>
                </w:tcPr>
                <w:p w14:paraId="5B951EB7">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颗粒物</w:t>
                  </w:r>
                </w:p>
              </w:tc>
              <w:tc>
                <w:tcPr>
                  <w:tcW w:w="1878" w:type="pct"/>
                  <w:tcBorders>
                    <w:tl2br w:val="nil"/>
                    <w:tr2bl w:val="nil"/>
                  </w:tcBorders>
                  <w:tcMar>
                    <w:left w:w="0" w:type="dxa"/>
                    <w:right w:w="0" w:type="dxa"/>
                  </w:tcMar>
                  <w:vAlign w:val="center"/>
                </w:tcPr>
                <w:p w14:paraId="34C5A020">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由抽烟罩吸附处理后通过15m排气筒排放</w:t>
                  </w:r>
                </w:p>
              </w:tc>
            </w:tr>
            <w:tr w14:paraId="2E1AC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tblHeader/>
                <w:jc w:val="center"/>
              </w:trPr>
              <w:tc>
                <w:tcPr>
                  <w:tcW w:w="449" w:type="pct"/>
                  <w:vMerge w:val="continue"/>
                  <w:tcBorders>
                    <w:tl2br w:val="nil"/>
                    <w:tr2bl w:val="nil"/>
                  </w:tcBorders>
                  <w:tcMar>
                    <w:left w:w="0" w:type="dxa"/>
                    <w:right w:w="0" w:type="dxa"/>
                  </w:tcMar>
                  <w:vAlign w:val="center"/>
                </w:tcPr>
                <w:p w14:paraId="71DE9A36">
                  <w:pPr>
                    <w:adjustRightInd w:val="0"/>
                    <w:snapToGrid w:val="0"/>
                    <w:jc w:val="center"/>
                    <w:rPr>
                      <w:rFonts w:hint="default" w:ascii="Times New Roman" w:hAnsi="Times New Roman" w:cs="Times New Roman"/>
                      <w:color w:val="auto"/>
                      <w:szCs w:val="21"/>
                    </w:rPr>
                  </w:pPr>
                </w:p>
              </w:tc>
              <w:tc>
                <w:tcPr>
                  <w:tcW w:w="554" w:type="pct"/>
                  <w:tcBorders>
                    <w:tl2br w:val="nil"/>
                    <w:tr2bl w:val="nil"/>
                  </w:tcBorders>
                  <w:tcMar>
                    <w:left w:w="0" w:type="dxa"/>
                    <w:right w:w="0" w:type="dxa"/>
                  </w:tcMar>
                  <w:vAlign w:val="center"/>
                </w:tcPr>
                <w:p w14:paraId="3A70D243">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DA003</w:t>
                  </w:r>
                </w:p>
              </w:tc>
              <w:tc>
                <w:tcPr>
                  <w:tcW w:w="1184" w:type="pct"/>
                  <w:tcBorders>
                    <w:tl2br w:val="nil"/>
                    <w:tr2bl w:val="nil"/>
                  </w:tcBorders>
                  <w:tcMar>
                    <w:top w:w="0" w:type="dxa"/>
                    <w:left w:w="0" w:type="dxa"/>
                    <w:bottom w:w="0" w:type="dxa"/>
                    <w:right w:w="0" w:type="dxa"/>
                  </w:tcMar>
                  <w:vAlign w:val="center"/>
                </w:tcPr>
                <w:p w14:paraId="6F9C2C59">
                  <w:pPr>
                    <w:widowControl/>
                    <w:adjustRightInd w:val="0"/>
                    <w:snapToGrid w:val="0"/>
                    <w:jc w:val="both"/>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5-8#线感应加热废气排放口</w:t>
                  </w:r>
                </w:p>
              </w:tc>
              <w:tc>
                <w:tcPr>
                  <w:tcW w:w="933" w:type="pct"/>
                  <w:tcBorders>
                    <w:tl2br w:val="nil"/>
                    <w:tr2bl w:val="nil"/>
                  </w:tcBorders>
                  <w:tcMar>
                    <w:left w:w="0" w:type="dxa"/>
                    <w:right w:w="0" w:type="dxa"/>
                  </w:tcMar>
                  <w:vAlign w:val="center"/>
                </w:tcPr>
                <w:p w14:paraId="4196952C">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颗粒物</w:t>
                  </w:r>
                </w:p>
              </w:tc>
              <w:tc>
                <w:tcPr>
                  <w:tcW w:w="1878" w:type="pct"/>
                  <w:tcBorders>
                    <w:tl2br w:val="nil"/>
                    <w:tr2bl w:val="nil"/>
                  </w:tcBorders>
                  <w:tcMar>
                    <w:left w:w="0" w:type="dxa"/>
                    <w:right w:w="0" w:type="dxa"/>
                  </w:tcMar>
                  <w:vAlign w:val="center"/>
                </w:tcPr>
                <w:p w14:paraId="2E25D1F3">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由抽烟罩吸附处理后通过15m排气筒排放</w:t>
                  </w:r>
                </w:p>
              </w:tc>
            </w:tr>
            <w:tr w14:paraId="56CDA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tblHeader/>
                <w:jc w:val="center"/>
              </w:trPr>
              <w:tc>
                <w:tcPr>
                  <w:tcW w:w="449" w:type="pct"/>
                  <w:vMerge w:val="continue"/>
                  <w:tcBorders>
                    <w:tl2br w:val="nil"/>
                    <w:tr2bl w:val="nil"/>
                  </w:tcBorders>
                  <w:tcMar>
                    <w:left w:w="0" w:type="dxa"/>
                    <w:right w:w="0" w:type="dxa"/>
                  </w:tcMar>
                  <w:vAlign w:val="center"/>
                </w:tcPr>
                <w:p w14:paraId="76FF0318">
                  <w:pPr>
                    <w:adjustRightInd w:val="0"/>
                    <w:snapToGrid w:val="0"/>
                    <w:jc w:val="center"/>
                    <w:rPr>
                      <w:rFonts w:hint="default" w:ascii="Times New Roman" w:hAnsi="Times New Roman" w:cs="Times New Roman"/>
                      <w:color w:val="auto"/>
                      <w:szCs w:val="21"/>
                    </w:rPr>
                  </w:pPr>
                </w:p>
              </w:tc>
              <w:tc>
                <w:tcPr>
                  <w:tcW w:w="554" w:type="pct"/>
                  <w:tcBorders>
                    <w:tl2br w:val="nil"/>
                    <w:tr2bl w:val="nil"/>
                  </w:tcBorders>
                  <w:tcMar>
                    <w:left w:w="0" w:type="dxa"/>
                    <w:right w:w="0" w:type="dxa"/>
                  </w:tcMar>
                  <w:vAlign w:val="center"/>
                </w:tcPr>
                <w:p w14:paraId="72C862C7">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DA004</w:t>
                  </w:r>
                </w:p>
              </w:tc>
              <w:tc>
                <w:tcPr>
                  <w:tcW w:w="1184" w:type="pct"/>
                  <w:tcBorders>
                    <w:tl2br w:val="nil"/>
                    <w:tr2bl w:val="nil"/>
                  </w:tcBorders>
                  <w:tcMar>
                    <w:top w:w="0" w:type="dxa"/>
                    <w:left w:w="0" w:type="dxa"/>
                    <w:bottom w:w="0" w:type="dxa"/>
                    <w:right w:w="0" w:type="dxa"/>
                  </w:tcMar>
                  <w:vAlign w:val="center"/>
                </w:tcPr>
                <w:p w14:paraId="1438B960">
                  <w:pPr>
                    <w:widowControl/>
                    <w:adjustRightInd w:val="0"/>
                    <w:snapToGrid w:val="0"/>
                    <w:jc w:val="both"/>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9-12#线感应加热废气排放口</w:t>
                  </w:r>
                </w:p>
              </w:tc>
              <w:tc>
                <w:tcPr>
                  <w:tcW w:w="933" w:type="pct"/>
                  <w:tcBorders>
                    <w:tl2br w:val="nil"/>
                    <w:tr2bl w:val="nil"/>
                  </w:tcBorders>
                  <w:tcMar>
                    <w:left w:w="0" w:type="dxa"/>
                    <w:right w:w="0" w:type="dxa"/>
                  </w:tcMar>
                  <w:vAlign w:val="center"/>
                </w:tcPr>
                <w:p w14:paraId="26427C8C">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颗粒物</w:t>
                  </w:r>
                </w:p>
              </w:tc>
              <w:tc>
                <w:tcPr>
                  <w:tcW w:w="1878" w:type="pct"/>
                  <w:tcBorders>
                    <w:tl2br w:val="nil"/>
                    <w:tr2bl w:val="nil"/>
                  </w:tcBorders>
                  <w:tcMar>
                    <w:left w:w="0" w:type="dxa"/>
                    <w:right w:w="0" w:type="dxa"/>
                  </w:tcMar>
                  <w:vAlign w:val="center"/>
                </w:tcPr>
                <w:p w14:paraId="55F4E5FF">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由抽烟罩吸附处理后通过15m排气筒排放</w:t>
                  </w:r>
                </w:p>
              </w:tc>
            </w:tr>
            <w:tr w14:paraId="2063B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tblHeader/>
                <w:jc w:val="center"/>
              </w:trPr>
              <w:tc>
                <w:tcPr>
                  <w:tcW w:w="449" w:type="pct"/>
                  <w:vMerge w:val="continue"/>
                  <w:tcBorders>
                    <w:tl2br w:val="nil"/>
                    <w:tr2bl w:val="nil"/>
                  </w:tcBorders>
                  <w:tcMar>
                    <w:left w:w="0" w:type="dxa"/>
                    <w:right w:w="0" w:type="dxa"/>
                  </w:tcMar>
                  <w:vAlign w:val="center"/>
                </w:tcPr>
                <w:p w14:paraId="642A7BA0">
                  <w:pPr>
                    <w:adjustRightInd w:val="0"/>
                    <w:snapToGrid w:val="0"/>
                    <w:jc w:val="center"/>
                    <w:rPr>
                      <w:rFonts w:hint="default" w:ascii="Times New Roman" w:hAnsi="Times New Roman" w:cs="Times New Roman"/>
                      <w:color w:val="auto"/>
                      <w:szCs w:val="21"/>
                    </w:rPr>
                  </w:pPr>
                </w:p>
              </w:tc>
              <w:tc>
                <w:tcPr>
                  <w:tcW w:w="554" w:type="pct"/>
                  <w:tcBorders>
                    <w:tl2br w:val="nil"/>
                    <w:tr2bl w:val="nil"/>
                  </w:tcBorders>
                  <w:tcMar>
                    <w:left w:w="0" w:type="dxa"/>
                    <w:right w:w="0" w:type="dxa"/>
                  </w:tcMar>
                  <w:vAlign w:val="center"/>
                </w:tcPr>
                <w:p w14:paraId="26FCA1BC">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DA005</w:t>
                  </w:r>
                </w:p>
              </w:tc>
              <w:tc>
                <w:tcPr>
                  <w:tcW w:w="1184" w:type="pct"/>
                  <w:tcBorders>
                    <w:tl2br w:val="nil"/>
                    <w:tr2bl w:val="nil"/>
                  </w:tcBorders>
                  <w:tcMar>
                    <w:top w:w="0" w:type="dxa"/>
                    <w:left w:w="0" w:type="dxa"/>
                    <w:bottom w:w="0" w:type="dxa"/>
                    <w:right w:w="0" w:type="dxa"/>
                  </w:tcMar>
                  <w:vAlign w:val="center"/>
                </w:tcPr>
                <w:p w14:paraId="18BF0843">
                  <w:pPr>
                    <w:widowControl/>
                    <w:adjustRightInd w:val="0"/>
                    <w:snapToGrid w:val="0"/>
                    <w:jc w:val="both"/>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13-16#线感应加热废气排放口</w:t>
                  </w:r>
                </w:p>
              </w:tc>
              <w:tc>
                <w:tcPr>
                  <w:tcW w:w="933" w:type="pct"/>
                  <w:tcBorders>
                    <w:tl2br w:val="nil"/>
                    <w:tr2bl w:val="nil"/>
                  </w:tcBorders>
                  <w:tcMar>
                    <w:left w:w="0" w:type="dxa"/>
                    <w:right w:w="0" w:type="dxa"/>
                  </w:tcMar>
                  <w:vAlign w:val="center"/>
                </w:tcPr>
                <w:p w14:paraId="3D6EAEA5">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颗粒物</w:t>
                  </w:r>
                </w:p>
              </w:tc>
              <w:tc>
                <w:tcPr>
                  <w:tcW w:w="1878" w:type="pct"/>
                  <w:tcBorders>
                    <w:tl2br w:val="nil"/>
                    <w:tr2bl w:val="nil"/>
                  </w:tcBorders>
                  <w:tcMar>
                    <w:left w:w="0" w:type="dxa"/>
                    <w:right w:w="0" w:type="dxa"/>
                  </w:tcMar>
                  <w:vAlign w:val="center"/>
                </w:tcPr>
                <w:p w14:paraId="425E00A9">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由抽烟罩吸附处理后通过15m排气筒排放</w:t>
                  </w:r>
                </w:p>
              </w:tc>
            </w:tr>
            <w:tr w14:paraId="2BB94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1" w:hRule="atLeast"/>
                <w:jc w:val="center"/>
              </w:trPr>
              <w:tc>
                <w:tcPr>
                  <w:tcW w:w="449" w:type="pct"/>
                  <w:vMerge w:val="continue"/>
                  <w:tcBorders>
                    <w:tl2br w:val="nil"/>
                    <w:tr2bl w:val="nil"/>
                  </w:tcBorders>
                  <w:tcMar>
                    <w:left w:w="0" w:type="dxa"/>
                    <w:right w:w="0" w:type="dxa"/>
                  </w:tcMar>
                  <w:vAlign w:val="center"/>
                </w:tcPr>
                <w:p w14:paraId="44B599DE">
                  <w:pPr>
                    <w:adjustRightInd w:val="0"/>
                    <w:snapToGrid w:val="0"/>
                    <w:jc w:val="center"/>
                    <w:rPr>
                      <w:rFonts w:hint="default" w:ascii="Times New Roman" w:hAnsi="Times New Roman" w:cs="Times New Roman"/>
                      <w:color w:val="auto"/>
                      <w:szCs w:val="21"/>
                    </w:rPr>
                  </w:pPr>
                </w:p>
              </w:tc>
              <w:tc>
                <w:tcPr>
                  <w:tcW w:w="554" w:type="pct"/>
                  <w:tcBorders>
                    <w:tl2br w:val="nil"/>
                    <w:tr2bl w:val="nil"/>
                  </w:tcBorders>
                  <w:tcMar>
                    <w:left w:w="0" w:type="dxa"/>
                    <w:right w:w="0" w:type="dxa"/>
                  </w:tcMar>
                  <w:vAlign w:val="center"/>
                </w:tcPr>
                <w:p w14:paraId="2F6577B1">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U1</w:t>
                  </w:r>
                </w:p>
              </w:tc>
              <w:tc>
                <w:tcPr>
                  <w:tcW w:w="1184" w:type="pct"/>
                  <w:tcBorders>
                    <w:tl2br w:val="nil"/>
                    <w:tr2bl w:val="nil"/>
                  </w:tcBorders>
                  <w:tcMar>
                    <w:top w:w="0" w:type="dxa"/>
                    <w:left w:w="0" w:type="dxa"/>
                    <w:bottom w:w="0" w:type="dxa"/>
                    <w:right w:w="0" w:type="dxa"/>
                  </w:tcMar>
                  <w:vAlign w:val="center"/>
                </w:tcPr>
                <w:p w14:paraId="34E8A54D">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kern w:val="0"/>
                      <w:szCs w:val="21"/>
                    </w:rPr>
                    <w:t>剥壳除锈、打磨</w:t>
                  </w:r>
                </w:p>
              </w:tc>
              <w:tc>
                <w:tcPr>
                  <w:tcW w:w="933" w:type="pct"/>
                  <w:tcBorders>
                    <w:tl2br w:val="nil"/>
                    <w:tr2bl w:val="nil"/>
                  </w:tcBorders>
                  <w:tcMar>
                    <w:left w:w="0" w:type="dxa"/>
                    <w:right w:w="0" w:type="dxa"/>
                  </w:tcMar>
                  <w:vAlign w:val="center"/>
                </w:tcPr>
                <w:p w14:paraId="3AD1EE67">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颗粒物</w:t>
                  </w:r>
                </w:p>
              </w:tc>
              <w:tc>
                <w:tcPr>
                  <w:tcW w:w="1878" w:type="pct"/>
                  <w:tcBorders>
                    <w:tl2br w:val="nil"/>
                    <w:tr2bl w:val="nil"/>
                  </w:tcBorders>
                  <w:tcMar>
                    <w:left w:w="0" w:type="dxa"/>
                    <w:right w:w="0" w:type="dxa"/>
                  </w:tcMar>
                  <w:vAlign w:val="center"/>
                </w:tcPr>
                <w:p w14:paraId="3AC1A717">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kern w:val="0"/>
                      <w:szCs w:val="21"/>
                    </w:rPr>
                    <w:t>密闭并配套2台侧吸式集尘设施，废气收集至“滤筒除尘器”处理后在车间内沉降后无组织排放</w:t>
                  </w:r>
                </w:p>
              </w:tc>
            </w:tr>
            <w:tr w14:paraId="577F3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49" w:type="pct"/>
                  <w:vMerge w:val="restart"/>
                  <w:tcBorders>
                    <w:tl2br w:val="nil"/>
                    <w:tr2bl w:val="nil"/>
                  </w:tcBorders>
                  <w:tcMar>
                    <w:left w:w="0" w:type="dxa"/>
                    <w:right w:w="0" w:type="dxa"/>
                  </w:tcMar>
                  <w:vAlign w:val="center"/>
                </w:tcPr>
                <w:p w14:paraId="069F4E16">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废水</w:t>
                  </w:r>
                </w:p>
              </w:tc>
              <w:tc>
                <w:tcPr>
                  <w:tcW w:w="554" w:type="pct"/>
                  <w:tcBorders>
                    <w:tl2br w:val="nil"/>
                    <w:tr2bl w:val="nil"/>
                  </w:tcBorders>
                  <w:tcMar>
                    <w:left w:w="0" w:type="dxa"/>
                    <w:right w:w="0" w:type="dxa"/>
                  </w:tcMar>
                  <w:vAlign w:val="center"/>
                </w:tcPr>
                <w:p w14:paraId="41B4CDA3">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W1</w:t>
                  </w:r>
                </w:p>
              </w:tc>
              <w:tc>
                <w:tcPr>
                  <w:tcW w:w="1184" w:type="pct"/>
                  <w:tcBorders>
                    <w:tl2br w:val="nil"/>
                    <w:tr2bl w:val="nil"/>
                  </w:tcBorders>
                  <w:tcMar>
                    <w:top w:w="0" w:type="dxa"/>
                    <w:left w:w="0" w:type="dxa"/>
                    <w:bottom w:w="0" w:type="dxa"/>
                    <w:right w:w="0" w:type="dxa"/>
                  </w:tcMar>
                  <w:vAlign w:val="center"/>
                </w:tcPr>
                <w:p w14:paraId="7FF786F5">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生产废水</w:t>
                  </w:r>
                </w:p>
              </w:tc>
              <w:tc>
                <w:tcPr>
                  <w:tcW w:w="933" w:type="pct"/>
                  <w:tcBorders>
                    <w:tl2br w:val="nil"/>
                    <w:tr2bl w:val="nil"/>
                  </w:tcBorders>
                  <w:tcMar>
                    <w:left w:w="0" w:type="dxa"/>
                    <w:right w:w="0" w:type="dxa"/>
                  </w:tcMar>
                  <w:vAlign w:val="center"/>
                </w:tcPr>
                <w:p w14:paraId="70D72D94">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SS</w:t>
                  </w:r>
                </w:p>
              </w:tc>
              <w:tc>
                <w:tcPr>
                  <w:tcW w:w="1878" w:type="pct"/>
                  <w:tcBorders>
                    <w:tl2br w:val="nil"/>
                    <w:tr2bl w:val="nil"/>
                  </w:tcBorders>
                  <w:tcMar>
                    <w:left w:w="0" w:type="dxa"/>
                    <w:right w:w="0" w:type="dxa"/>
                  </w:tcMar>
                  <w:vAlign w:val="center"/>
                </w:tcPr>
                <w:p w14:paraId="0BCB292D">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循环使用，不外排</w:t>
                  </w:r>
                </w:p>
              </w:tc>
            </w:tr>
            <w:tr w14:paraId="7EB12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3" w:hRule="atLeast"/>
                <w:jc w:val="center"/>
              </w:trPr>
              <w:tc>
                <w:tcPr>
                  <w:tcW w:w="449" w:type="pct"/>
                  <w:vMerge w:val="continue"/>
                  <w:tcBorders>
                    <w:tl2br w:val="nil"/>
                    <w:tr2bl w:val="nil"/>
                  </w:tcBorders>
                  <w:tcMar>
                    <w:left w:w="0" w:type="dxa"/>
                    <w:right w:w="0" w:type="dxa"/>
                  </w:tcMar>
                  <w:vAlign w:val="center"/>
                </w:tcPr>
                <w:p w14:paraId="382E02ED">
                  <w:pPr>
                    <w:adjustRightInd w:val="0"/>
                    <w:snapToGrid w:val="0"/>
                    <w:jc w:val="center"/>
                    <w:rPr>
                      <w:rFonts w:hint="default" w:ascii="Times New Roman" w:hAnsi="Times New Roman" w:cs="Times New Roman"/>
                      <w:color w:val="auto"/>
                      <w:szCs w:val="21"/>
                    </w:rPr>
                  </w:pPr>
                </w:p>
              </w:tc>
              <w:tc>
                <w:tcPr>
                  <w:tcW w:w="554" w:type="pct"/>
                  <w:tcBorders>
                    <w:tl2br w:val="nil"/>
                    <w:tr2bl w:val="nil"/>
                  </w:tcBorders>
                  <w:tcMar>
                    <w:left w:w="0" w:type="dxa"/>
                    <w:right w:w="0" w:type="dxa"/>
                  </w:tcMar>
                  <w:vAlign w:val="center"/>
                </w:tcPr>
                <w:p w14:paraId="2DA28690">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W2</w:t>
                  </w:r>
                </w:p>
              </w:tc>
              <w:tc>
                <w:tcPr>
                  <w:tcW w:w="1184" w:type="pct"/>
                  <w:tcBorders>
                    <w:tl2br w:val="nil"/>
                    <w:tr2bl w:val="nil"/>
                  </w:tcBorders>
                  <w:tcMar>
                    <w:top w:w="0" w:type="dxa"/>
                    <w:left w:w="0" w:type="dxa"/>
                    <w:bottom w:w="0" w:type="dxa"/>
                    <w:right w:w="0" w:type="dxa"/>
                  </w:tcMar>
                  <w:vAlign w:val="center"/>
                </w:tcPr>
                <w:p w14:paraId="7C4B1160">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生活污水</w:t>
                  </w:r>
                </w:p>
              </w:tc>
              <w:tc>
                <w:tcPr>
                  <w:tcW w:w="933" w:type="pct"/>
                  <w:tcBorders>
                    <w:tl2br w:val="nil"/>
                    <w:tr2bl w:val="nil"/>
                  </w:tcBorders>
                  <w:tcMar>
                    <w:left w:w="0" w:type="dxa"/>
                    <w:right w:w="0" w:type="dxa"/>
                  </w:tcMar>
                  <w:vAlign w:val="center"/>
                </w:tcPr>
                <w:p w14:paraId="2907359A">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pH、COD、SS、氨氮、BOD</w:t>
                  </w:r>
                </w:p>
              </w:tc>
              <w:tc>
                <w:tcPr>
                  <w:tcW w:w="1878" w:type="pct"/>
                  <w:tcBorders>
                    <w:tl2br w:val="nil"/>
                    <w:tr2bl w:val="nil"/>
                  </w:tcBorders>
                  <w:tcMar>
                    <w:left w:w="0" w:type="dxa"/>
                    <w:right w:w="0" w:type="dxa"/>
                  </w:tcMar>
                  <w:vAlign w:val="center"/>
                </w:tcPr>
                <w:p w14:paraId="24340588">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经化粪池处理后</w:t>
                  </w:r>
                  <w:r>
                    <w:rPr>
                      <w:rFonts w:hint="default" w:ascii="Times New Roman" w:hAnsi="Times New Roman" w:cs="Times New Roman"/>
                      <w:color w:val="auto"/>
                      <w:kern w:val="0"/>
                      <w:szCs w:val="21"/>
                    </w:rPr>
                    <w:t>暂存于企业原污水处理设施（现已停用），待生活污水管道改造完成后，</w:t>
                  </w:r>
                  <w:r>
                    <w:rPr>
                      <w:rFonts w:hint="default" w:ascii="Times New Roman" w:hAnsi="Times New Roman" w:cs="Times New Roman"/>
                      <w:color w:val="auto"/>
                      <w:kern w:val="0"/>
                      <w:szCs w:val="21"/>
                      <w:highlight w:val="none"/>
                    </w:rPr>
                    <w:t>接入沙县金古北片区污水处理厂</w:t>
                  </w:r>
                </w:p>
              </w:tc>
            </w:tr>
            <w:tr w14:paraId="6647F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49" w:type="pct"/>
                  <w:vMerge w:val="restart"/>
                  <w:tcBorders>
                    <w:tl2br w:val="nil"/>
                    <w:tr2bl w:val="nil"/>
                  </w:tcBorders>
                  <w:tcMar>
                    <w:left w:w="0" w:type="dxa"/>
                    <w:right w:w="0" w:type="dxa"/>
                  </w:tcMar>
                  <w:vAlign w:val="center"/>
                </w:tcPr>
                <w:p w14:paraId="2BFF5213">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固废</w:t>
                  </w:r>
                </w:p>
              </w:tc>
              <w:tc>
                <w:tcPr>
                  <w:tcW w:w="554" w:type="pct"/>
                  <w:tcBorders>
                    <w:tl2br w:val="nil"/>
                    <w:tr2bl w:val="nil"/>
                  </w:tcBorders>
                  <w:tcMar>
                    <w:left w:w="0" w:type="dxa"/>
                    <w:right w:w="0" w:type="dxa"/>
                  </w:tcMar>
                  <w:vAlign w:val="center"/>
                </w:tcPr>
                <w:p w14:paraId="14661500">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S1</w:t>
                  </w:r>
                </w:p>
              </w:tc>
              <w:tc>
                <w:tcPr>
                  <w:tcW w:w="1184" w:type="pct"/>
                  <w:tcBorders>
                    <w:tl2br w:val="nil"/>
                    <w:tr2bl w:val="nil"/>
                  </w:tcBorders>
                  <w:shd w:val="clear" w:color="auto" w:fill="auto"/>
                  <w:tcMar>
                    <w:top w:w="0" w:type="dxa"/>
                    <w:left w:w="0" w:type="dxa"/>
                    <w:bottom w:w="0" w:type="dxa"/>
                    <w:right w:w="0" w:type="dxa"/>
                  </w:tcMar>
                  <w:vAlign w:val="center"/>
                </w:tcPr>
                <w:p w14:paraId="5A2529A9">
                  <w:pPr>
                    <w:pStyle w:val="131"/>
                    <w:rPr>
                      <w:rFonts w:hint="default" w:ascii="Times New Roman" w:hAnsi="Times New Roman" w:cs="Times New Roman"/>
                      <w:color w:val="auto"/>
                      <w:szCs w:val="21"/>
                    </w:rPr>
                  </w:pPr>
                  <w:r>
                    <w:rPr>
                      <w:rFonts w:hint="default" w:ascii="Times New Roman" w:hAnsi="Times New Roman" w:cs="Times New Roman"/>
                      <w:color w:val="auto"/>
                      <w:szCs w:val="21"/>
                    </w:rPr>
                    <w:t>氧化铁皮</w:t>
                  </w:r>
                </w:p>
              </w:tc>
              <w:tc>
                <w:tcPr>
                  <w:tcW w:w="933" w:type="pct"/>
                  <w:tcBorders>
                    <w:tl2br w:val="nil"/>
                    <w:tr2bl w:val="nil"/>
                  </w:tcBorders>
                  <w:tcMar>
                    <w:left w:w="0" w:type="dxa"/>
                    <w:right w:w="0" w:type="dxa"/>
                  </w:tcMar>
                  <w:vAlign w:val="center"/>
                </w:tcPr>
                <w:p w14:paraId="31EDA685">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金属氧化物</w:t>
                  </w:r>
                </w:p>
              </w:tc>
              <w:tc>
                <w:tcPr>
                  <w:tcW w:w="1878" w:type="pct"/>
                  <w:vMerge w:val="restart"/>
                  <w:tcBorders>
                    <w:tl2br w:val="nil"/>
                    <w:tr2bl w:val="nil"/>
                  </w:tcBorders>
                  <w:tcMar>
                    <w:left w:w="0" w:type="dxa"/>
                    <w:right w:w="0" w:type="dxa"/>
                  </w:tcMar>
                  <w:vAlign w:val="center"/>
                </w:tcPr>
                <w:p w14:paraId="534CBF3C">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定期外售给有关单位利用</w:t>
                  </w:r>
                </w:p>
              </w:tc>
            </w:tr>
            <w:tr w14:paraId="3E5B4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449" w:type="pct"/>
                  <w:vMerge w:val="continue"/>
                  <w:tcBorders>
                    <w:tl2br w:val="nil"/>
                    <w:tr2bl w:val="nil"/>
                  </w:tcBorders>
                  <w:tcMar>
                    <w:left w:w="0" w:type="dxa"/>
                    <w:right w:w="0" w:type="dxa"/>
                  </w:tcMar>
                  <w:vAlign w:val="center"/>
                </w:tcPr>
                <w:p w14:paraId="2E0397BC">
                  <w:pPr>
                    <w:adjustRightInd w:val="0"/>
                    <w:snapToGrid w:val="0"/>
                    <w:jc w:val="center"/>
                    <w:rPr>
                      <w:rFonts w:hint="default" w:ascii="Times New Roman" w:hAnsi="Times New Roman" w:cs="Times New Roman"/>
                      <w:color w:val="auto"/>
                      <w:szCs w:val="21"/>
                    </w:rPr>
                  </w:pPr>
                </w:p>
              </w:tc>
              <w:tc>
                <w:tcPr>
                  <w:tcW w:w="554" w:type="pct"/>
                  <w:tcBorders>
                    <w:tl2br w:val="nil"/>
                    <w:tr2bl w:val="nil"/>
                  </w:tcBorders>
                  <w:tcMar>
                    <w:left w:w="0" w:type="dxa"/>
                    <w:right w:w="0" w:type="dxa"/>
                  </w:tcMar>
                  <w:vAlign w:val="center"/>
                </w:tcPr>
                <w:p w14:paraId="7DC0F293">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S2</w:t>
                  </w:r>
                </w:p>
              </w:tc>
              <w:tc>
                <w:tcPr>
                  <w:tcW w:w="1184" w:type="pct"/>
                  <w:tcBorders>
                    <w:tl2br w:val="nil"/>
                    <w:tr2bl w:val="nil"/>
                  </w:tcBorders>
                  <w:shd w:val="clear" w:color="auto" w:fill="auto"/>
                  <w:tcMar>
                    <w:top w:w="0" w:type="dxa"/>
                    <w:left w:w="0" w:type="dxa"/>
                    <w:bottom w:w="0" w:type="dxa"/>
                    <w:right w:w="0" w:type="dxa"/>
                  </w:tcMar>
                  <w:vAlign w:val="center"/>
                </w:tcPr>
                <w:p w14:paraId="06753D1A">
                  <w:pPr>
                    <w:pStyle w:val="131"/>
                    <w:jc w:val="both"/>
                    <w:rPr>
                      <w:rFonts w:hint="default" w:ascii="Times New Roman" w:hAnsi="Times New Roman" w:cs="Times New Roman"/>
                      <w:color w:val="auto"/>
                    </w:rPr>
                  </w:pPr>
                  <w:r>
                    <w:rPr>
                      <w:rFonts w:hint="default" w:ascii="Times New Roman" w:hAnsi="Times New Roman" w:cs="Times New Roman"/>
                      <w:color w:val="auto"/>
                      <w:szCs w:val="21"/>
                    </w:rPr>
                    <w:t>线材端部（头、尾）剪切料、包装材料等</w:t>
                  </w:r>
                </w:p>
              </w:tc>
              <w:tc>
                <w:tcPr>
                  <w:tcW w:w="933" w:type="pct"/>
                  <w:tcBorders>
                    <w:tl2br w:val="nil"/>
                    <w:tr2bl w:val="nil"/>
                  </w:tcBorders>
                  <w:tcMar>
                    <w:left w:w="0" w:type="dxa"/>
                    <w:right w:w="0" w:type="dxa"/>
                  </w:tcMar>
                  <w:vAlign w:val="center"/>
                </w:tcPr>
                <w:p w14:paraId="68878ECA">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金属</w:t>
                  </w:r>
                </w:p>
              </w:tc>
              <w:tc>
                <w:tcPr>
                  <w:tcW w:w="1878" w:type="pct"/>
                  <w:vMerge w:val="continue"/>
                  <w:tcBorders>
                    <w:tl2br w:val="nil"/>
                    <w:tr2bl w:val="nil"/>
                  </w:tcBorders>
                  <w:tcMar>
                    <w:left w:w="0" w:type="dxa"/>
                    <w:right w:w="0" w:type="dxa"/>
                  </w:tcMar>
                  <w:vAlign w:val="center"/>
                </w:tcPr>
                <w:p w14:paraId="369D3199">
                  <w:pPr>
                    <w:adjustRightInd w:val="0"/>
                    <w:snapToGrid w:val="0"/>
                    <w:rPr>
                      <w:rFonts w:hint="default" w:ascii="Times New Roman" w:hAnsi="Times New Roman" w:cs="Times New Roman"/>
                      <w:color w:val="auto"/>
                      <w:szCs w:val="21"/>
                    </w:rPr>
                  </w:pPr>
                </w:p>
              </w:tc>
            </w:tr>
            <w:tr w14:paraId="30F6A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49" w:type="pct"/>
                  <w:vMerge w:val="continue"/>
                  <w:tcBorders>
                    <w:tl2br w:val="nil"/>
                    <w:tr2bl w:val="nil"/>
                  </w:tcBorders>
                  <w:tcMar>
                    <w:left w:w="0" w:type="dxa"/>
                    <w:right w:w="0" w:type="dxa"/>
                  </w:tcMar>
                  <w:vAlign w:val="center"/>
                </w:tcPr>
                <w:p w14:paraId="614A1C0B">
                  <w:pPr>
                    <w:adjustRightInd w:val="0"/>
                    <w:snapToGrid w:val="0"/>
                    <w:jc w:val="center"/>
                    <w:rPr>
                      <w:rFonts w:hint="default" w:ascii="Times New Roman" w:hAnsi="Times New Roman" w:cs="Times New Roman"/>
                      <w:color w:val="auto"/>
                      <w:szCs w:val="21"/>
                    </w:rPr>
                  </w:pPr>
                </w:p>
              </w:tc>
              <w:tc>
                <w:tcPr>
                  <w:tcW w:w="554" w:type="pct"/>
                  <w:tcBorders>
                    <w:tl2br w:val="nil"/>
                    <w:tr2bl w:val="nil"/>
                  </w:tcBorders>
                  <w:tcMar>
                    <w:left w:w="0" w:type="dxa"/>
                    <w:right w:w="0" w:type="dxa"/>
                  </w:tcMar>
                  <w:vAlign w:val="center"/>
                </w:tcPr>
                <w:p w14:paraId="20FF14A2">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S3</w:t>
                  </w:r>
                </w:p>
              </w:tc>
              <w:tc>
                <w:tcPr>
                  <w:tcW w:w="1184" w:type="pct"/>
                  <w:tcBorders>
                    <w:tl2br w:val="nil"/>
                    <w:tr2bl w:val="nil"/>
                  </w:tcBorders>
                  <w:shd w:val="clear" w:color="auto" w:fill="auto"/>
                  <w:tcMar>
                    <w:top w:w="0" w:type="dxa"/>
                    <w:left w:w="0" w:type="dxa"/>
                    <w:bottom w:w="0" w:type="dxa"/>
                    <w:right w:w="0" w:type="dxa"/>
                  </w:tcMar>
                  <w:vAlign w:val="center"/>
                </w:tcPr>
                <w:p w14:paraId="39AA0E9B">
                  <w:pPr>
                    <w:pStyle w:val="131"/>
                    <w:rPr>
                      <w:rFonts w:hint="default" w:ascii="Times New Roman" w:hAnsi="Times New Roman" w:cs="Times New Roman"/>
                      <w:color w:val="auto"/>
                    </w:rPr>
                  </w:pPr>
                  <w:r>
                    <w:rPr>
                      <w:rFonts w:hint="default" w:ascii="Times New Roman" w:hAnsi="Times New Roman" w:cs="Times New Roman"/>
                      <w:color w:val="auto"/>
                    </w:rPr>
                    <w:t>包装线材</w:t>
                  </w:r>
                </w:p>
              </w:tc>
              <w:tc>
                <w:tcPr>
                  <w:tcW w:w="933" w:type="pct"/>
                  <w:tcBorders>
                    <w:tl2br w:val="nil"/>
                    <w:tr2bl w:val="nil"/>
                  </w:tcBorders>
                  <w:shd w:val="clear" w:color="auto" w:fill="auto"/>
                  <w:tcMar>
                    <w:left w:w="0" w:type="dxa"/>
                    <w:right w:w="0" w:type="dxa"/>
                  </w:tcMar>
                  <w:vAlign w:val="center"/>
                </w:tcPr>
                <w:p w14:paraId="037230EB">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rPr>
                    <w:t>金属氧化物</w:t>
                  </w:r>
                </w:p>
              </w:tc>
              <w:tc>
                <w:tcPr>
                  <w:tcW w:w="1878" w:type="pct"/>
                  <w:vMerge w:val="continue"/>
                  <w:tcBorders>
                    <w:tl2br w:val="nil"/>
                    <w:tr2bl w:val="nil"/>
                  </w:tcBorders>
                  <w:tcMar>
                    <w:left w:w="0" w:type="dxa"/>
                    <w:right w:w="0" w:type="dxa"/>
                  </w:tcMar>
                  <w:vAlign w:val="center"/>
                </w:tcPr>
                <w:p w14:paraId="4C70A13C">
                  <w:pPr>
                    <w:adjustRightInd w:val="0"/>
                    <w:snapToGrid w:val="0"/>
                    <w:rPr>
                      <w:rFonts w:hint="default" w:ascii="Times New Roman" w:hAnsi="Times New Roman" w:cs="Times New Roman"/>
                      <w:color w:val="auto"/>
                      <w:szCs w:val="21"/>
                    </w:rPr>
                  </w:pPr>
                </w:p>
              </w:tc>
            </w:tr>
            <w:tr w14:paraId="31520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49" w:type="pct"/>
                  <w:vMerge w:val="continue"/>
                  <w:tcBorders>
                    <w:tl2br w:val="nil"/>
                    <w:tr2bl w:val="nil"/>
                  </w:tcBorders>
                  <w:tcMar>
                    <w:left w:w="0" w:type="dxa"/>
                    <w:right w:w="0" w:type="dxa"/>
                  </w:tcMar>
                  <w:vAlign w:val="center"/>
                </w:tcPr>
                <w:p w14:paraId="684E3F8F">
                  <w:pPr>
                    <w:adjustRightInd w:val="0"/>
                    <w:snapToGrid w:val="0"/>
                    <w:jc w:val="center"/>
                    <w:rPr>
                      <w:rFonts w:hint="default" w:ascii="Times New Roman" w:hAnsi="Times New Roman" w:cs="Times New Roman"/>
                      <w:color w:val="auto"/>
                      <w:szCs w:val="21"/>
                    </w:rPr>
                  </w:pPr>
                </w:p>
              </w:tc>
              <w:tc>
                <w:tcPr>
                  <w:tcW w:w="554" w:type="pct"/>
                  <w:tcBorders>
                    <w:tl2br w:val="nil"/>
                    <w:tr2bl w:val="nil"/>
                  </w:tcBorders>
                  <w:shd w:val="clear" w:color="auto" w:fill="auto"/>
                  <w:tcMar>
                    <w:left w:w="0" w:type="dxa"/>
                    <w:right w:w="0" w:type="dxa"/>
                  </w:tcMar>
                  <w:vAlign w:val="center"/>
                </w:tcPr>
                <w:p w14:paraId="61383B00">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S4</w:t>
                  </w:r>
                </w:p>
              </w:tc>
              <w:tc>
                <w:tcPr>
                  <w:tcW w:w="1184" w:type="pct"/>
                  <w:tcBorders>
                    <w:tl2br w:val="nil"/>
                    <w:tr2bl w:val="nil"/>
                  </w:tcBorders>
                  <w:shd w:val="clear" w:color="auto" w:fill="auto"/>
                  <w:tcMar>
                    <w:top w:w="0" w:type="dxa"/>
                    <w:left w:w="0" w:type="dxa"/>
                    <w:bottom w:w="0" w:type="dxa"/>
                    <w:right w:w="0" w:type="dxa"/>
                  </w:tcMar>
                  <w:vAlign w:val="center"/>
                </w:tcPr>
                <w:p w14:paraId="3A307A3D">
                  <w:pPr>
                    <w:pStyle w:val="131"/>
                    <w:rPr>
                      <w:rFonts w:hint="default" w:ascii="Times New Roman" w:hAnsi="Times New Roman" w:cs="Times New Roman"/>
                      <w:color w:val="auto"/>
                    </w:rPr>
                  </w:pPr>
                  <w:r>
                    <w:rPr>
                      <w:rFonts w:hint="default" w:ascii="Times New Roman" w:hAnsi="Times New Roman" w:cs="Times New Roman"/>
                      <w:color w:val="auto"/>
                    </w:rPr>
                    <w:t>除尘灰</w:t>
                  </w:r>
                </w:p>
              </w:tc>
              <w:tc>
                <w:tcPr>
                  <w:tcW w:w="933" w:type="pct"/>
                  <w:tcBorders>
                    <w:tl2br w:val="nil"/>
                    <w:tr2bl w:val="nil"/>
                  </w:tcBorders>
                  <w:shd w:val="clear" w:color="auto" w:fill="auto"/>
                  <w:tcMar>
                    <w:left w:w="0" w:type="dxa"/>
                    <w:right w:w="0" w:type="dxa"/>
                  </w:tcMar>
                  <w:vAlign w:val="center"/>
                </w:tcPr>
                <w:p w14:paraId="6ABD68F3">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rPr>
                    <w:t>金属氧化物</w:t>
                  </w:r>
                </w:p>
              </w:tc>
              <w:tc>
                <w:tcPr>
                  <w:tcW w:w="1878" w:type="pct"/>
                  <w:vMerge w:val="continue"/>
                  <w:tcBorders>
                    <w:tl2br w:val="nil"/>
                    <w:tr2bl w:val="nil"/>
                  </w:tcBorders>
                  <w:tcMar>
                    <w:left w:w="0" w:type="dxa"/>
                    <w:right w:w="0" w:type="dxa"/>
                  </w:tcMar>
                  <w:vAlign w:val="center"/>
                </w:tcPr>
                <w:p w14:paraId="4F03C1A3">
                  <w:pPr>
                    <w:adjustRightInd w:val="0"/>
                    <w:snapToGrid w:val="0"/>
                    <w:rPr>
                      <w:rFonts w:hint="default" w:ascii="Times New Roman" w:hAnsi="Times New Roman" w:cs="Times New Roman"/>
                      <w:color w:val="auto"/>
                      <w:szCs w:val="21"/>
                    </w:rPr>
                  </w:pPr>
                </w:p>
              </w:tc>
            </w:tr>
            <w:tr w14:paraId="563AA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49" w:type="pct"/>
                  <w:vMerge w:val="continue"/>
                  <w:tcBorders>
                    <w:tl2br w:val="nil"/>
                    <w:tr2bl w:val="nil"/>
                  </w:tcBorders>
                  <w:tcMar>
                    <w:left w:w="0" w:type="dxa"/>
                    <w:right w:w="0" w:type="dxa"/>
                  </w:tcMar>
                  <w:vAlign w:val="center"/>
                </w:tcPr>
                <w:p w14:paraId="18FB2D07">
                  <w:pPr>
                    <w:adjustRightInd w:val="0"/>
                    <w:snapToGrid w:val="0"/>
                    <w:jc w:val="center"/>
                    <w:rPr>
                      <w:rFonts w:hint="default" w:ascii="Times New Roman" w:hAnsi="Times New Roman" w:cs="Times New Roman"/>
                      <w:color w:val="auto"/>
                      <w:szCs w:val="21"/>
                    </w:rPr>
                  </w:pPr>
                </w:p>
              </w:tc>
              <w:tc>
                <w:tcPr>
                  <w:tcW w:w="554" w:type="pct"/>
                  <w:tcBorders>
                    <w:tl2br w:val="nil"/>
                    <w:tr2bl w:val="nil"/>
                  </w:tcBorders>
                  <w:shd w:val="clear" w:color="auto" w:fill="auto"/>
                  <w:tcMar>
                    <w:left w:w="0" w:type="dxa"/>
                    <w:right w:w="0" w:type="dxa"/>
                  </w:tcMar>
                  <w:vAlign w:val="center"/>
                </w:tcPr>
                <w:p w14:paraId="66961059">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S5</w:t>
                  </w:r>
                </w:p>
              </w:tc>
              <w:tc>
                <w:tcPr>
                  <w:tcW w:w="1184" w:type="pct"/>
                  <w:tcBorders>
                    <w:tl2br w:val="nil"/>
                    <w:tr2bl w:val="nil"/>
                  </w:tcBorders>
                  <w:shd w:val="clear" w:color="auto" w:fill="auto"/>
                  <w:tcMar>
                    <w:top w:w="0" w:type="dxa"/>
                    <w:left w:w="0" w:type="dxa"/>
                    <w:bottom w:w="0" w:type="dxa"/>
                    <w:right w:w="0" w:type="dxa"/>
                  </w:tcMar>
                  <w:vAlign w:val="center"/>
                </w:tcPr>
                <w:p w14:paraId="29DA6CCE">
                  <w:pPr>
                    <w:pStyle w:val="131"/>
                    <w:rPr>
                      <w:rFonts w:hint="default" w:ascii="Times New Roman" w:hAnsi="Times New Roman" w:cs="Times New Roman"/>
                      <w:color w:val="auto"/>
                    </w:rPr>
                  </w:pPr>
                  <w:r>
                    <w:rPr>
                      <w:rFonts w:hint="default" w:ascii="Times New Roman" w:hAnsi="Times New Roman" w:cs="Times New Roman"/>
                      <w:color w:val="auto"/>
                    </w:rPr>
                    <w:t>废滤筒</w:t>
                  </w:r>
                </w:p>
              </w:tc>
              <w:tc>
                <w:tcPr>
                  <w:tcW w:w="933" w:type="pct"/>
                  <w:tcBorders>
                    <w:tl2br w:val="nil"/>
                    <w:tr2bl w:val="nil"/>
                  </w:tcBorders>
                  <w:shd w:val="clear" w:color="auto" w:fill="auto"/>
                  <w:tcMar>
                    <w:left w:w="0" w:type="dxa"/>
                    <w:right w:w="0" w:type="dxa"/>
                  </w:tcMar>
                  <w:vAlign w:val="center"/>
                </w:tcPr>
                <w:p w14:paraId="6CF62AA7">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rPr>
                    <w:t>金属氧化物</w:t>
                  </w:r>
                </w:p>
              </w:tc>
              <w:tc>
                <w:tcPr>
                  <w:tcW w:w="1878" w:type="pct"/>
                  <w:vMerge w:val="continue"/>
                  <w:tcBorders>
                    <w:tl2br w:val="nil"/>
                    <w:tr2bl w:val="nil"/>
                  </w:tcBorders>
                  <w:tcMar>
                    <w:left w:w="0" w:type="dxa"/>
                    <w:right w:w="0" w:type="dxa"/>
                  </w:tcMar>
                  <w:vAlign w:val="center"/>
                </w:tcPr>
                <w:p w14:paraId="6117D81D">
                  <w:pPr>
                    <w:adjustRightInd w:val="0"/>
                    <w:snapToGrid w:val="0"/>
                    <w:rPr>
                      <w:rFonts w:hint="default" w:ascii="Times New Roman" w:hAnsi="Times New Roman" w:cs="Times New Roman"/>
                      <w:color w:val="auto"/>
                      <w:szCs w:val="21"/>
                    </w:rPr>
                  </w:pPr>
                </w:p>
              </w:tc>
            </w:tr>
            <w:tr w14:paraId="41890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49" w:type="pct"/>
                  <w:vMerge w:val="continue"/>
                  <w:tcBorders>
                    <w:tl2br w:val="nil"/>
                    <w:tr2bl w:val="nil"/>
                  </w:tcBorders>
                  <w:tcMar>
                    <w:left w:w="0" w:type="dxa"/>
                    <w:right w:w="0" w:type="dxa"/>
                  </w:tcMar>
                  <w:vAlign w:val="center"/>
                </w:tcPr>
                <w:p w14:paraId="46219A54">
                  <w:pPr>
                    <w:adjustRightInd w:val="0"/>
                    <w:snapToGrid w:val="0"/>
                    <w:jc w:val="center"/>
                    <w:rPr>
                      <w:rFonts w:hint="default" w:ascii="Times New Roman" w:hAnsi="Times New Roman" w:cs="Times New Roman"/>
                      <w:color w:val="auto"/>
                      <w:szCs w:val="21"/>
                    </w:rPr>
                  </w:pPr>
                </w:p>
              </w:tc>
              <w:tc>
                <w:tcPr>
                  <w:tcW w:w="554" w:type="pct"/>
                  <w:tcBorders>
                    <w:tl2br w:val="nil"/>
                    <w:tr2bl w:val="nil"/>
                  </w:tcBorders>
                  <w:tcMar>
                    <w:left w:w="0" w:type="dxa"/>
                    <w:right w:w="0" w:type="dxa"/>
                  </w:tcMar>
                  <w:vAlign w:val="center"/>
                </w:tcPr>
                <w:p w14:paraId="62F02DEC">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S6</w:t>
                  </w:r>
                </w:p>
              </w:tc>
              <w:tc>
                <w:tcPr>
                  <w:tcW w:w="1184" w:type="pct"/>
                  <w:tcBorders>
                    <w:tl2br w:val="nil"/>
                    <w:tr2bl w:val="nil"/>
                  </w:tcBorders>
                  <w:shd w:val="clear" w:color="auto" w:fill="auto"/>
                  <w:tcMar>
                    <w:top w:w="0" w:type="dxa"/>
                    <w:left w:w="0" w:type="dxa"/>
                    <w:bottom w:w="0" w:type="dxa"/>
                    <w:right w:w="0" w:type="dxa"/>
                  </w:tcMar>
                  <w:vAlign w:val="center"/>
                </w:tcPr>
                <w:p w14:paraId="6E9F7400">
                  <w:pPr>
                    <w:pStyle w:val="131"/>
                    <w:rPr>
                      <w:rFonts w:hint="default" w:ascii="Times New Roman" w:hAnsi="Times New Roman" w:cs="Times New Roman"/>
                      <w:color w:val="auto"/>
                    </w:rPr>
                  </w:pPr>
                  <w:r>
                    <w:rPr>
                      <w:rFonts w:hint="default" w:ascii="Times New Roman" w:hAnsi="Times New Roman" w:cs="Times New Roman"/>
                      <w:color w:val="auto"/>
                    </w:rPr>
                    <w:t>废润滑油</w:t>
                  </w:r>
                </w:p>
              </w:tc>
              <w:tc>
                <w:tcPr>
                  <w:tcW w:w="933" w:type="pct"/>
                  <w:tcBorders>
                    <w:tl2br w:val="nil"/>
                    <w:tr2bl w:val="nil"/>
                  </w:tcBorders>
                  <w:tcMar>
                    <w:left w:w="0" w:type="dxa"/>
                    <w:right w:w="0" w:type="dxa"/>
                  </w:tcMar>
                  <w:vAlign w:val="center"/>
                </w:tcPr>
                <w:p w14:paraId="71A7A8DB">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rPr>
                    <w:t xml:space="preserve">HW08  </w:t>
                  </w:r>
                  <w:r>
                    <w:rPr>
                      <w:rFonts w:hint="default" w:ascii="Times New Roman" w:hAnsi="Times New Roman" w:eastAsia="TimesNewRomanPSMT" w:cs="Times New Roman"/>
                      <w:color w:val="auto"/>
                    </w:rPr>
                    <w:t>900-249-08</w:t>
                  </w:r>
                </w:p>
              </w:tc>
              <w:tc>
                <w:tcPr>
                  <w:tcW w:w="1878" w:type="pct"/>
                  <w:tcBorders>
                    <w:tl2br w:val="nil"/>
                    <w:tr2bl w:val="nil"/>
                  </w:tcBorders>
                  <w:tcMar>
                    <w:left w:w="0" w:type="dxa"/>
                    <w:right w:w="0" w:type="dxa"/>
                  </w:tcMar>
                  <w:vAlign w:val="center"/>
                </w:tcPr>
                <w:p w14:paraId="537BBDD2">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回用于企业机械设备的润滑作业</w:t>
                  </w:r>
                </w:p>
              </w:tc>
            </w:tr>
            <w:tr w14:paraId="5E7DF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49" w:type="pct"/>
                  <w:vMerge w:val="continue"/>
                  <w:tcBorders>
                    <w:tl2br w:val="nil"/>
                    <w:tr2bl w:val="nil"/>
                  </w:tcBorders>
                  <w:tcMar>
                    <w:left w:w="0" w:type="dxa"/>
                    <w:right w:w="0" w:type="dxa"/>
                  </w:tcMar>
                  <w:vAlign w:val="center"/>
                </w:tcPr>
                <w:p w14:paraId="02AFAE9C">
                  <w:pPr>
                    <w:adjustRightInd w:val="0"/>
                    <w:snapToGrid w:val="0"/>
                    <w:jc w:val="center"/>
                    <w:rPr>
                      <w:rFonts w:hint="default" w:ascii="Times New Roman" w:hAnsi="Times New Roman" w:cs="Times New Roman"/>
                      <w:color w:val="auto"/>
                      <w:szCs w:val="21"/>
                    </w:rPr>
                  </w:pPr>
                </w:p>
              </w:tc>
              <w:tc>
                <w:tcPr>
                  <w:tcW w:w="554" w:type="pct"/>
                  <w:tcBorders>
                    <w:tl2br w:val="nil"/>
                    <w:tr2bl w:val="nil"/>
                  </w:tcBorders>
                  <w:tcMar>
                    <w:left w:w="0" w:type="dxa"/>
                    <w:right w:w="0" w:type="dxa"/>
                  </w:tcMar>
                  <w:vAlign w:val="center"/>
                </w:tcPr>
                <w:p w14:paraId="1AB45D40">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S7</w:t>
                  </w:r>
                </w:p>
              </w:tc>
              <w:tc>
                <w:tcPr>
                  <w:tcW w:w="1184" w:type="pct"/>
                  <w:tcBorders>
                    <w:tl2br w:val="nil"/>
                    <w:tr2bl w:val="nil"/>
                  </w:tcBorders>
                  <w:shd w:val="clear" w:color="auto" w:fill="auto"/>
                  <w:tcMar>
                    <w:top w:w="0" w:type="dxa"/>
                    <w:left w:w="0" w:type="dxa"/>
                    <w:bottom w:w="0" w:type="dxa"/>
                    <w:right w:w="0" w:type="dxa"/>
                  </w:tcMar>
                  <w:vAlign w:val="center"/>
                </w:tcPr>
                <w:p w14:paraId="410F6911">
                  <w:pPr>
                    <w:pStyle w:val="131"/>
                    <w:rPr>
                      <w:rFonts w:hint="default" w:ascii="Times New Roman" w:hAnsi="Times New Roman" w:cs="Times New Roman"/>
                      <w:color w:val="auto"/>
                    </w:rPr>
                  </w:pPr>
                  <w:r>
                    <w:rPr>
                      <w:rFonts w:hint="default" w:ascii="Times New Roman" w:hAnsi="Times New Roman" w:cs="Times New Roman"/>
                      <w:color w:val="auto"/>
                    </w:rPr>
                    <w:t>生活垃圾</w:t>
                  </w:r>
                </w:p>
              </w:tc>
              <w:tc>
                <w:tcPr>
                  <w:tcW w:w="933" w:type="pct"/>
                  <w:tcBorders>
                    <w:tl2br w:val="nil"/>
                    <w:tr2bl w:val="nil"/>
                  </w:tcBorders>
                  <w:tcMar>
                    <w:left w:w="0" w:type="dxa"/>
                    <w:right w:w="0" w:type="dxa"/>
                  </w:tcMar>
                  <w:vAlign w:val="center"/>
                </w:tcPr>
                <w:p w14:paraId="19A01EA7">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生活垃圾</w:t>
                  </w:r>
                </w:p>
              </w:tc>
              <w:tc>
                <w:tcPr>
                  <w:tcW w:w="1878" w:type="pct"/>
                  <w:tcBorders>
                    <w:tl2br w:val="nil"/>
                    <w:tr2bl w:val="nil"/>
                  </w:tcBorders>
                  <w:tcMar>
                    <w:left w:w="0" w:type="dxa"/>
                    <w:right w:w="0" w:type="dxa"/>
                  </w:tcMar>
                  <w:vAlign w:val="center"/>
                </w:tcPr>
                <w:p w14:paraId="353AE2B5">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由园区环卫部门清运和处置</w:t>
                  </w:r>
                </w:p>
              </w:tc>
            </w:tr>
          </w:tbl>
          <w:p w14:paraId="1B6BE920">
            <w:pPr>
              <w:spacing w:before="302" w:beforeLines="80" w:after="189" w:afterLines="50"/>
              <w:outlineLvl w:val="2"/>
              <w:rPr>
                <w:rFonts w:hint="default" w:ascii="Times New Roman" w:hAnsi="Times New Roman" w:eastAsia="黑体" w:cs="Times New Roman"/>
                <w:color w:val="auto"/>
                <w:sz w:val="28"/>
                <w:szCs w:val="28"/>
              </w:rPr>
            </w:pPr>
            <w:r>
              <w:rPr>
                <w:rFonts w:hint="default" w:ascii="Times New Roman" w:hAnsi="Times New Roman" w:eastAsia="黑体" w:cs="Times New Roman"/>
                <w:color w:val="auto"/>
                <w:sz w:val="28"/>
                <w:szCs w:val="28"/>
              </w:rPr>
              <w:t>2.4.2现有工程污染物排放量统计</w:t>
            </w:r>
          </w:p>
          <w:p w14:paraId="6F4DD92E">
            <w:pPr>
              <w:pStyle w:val="70"/>
              <w:rPr>
                <w:rFonts w:hint="default" w:ascii="Times New Roman" w:hAnsi="Times New Roman" w:cs="Times New Roman"/>
                <w:color w:val="auto"/>
              </w:rPr>
            </w:pPr>
            <w:r>
              <w:rPr>
                <w:rFonts w:hint="default" w:ascii="Times New Roman" w:hAnsi="Times New Roman" w:cs="Times New Roman"/>
                <w:color w:val="auto"/>
              </w:rPr>
              <w:t>现有工程污染物排放量详见表2.4-1</w:t>
            </w:r>
            <w:r>
              <w:rPr>
                <w:rFonts w:hint="default" w:ascii="Times New Roman" w:hAnsi="Times New Roman" w:cs="Times New Roman"/>
                <w:color w:val="auto"/>
                <w:lang w:val="en-US" w:eastAsia="zh-CN"/>
              </w:rPr>
              <w:t>4</w:t>
            </w:r>
            <w:r>
              <w:rPr>
                <w:rFonts w:hint="default" w:ascii="Times New Roman" w:hAnsi="Times New Roman" w:cs="Times New Roman"/>
                <w:color w:val="auto"/>
              </w:rPr>
              <w:t>。</w:t>
            </w:r>
          </w:p>
          <w:p w14:paraId="3D1B7C92">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表2.4-1</w:t>
            </w:r>
            <w:r>
              <w:rPr>
                <w:rFonts w:hint="default" w:ascii="Times New Roman" w:hAnsi="Times New Roman" w:eastAsia="黑体" w:cs="Times New Roman"/>
                <w:b w:val="0"/>
                <w:bCs/>
                <w:color w:val="auto"/>
                <w:lang w:val="en-US" w:eastAsia="zh-CN"/>
              </w:rPr>
              <w:t>4</w:t>
            </w:r>
            <w:r>
              <w:rPr>
                <w:rFonts w:hint="default" w:ascii="Times New Roman" w:hAnsi="Times New Roman" w:eastAsia="黑体" w:cs="Times New Roman"/>
                <w:b w:val="0"/>
                <w:bCs/>
                <w:color w:val="auto"/>
              </w:rPr>
              <w:t xml:space="preserve"> </w:t>
            </w:r>
            <w:r>
              <w:rPr>
                <w:rFonts w:hint="eastAsia" w:eastAsia="黑体" w:cs="Times New Roman"/>
                <w:b w:val="0"/>
                <w:bCs/>
                <w:color w:val="auto"/>
                <w:lang w:val="en-US" w:eastAsia="zh-CN"/>
              </w:rPr>
              <w:t xml:space="preserve"> </w:t>
            </w:r>
            <w:r>
              <w:rPr>
                <w:rFonts w:hint="default" w:ascii="Times New Roman" w:hAnsi="Times New Roman" w:eastAsia="黑体" w:cs="Times New Roman"/>
                <w:b w:val="0"/>
                <w:bCs/>
                <w:color w:val="auto"/>
              </w:rPr>
              <w:t>现有工程污染物排放总量一览表</w:t>
            </w:r>
          </w:p>
          <w:tbl>
            <w:tblPr>
              <w:tblStyle w:val="34"/>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81"/>
              <w:gridCol w:w="1734"/>
              <w:gridCol w:w="1314"/>
              <w:gridCol w:w="1499"/>
              <w:gridCol w:w="1496"/>
              <w:gridCol w:w="1496"/>
            </w:tblGrid>
            <w:tr w14:paraId="234EE3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7" w:type="pct"/>
                  <w:tcBorders>
                    <w:tl2br w:val="single" w:color="auto" w:sz="4" w:space="0"/>
                  </w:tcBorders>
                  <w:tcMar>
                    <w:left w:w="28" w:type="dxa"/>
                    <w:right w:w="28" w:type="dxa"/>
                  </w:tcMar>
                  <w:vAlign w:val="center"/>
                </w:tcPr>
                <w:p w14:paraId="5E5BC629">
                  <w:pPr>
                    <w:snapToGrid w:val="0"/>
                    <w:ind w:firstLine="420" w:firstLineChars="200"/>
                    <w:jc w:val="right"/>
                    <w:rPr>
                      <w:rFonts w:hint="default" w:ascii="Times New Roman" w:hAnsi="Times New Roman" w:cs="Times New Roman"/>
                      <w:color w:val="auto"/>
                      <w:szCs w:val="21"/>
                    </w:rPr>
                  </w:pPr>
                  <w:r>
                    <w:rPr>
                      <w:rFonts w:hint="default" w:ascii="Times New Roman" w:hAnsi="Times New Roman" w:cs="Times New Roman"/>
                      <w:color w:val="auto"/>
                      <w:szCs w:val="21"/>
                    </w:rPr>
                    <w:t>项目</w:t>
                  </w:r>
                </w:p>
                <w:p w14:paraId="325C8F75">
                  <w:pPr>
                    <w:snapToGrid w:val="0"/>
                    <w:rPr>
                      <w:rFonts w:hint="default" w:ascii="Times New Roman" w:hAnsi="Times New Roman" w:cs="Times New Roman"/>
                      <w:snapToGrid w:val="0"/>
                      <w:color w:val="auto"/>
                      <w:spacing w:val="-6"/>
                      <w:kern w:val="21"/>
                      <w:szCs w:val="21"/>
                    </w:rPr>
                  </w:pPr>
                  <w:r>
                    <w:rPr>
                      <w:rFonts w:hint="default" w:ascii="Times New Roman" w:hAnsi="Times New Roman" w:cs="Times New Roman"/>
                      <w:color w:val="auto"/>
                      <w:szCs w:val="21"/>
                    </w:rPr>
                    <w:t>分类</w:t>
                  </w:r>
                </w:p>
              </w:tc>
              <w:tc>
                <w:tcPr>
                  <w:tcW w:w="1005" w:type="pct"/>
                  <w:tcMar>
                    <w:left w:w="28" w:type="dxa"/>
                    <w:right w:w="28" w:type="dxa"/>
                  </w:tcMar>
                  <w:vAlign w:val="center"/>
                </w:tcPr>
                <w:p w14:paraId="1F65C163">
                  <w:pPr>
                    <w:pStyle w:val="56"/>
                    <w:spacing w:beforeLines="0" w:afterLines="0" w:line="240" w:lineRule="auto"/>
                    <w:ind w:firstLine="0"/>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spacing w:val="-6"/>
                      <w:kern w:val="21"/>
                      <w:szCs w:val="21"/>
                    </w:rPr>
                    <w:t>污染物名称</w:t>
                  </w:r>
                </w:p>
              </w:tc>
              <w:tc>
                <w:tcPr>
                  <w:tcW w:w="762" w:type="pct"/>
                  <w:tcMar>
                    <w:left w:w="28" w:type="dxa"/>
                    <w:right w:w="28" w:type="dxa"/>
                  </w:tcMar>
                  <w:vAlign w:val="center"/>
                </w:tcPr>
                <w:p w14:paraId="177A2D5F">
                  <w:pPr>
                    <w:pStyle w:val="56"/>
                    <w:spacing w:beforeLines="0" w:afterLines="0" w:line="240" w:lineRule="auto"/>
                    <w:ind w:firstLine="0"/>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spacing w:val="-6"/>
                      <w:kern w:val="21"/>
                      <w:szCs w:val="21"/>
                    </w:rPr>
                    <w:t>现有已投产工程实际排放量</w:t>
                  </w:r>
                </w:p>
              </w:tc>
              <w:tc>
                <w:tcPr>
                  <w:tcW w:w="869" w:type="pct"/>
                  <w:tcMar>
                    <w:left w:w="28" w:type="dxa"/>
                    <w:right w:w="28" w:type="dxa"/>
                  </w:tcMar>
                  <w:vAlign w:val="center"/>
                </w:tcPr>
                <w:p w14:paraId="2A4DDB71">
                  <w:pPr>
                    <w:pStyle w:val="56"/>
                    <w:spacing w:beforeLines="0" w:afterLines="0" w:line="240" w:lineRule="auto"/>
                    <w:ind w:firstLine="0"/>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spacing w:val="-6"/>
                      <w:kern w:val="21"/>
                      <w:szCs w:val="21"/>
                    </w:rPr>
                    <w:t>现有工程</w:t>
                  </w:r>
                </w:p>
                <w:p w14:paraId="7810A9AF">
                  <w:pPr>
                    <w:pStyle w:val="56"/>
                    <w:spacing w:beforeLines="0" w:afterLines="0" w:line="240" w:lineRule="auto"/>
                    <w:ind w:firstLine="0"/>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spacing w:val="-6"/>
                      <w:kern w:val="21"/>
                      <w:szCs w:val="21"/>
                    </w:rPr>
                    <w:t>许可排放量</w:t>
                  </w:r>
                </w:p>
              </w:tc>
              <w:tc>
                <w:tcPr>
                  <w:tcW w:w="867" w:type="pct"/>
                  <w:tcMar>
                    <w:left w:w="28" w:type="dxa"/>
                    <w:right w:w="28" w:type="dxa"/>
                  </w:tcMar>
                  <w:vAlign w:val="center"/>
                </w:tcPr>
                <w:p w14:paraId="04FB0AB5">
                  <w:pPr>
                    <w:pStyle w:val="56"/>
                    <w:spacing w:beforeLines="0" w:afterLines="0" w:line="240" w:lineRule="auto"/>
                    <w:ind w:firstLine="0"/>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spacing w:val="-6"/>
                      <w:kern w:val="21"/>
                      <w:szCs w:val="21"/>
                    </w:rPr>
                    <w:t>在建工程排放量</w:t>
                  </w:r>
                </w:p>
              </w:tc>
              <w:tc>
                <w:tcPr>
                  <w:tcW w:w="867" w:type="pct"/>
                  <w:tcMar>
                    <w:left w:w="28" w:type="dxa"/>
                    <w:right w:w="28" w:type="dxa"/>
                  </w:tcMar>
                  <w:vAlign w:val="center"/>
                </w:tcPr>
                <w:p w14:paraId="45B0E321">
                  <w:pPr>
                    <w:pStyle w:val="56"/>
                    <w:spacing w:beforeLines="0" w:afterLines="0" w:line="240" w:lineRule="auto"/>
                    <w:ind w:firstLine="0"/>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spacing w:val="-6"/>
                      <w:kern w:val="21"/>
                      <w:szCs w:val="21"/>
                    </w:rPr>
                    <w:t>是否超出许可</w:t>
                  </w:r>
                </w:p>
                <w:p w14:paraId="4BD107AE">
                  <w:pPr>
                    <w:pStyle w:val="56"/>
                    <w:spacing w:beforeLines="0" w:afterLines="0" w:line="240" w:lineRule="auto"/>
                    <w:ind w:firstLine="0"/>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spacing w:val="-6"/>
                      <w:kern w:val="21"/>
                      <w:szCs w:val="21"/>
                    </w:rPr>
                    <w:t>排放量</w:t>
                  </w:r>
                </w:p>
              </w:tc>
            </w:tr>
            <w:tr w14:paraId="7FCCEB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7" w:type="pct"/>
                  <w:vMerge w:val="restart"/>
                  <w:vAlign w:val="center"/>
                </w:tcPr>
                <w:p w14:paraId="4D254853">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生产</w:t>
                  </w:r>
                </w:p>
                <w:p w14:paraId="33107FF6">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废水</w:t>
                  </w:r>
                </w:p>
              </w:tc>
              <w:tc>
                <w:tcPr>
                  <w:tcW w:w="1005" w:type="pct"/>
                  <w:vAlign w:val="center"/>
                </w:tcPr>
                <w:p w14:paraId="6C593E50">
                  <w:pPr>
                    <w:snapToGrid w:val="0"/>
                    <w:jc w:val="center"/>
                    <w:rPr>
                      <w:rFonts w:hint="default" w:ascii="Times New Roman" w:hAnsi="Times New Roman" w:cs="Times New Roman"/>
                      <w:color w:val="auto"/>
                    </w:rPr>
                  </w:pPr>
                  <w:r>
                    <w:rPr>
                      <w:rFonts w:hint="default" w:ascii="Times New Roman" w:hAnsi="Times New Roman" w:cs="Times New Roman"/>
                      <w:color w:val="auto"/>
                    </w:rPr>
                    <w:t>废水量（m</w:t>
                  </w:r>
                  <w:r>
                    <w:rPr>
                      <w:rFonts w:hint="default" w:ascii="Times New Roman" w:hAnsi="Times New Roman" w:cs="Times New Roman"/>
                      <w:color w:val="auto"/>
                      <w:vertAlign w:val="superscript"/>
                    </w:rPr>
                    <w:t>3</w:t>
                  </w:r>
                  <w:r>
                    <w:rPr>
                      <w:rFonts w:hint="default" w:ascii="Times New Roman" w:hAnsi="Times New Roman" w:cs="Times New Roman"/>
                      <w:color w:val="auto"/>
                    </w:rPr>
                    <w:t>/a）</w:t>
                  </w:r>
                </w:p>
              </w:tc>
              <w:tc>
                <w:tcPr>
                  <w:tcW w:w="762" w:type="pct"/>
                  <w:vAlign w:val="center"/>
                </w:tcPr>
                <w:p w14:paraId="10F8A029">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869" w:type="pct"/>
                  <w:vAlign w:val="center"/>
                </w:tcPr>
                <w:p w14:paraId="0829B6DB">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1496" w:type="dxa"/>
                  <w:vAlign w:val="center"/>
                </w:tcPr>
                <w:p w14:paraId="2C66AB16">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rPr>
                    <w:t>0</w:t>
                  </w:r>
                </w:p>
              </w:tc>
              <w:tc>
                <w:tcPr>
                  <w:tcW w:w="867" w:type="pct"/>
                  <w:vAlign w:val="center"/>
                </w:tcPr>
                <w:p w14:paraId="4D89B6FF">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否</w:t>
                  </w:r>
                </w:p>
              </w:tc>
            </w:tr>
            <w:tr w14:paraId="2E8B90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7" w:type="pct"/>
                  <w:vMerge w:val="continue"/>
                  <w:vAlign w:val="center"/>
                </w:tcPr>
                <w:p w14:paraId="0A28C392">
                  <w:pPr>
                    <w:adjustRightInd w:val="0"/>
                    <w:snapToGrid w:val="0"/>
                    <w:jc w:val="center"/>
                    <w:rPr>
                      <w:rFonts w:hint="default" w:ascii="Times New Roman" w:hAnsi="Times New Roman" w:cs="Times New Roman"/>
                      <w:color w:val="auto"/>
                    </w:rPr>
                  </w:pPr>
                </w:p>
              </w:tc>
              <w:tc>
                <w:tcPr>
                  <w:tcW w:w="1005" w:type="pct"/>
                  <w:vAlign w:val="center"/>
                </w:tcPr>
                <w:p w14:paraId="735F001F">
                  <w:pPr>
                    <w:snapToGrid w:val="0"/>
                    <w:jc w:val="center"/>
                    <w:rPr>
                      <w:rFonts w:hint="default" w:ascii="Times New Roman" w:hAnsi="Times New Roman" w:cs="Times New Roman"/>
                      <w:color w:val="auto"/>
                    </w:rPr>
                  </w:pPr>
                  <w:r>
                    <w:rPr>
                      <w:rFonts w:hint="default" w:ascii="Times New Roman" w:hAnsi="Times New Roman" w:cs="Times New Roman"/>
                      <w:color w:val="auto"/>
                    </w:rPr>
                    <w:t>COD（t/a）</w:t>
                  </w:r>
                </w:p>
              </w:tc>
              <w:tc>
                <w:tcPr>
                  <w:tcW w:w="762" w:type="pct"/>
                  <w:vAlign w:val="center"/>
                </w:tcPr>
                <w:p w14:paraId="47243E55">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869" w:type="pct"/>
                  <w:vAlign w:val="center"/>
                </w:tcPr>
                <w:p w14:paraId="4FE06731">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1496" w:type="dxa"/>
                  <w:vAlign w:val="center"/>
                </w:tcPr>
                <w:p w14:paraId="5B0697F0">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rPr>
                    <w:t>0</w:t>
                  </w:r>
                </w:p>
              </w:tc>
              <w:tc>
                <w:tcPr>
                  <w:tcW w:w="867" w:type="pct"/>
                  <w:vAlign w:val="center"/>
                </w:tcPr>
                <w:p w14:paraId="17A071D1">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否</w:t>
                  </w:r>
                </w:p>
              </w:tc>
            </w:tr>
            <w:tr w14:paraId="49518B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7" w:type="pct"/>
                  <w:vMerge w:val="continue"/>
                  <w:vAlign w:val="center"/>
                </w:tcPr>
                <w:p w14:paraId="3606A167">
                  <w:pPr>
                    <w:adjustRightInd w:val="0"/>
                    <w:snapToGrid w:val="0"/>
                    <w:jc w:val="center"/>
                    <w:rPr>
                      <w:rFonts w:hint="default" w:ascii="Times New Roman" w:hAnsi="Times New Roman" w:cs="Times New Roman"/>
                      <w:color w:val="auto"/>
                    </w:rPr>
                  </w:pPr>
                </w:p>
              </w:tc>
              <w:tc>
                <w:tcPr>
                  <w:tcW w:w="1005" w:type="pct"/>
                  <w:vAlign w:val="center"/>
                </w:tcPr>
                <w:p w14:paraId="651661CA">
                  <w:pPr>
                    <w:snapToGrid w:val="0"/>
                    <w:jc w:val="center"/>
                    <w:rPr>
                      <w:rFonts w:hint="default" w:ascii="Times New Roman" w:hAnsi="Times New Roman" w:cs="Times New Roman"/>
                      <w:color w:val="auto"/>
                    </w:rPr>
                  </w:pPr>
                  <w:r>
                    <w:rPr>
                      <w:rFonts w:hint="default" w:ascii="Times New Roman" w:hAnsi="Times New Roman" w:cs="Times New Roman"/>
                      <w:color w:val="auto"/>
                    </w:rPr>
                    <w:t>氨氮（t/a）</w:t>
                  </w:r>
                </w:p>
              </w:tc>
              <w:tc>
                <w:tcPr>
                  <w:tcW w:w="762" w:type="pct"/>
                  <w:vAlign w:val="center"/>
                </w:tcPr>
                <w:p w14:paraId="0D0FA472">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869" w:type="pct"/>
                  <w:vAlign w:val="center"/>
                </w:tcPr>
                <w:p w14:paraId="0C8A683B">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1496" w:type="dxa"/>
                  <w:vAlign w:val="center"/>
                </w:tcPr>
                <w:p w14:paraId="156C6106">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rPr>
                    <w:t>0</w:t>
                  </w:r>
                </w:p>
              </w:tc>
              <w:tc>
                <w:tcPr>
                  <w:tcW w:w="867" w:type="pct"/>
                  <w:vAlign w:val="center"/>
                </w:tcPr>
                <w:p w14:paraId="07695D51">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否</w:t>
                  </w:r>
                </w:p>
              </w:tc>
            </w:tr>
            <w:tr w14:paraId="137F02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7" w:type="pct"/>
                  <w:vMerge w:val="restart"/>
                  <w:vAlign w:val="center"/>
                </w:tcPr>
                <w:p w14:paraId="218504B2">
                  <w:pPr>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废气</w:t>
                  </w:r>
                </w:p>
              </w:tc>
              <w:tc>
                <w:tcPr>
                  <w:tcW w:w="1005" w:type="pct"/>
                  <w:vAlign w:val="center"/>
                </w:tcPr>
                <w:p w14:paraId="2DCE068A">
                  <w:pPr>
                    <w:snapToGrid w:val="0"/>
                    <w:jc w:val="center"/>
                    <w:rPr>
                      <w:rFonts w:hint="default" w:ascii="Times New Roman" w:hAnsi="Times New Roman" w:cs="Times New Roman"/>
                      <w:color w:val="auto"/>
                    </w:rPr>
                  </w:pPr>
                  <w:r>
                    <w:rPr>
                      <w:rFonts w:hint="default" w:ascii="Times New Roman" w:hAnsi="Times New Roman" w:cs="Times New Roman"/>
                      <w:color w:val="auto"/>
                    </w:rPr>
                    <w:t>颗粒物（t/a）</w:t>
                  </w:r>
                </w:p>
              </w:tc>
              <w:tc>
                <w:tcPr>
                  <w:tcW w:w="762" w:type="pct"/>
                  <w:vAlign w:val="center"/>
                </w:tcPr>
                <w:p w14:paraId="30D870F6">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0.84</w:t>
                  </w:r>
                </w:p>
              </w:tc>
              <w:tc>
                <w:tcPr>
                  <w:tcW w:w="869" w:type="pct"/>
                  <w:vAlign w:val="center"/>
                </w:tcPr>
                <w:p w14:paraId="2BBA17EE">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867" w:type="pct"/>
                  <w:vAlign w:val="center"/>
                </w:tcPr>
                <w:p w14:paraId="3242E951">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highlight w:val="none"/>
                    </w:rPr>
                    <w:t>0.42</w:t>
                  </w:r>
                </w:p>
              </w:tc>
              <w:tc>
                <w:tcPr>
                  <w:tcW w:w="867" w:type="pct"/>
                  <w:vAlign w:val="center"/>
                </w:tcPr>
                <w:p w14:paraId="2D4E8495">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否</w:t>
                  </w:r>
                </w:p>
              </w:tc>
            </w:tr>
            <w:tr w14:paraId="554CA2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7" w:type="pct"/>
                  <w:vMerge w:val="continue"/>
                  <w:vAlign w:val="center"/>
                </w:tcPr>
                <w:p w14:paraId="581C0FEB">
                  <w:pPr>
                    <w:snapToGrid w:val="0"/>
                    <w:jc w:val="center"/>
                    <w:rPr>
                      <w:rFonts w:hint="default" w:ascii="Times New Roman" w:hAnsi="Times New Roman" w:cs="Times New Roman"/>
                      <w:color w:val="auto"/>
                      <w:szCs w:val="21"/>
                    </w:rPr>
                  </w:pPr>
                </w:p>
              </w:tc>
              <w:tc>
                <w:tcPr>
                  <w:tcW w:w="1005" w:type="pct"/>
                  <w:vAlign w:val="center"/>
                </w:tcPr>
                <w:p w14:paraId="1C816107">
                  <w:pPr>
                    <w:snapToGrid w:val="0"/>
                    <w:jc w:val="center"/>
                    <w:rPr>
                      <w:rFonts w:hint="default" w:ascii="Times New Roman" w:hAnsi="Times New Roman" w:cs="Times New Roman"/>
                      <w:color w:val="auto"/>
                    </w:rPr>
                  </w:pPr>
                  <w:r>
                    <w:rPr>
                      <w:rFonts w:hint="default" w:ascii="Times New Roman" w:hAnsi="Times New Roman" w:cs="Times New Roman"/>
                      <w:color w:val="auto"/>
                    </w:rPr>
                    <w:t>二氧化硫（t/a）</w:t>
                  </w:r>
                </w:p>
              </w:tc>
              <w:tc>
                <w:tcPr>
                  <w:tcW w:w="762" w:type="pct"/>
                  <w:vAlign w:val="center"/>
                </w:tcPr>
                <w:p w14:paraId="0CFE2BC4">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869" w:type="pct"/>
                  <w:vAlign w:val="center"/>
                </w:tcPr>
                <w:p w14:paraId="141126D0">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1496" w:type="dxa"/>
                  <w:vAlign w:val="center"/>
                </w:tcPr>
                <w:p w14:paraId="4647B79B">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867" w:type="pct"/>
                  <w:vAlign w:val="center"/>
                </w:tcPr>
                <w:p w14:paraId="601D33DF">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否</w:t>
                  </w:r>
                </w:p>
              </w:tc>
            </w:tr>
            <w:tr w14:paraId="0CF7D9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7" w:type="pct"/>
                  <w:vMerge w:val="continue"/>
                  <w:vAlign w:val="center"/>
                </w:tcPr>
                <w:p w14:paraId="579DC8FE">
                  <w:pPr>
                    <w:snapToGrid w:val="0"/>
                    <w:jc w:val="center"/>
                    <w:rPr>
                      <w:rFonts w:hint="default" w:ascii="Times New Roman" w:hAnsi="Times New Roman" w:cs="Times New Roman"/>
                      <w:color w:val="auto"/>
                      <w:szCs w:val="21"/>
                    </w:rPr>
                  </w:pPr>
                </w:p>
              </w:tc>
              <w:tc>
                <w:tcPr>
                  <w:tcW w:w="1005" w:type="pct"/>
                  <w:vAlign w:val="center"/>
                </w:tcPr>
                <w:p w14:paraId="69BF0A6F">
                  <w:pPr>
                    <w:snapToGrid w:val="0"/>
                    <w:jc w:val="center"/>
                    <w:rPr>
                      <w:rFonts w:hint="default" w:ascii="Times New Roman" w:hAnsi="Times New Roman" w:cs="Times New Roman"/>
                      <w:color w:val="auto"/>
                    </w:rPr>
                  </w:pPr>
                  <w:r>
                    <w:rPr>
                      <w:rFonts w:hint="default" w:ascii="Times New Roman" w:hAnsi="Times New Roman" w:cs="Times New Roman"/>
                      <w:color w:val="auto"/>
                    </w:rPr>
                    <w:t>氮氧化物（t/a）</w:t>
                  </w:r>
                </w:p>
              </w:tc>
              <w:tc>
                <w:tcPr>
                  <w:tcW w:w="762" w:type="pct"/>
                  <w:vAlign w:val="center"/>
                </w:tcPr>
                <w:p w14:paraId="019BAB39">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869" w:type="pct"/>
                  <w:vAlign w:val="center"/>
                </w:tcPr>
                <w:p w14:paraId="6D214F5F">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1496" w:type="dxa"/>
                  <w:vAlign w:val="center"/>
                </w:tcPr>
                <w:p w14:paraId="1603DF20">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867" w:type="pct"/>
                  <w:vAlign w:val="center"/>
                </w:tcPr>
                <w:p w14:paraId="46BB5348">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否</w:t>
                  </w:r>
                </w:p>
              </w:tc>
            </w:tr>
          </w:tbl>
          <w:p w14:paraId="5029CB6B">
            <w:pPr>
              <w:pStyle w:val="70"/>
              <w:spacing w:line="240" w:lineRule="auto"/>
              <w:ind w:firstLine="0" w:firstLineChars="0"/>
              <w:rPr>
                <w:rFonts w:hint="default" w:ascii="Times New Roman" w:hAnsi="Times New Roman" w:cs="Times New Roman"/>
                <w:snapToGrid w:val="0"/>
                <w:color w:val="auto"/>
                <w:kern w:val="0"/>
                <w:sz w:val="18"/>
                <w:szCs w:val="18"/>
              </w:rPr>
            </w:pPr>
            <w:r>
              <w:rPr>
                <w:rFonts w:hint="default" w:ascii="Times New Roman" w:hAnsi="Times New Roman" w:cs="Times New Roman"/>
                <w:snapToGrid w:val="0"/>
                <w:color w:val="auto"/>
                <w:kern w:val="0"/>
                <w:sz w:val="18"/>
                <w:szCs w:val="18"/>
              </w:rPr>
              <w:t>注：</w:t>
            </w:r>
            <w:r>
              <w:rPr>
                <w:rFonts w:hint="default" w:ascii="Times New Roman" w:hAnsi="Times New Roman" w:eastAsia="黑体" w:cs="Times New Roman"/>
                <w:snapToGrid w:val="0"/>
                <w:color w:val="auto"/>
                <w:spacing w:val="-6"/>
                <w:kern w:val="21"/>
                <w:sz w:val="18"/>
                <w:szCs w:val="18"/>
              </w:rPr>
              <w:t>①</w:t>
            </w:r>
            <w:r>
              <w:rPr>
                <w:rFonts w:hint="default" w:ascii="Times New Roman" w:hAnsi="Times New Roman" w:cs="Times New Roman"/>
                <w:snapToGrid w:val="0"/>
                <w:color w:val="auto"/>
                <w:kern w:val="0"/>
                <w:sz w:val="18"/>
                <w:szCs w:val="18"/>
              </w:rPr>
              <w:t>现有已投产工程排放量取自2025年年度执行报告。</w:t>
            </w:r>
          </w:p>
          <w:p w14:paraId="7F8E7C27">
            <w:pPr>
              <w:pStyle w:val="70"/>
              <w:spacing w:line="240" w:lineRule="auto"/>
              <w:ind w:firstLine="360"/>
              <w:rPr>
                <w:rFonts w:hint="default" w:ascii="Times New Roman" w:hAnsi="Times New Roman" w:cs="Times New Roman"/>
                <w:snapToGrid w:val="0"/>
                <w:color w:val="auto"/>
                <w:kern w:val="0"/>
                <w:sz w:val="18"/>
                <w:szCs w:val="18"/>
              </w:rPr>
            </w:pPr>
            <w:r>
              <w:rPr>
                <w:rFonts w:hint="default" w:ascii="Times New Roman" w:hAnsi="Times New Roman" w:cs="Times New Roman"/>
                <w:snapToGrid w:val="0"/>
                <w:color w:val="auto"/>
                <w:kern w:val="0"/>
                <w:sz w:val="18"/>
                <w:szCs w:val="18"/>
              </w:rPr>
              <w:t>②现有工程许可排放量源自排污许可证。</w:t>
            </w:r>
          </w:p>
          <w:p w14:paraId="7965E8B3">
            <w:pPr>
              <w:pStyle w:val="70"/>
              <w:spacing w:line="240" w:lineRule="auto"/>
              <w:ind w:firstLine="360"/>
              <w:rPr>
                <w:rFonts w:hint="default" w:ascii="Times New Roman" w:hAnsi="Times New Roman" w:cs="Times New Roman"/>
                <w:snapToGrid w:val="0"/>
                <w:color w:val="auto"/>
                <w:kern w:val="0"/>
                <w:sz w:val="18"/>
                <w:szCs w:val="18"/>
              </w:rPr>
            </w:pPr>
            <w:r>
              <w:rPr>
                <w:rFonts w:hint="default" w:ascii="Times New Roman" w:hAnsi="Times New Roman" w:cs="Times New Roman"/>
                <w:snapToGrid w:val="0"/>
                <w:color w:val="auto"/>
                <w:kern w:val="0"/>
                <w:sz w:val="18"/>
                <w:szCs w:val="18"/>
              </w:rPr>
              <w:t>③现有已投产工程的环评和验收报告对无组织颗粒物没有定量统计，因此只统计有组织排放量。</w:t>
            </w:r>
          </w:p>
          <w:p w14:paraId="09E60C3E">
            <w:pPr>
              <w:pStyle w:val="70"/>
              <w:keepNext w:val="0"/>
              <w:keepLines w:val="0"/>
              <w:pageBreakBefore w:val="0"/>
              <w:widowControl w:val="0"/>
              <w:kinsoku/>
              <w:wordWrap/>
              <w:overflowPunct/>
              <w:topLinePunct w:val="0"/>
              <w:autoSpaceDE/>
              <w:autoSpaceDN/>
              <w:bidi w:val="0"/>
              <w:adjustRightInd w:val="0"/>
              <w:snapToGrid w:val="0"/>
              <w:spacing w:before="378" w:beforeLines="100" w:after="85" w:afterLines="22"/>
              <w:ind w:firstLine="0" w:firstLineChars="0"/>
              <w:textAlignment w:val="auto"/>
              <w:outlineLvl w:val="2"/>
              <w:rPr>
                <w:rFonts w:hint="default" w:ascii="Times New Roman" w:hAnsi="Times New Roman" w:eastAsia="黑体" w:cs="Times New Roman"/>
                <w:color w:val="auto"/>
                <w:sz w:val="28"/>
                <w:szCs w:val="28"/>
              </w:rPr>
            </w:pPr>
            <w:r>
              <w:rPr>
                <w:rFonts w:hint="default" w:ascii="Times New Roman" w:hAnsi="Times New Roman" w:eastAsia="黑体" w:cs="Times New Roman"/>
                <w:color w:val="auto"/>
                <w:sz w:val="28"/>
                <w:szCs w:val="28"/>
              </w:rPr>
              <w:t>2.4.3技改前后“三本账”分析</w:t>
            </w:r>
          </w:p>
          <w:p w14:paraId="727A129A">
            <w:pPr>
              <w:pStyle w:val="7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扩建</w:t>
            </w:r>
            <w:r>
              <w:rPr>
                <w:rFonts w:hint="default" w:ascii="Times New Roman" w:hAnsi="Times New Roman" w:cs="Times New Roman"/>
                <w:color w:val="auto"/>
                <w:highlight w:val="none"/>
              </w:rPr>
              <w:t>前后主要污染物核算三本账见表2.4-</w:t>
            </w:r>
            <w:r>
              <w:rPr>
                <w:rFonts w:hint="default" w:ascii="Times New Roman" w:hAnsi="Times New Roman" w:cs="Times New Roman"/>
                <w:color w:val="auto"/>
                <w:highlight w:val="none"/>
                <w:lang w:val="en-US" w:eastAsia="zh-CN"/>
              </w:rPr>
              <w:t>15</w:t>
            </w:r>
            <w:r>
              <w:rPr>
                <w:rFonts w:hint="default" w:ascii="Times New Roman" w:hAnsi="Times New Roman" w:cs="Times New Roman"/>
                <w:color w:val="auto"/>
                <w:highlight w:val="none"/>
              </w:rPr>
              <w:t>。</w:t>
            </w:r>
          </w:p>
          <w:p w14:paraId="10FFD46C">
            <w:pPr>
              <w:pStyle w:val="70"/>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扩建后全厂</w:t>
            </w:r>
            <w:r>
              <w:rPr>
                <w:rFonts w:hint="default" w:ascii="Times New Roman" w:hAnsi="Times New Roman" w:eastAsia="宋体" w:cs="Times New Roman"/>
                <w:color w:val="auto"/>
                <w:sz w:val="24"/>
                <w:szCs w:val="24"/>
                <w:highlight w:val="none"/>
              </w:rPr>
              <w:t>化学需氧量总量</w:t>
            </w:r>
            <w:r>
              <w:rPr>
                <w:rFonts w:hint="default" w:ascii="Times New Roman" w:hAnsi="Times New Roman" w:eastAsia="宋体" w:cs="Times New Roman"/>
                <w:b w:val="0"/>
                <w:bCs w:val="0"/>
                <w:i w:val="0"/>
                <w:iCs w:val="0"/>
                <w:color w:val="auto"/>
                <w:kern w:val="0"/>
                <w:sz w:val="24"/>
                <w:szCs w:val="24"/>
                <w:highlight w:val="none"/>
                <w:u w:val="none"/>
                <w:lang w:val="en-US" w:eastAsia="zh-CN" w:bidi="ar"/>
              </w:rPr>
              <w:t>2.625</w:t>
            </w:r>
            <w:r>
              <w:rPr>
                <w:rFonts w:hint="default" w:ascii="Times New Roman" w:hAnsi="Times New Roman" w:eastAsia="宋体" w:cs="Times New Roman"/>
                <w:color w:val="auto"/>
                <w:sz w:val="24"/>
                <w:szCs w:val="24"/>
                <w:highlight w:val="none"/>
              </w:rPr>
              <w:t xml:space="preserve"> t/a、氨氮总量</w:t>
            </w:r>
            <w:r>
              <w:rPr>
                <w:rFonts w:hint="default" w:ascii="Times New Roman" w:hAnsi="Times New Roman" w:eastAsia="宋体" w:cs="Times New Roman"/>
                <w:b w:val="0"/>
                <w:bCs w:val="0"/>
                <w:i w:val="0"/>
                <w:iCs w:val="0"/>
                <w:color w:val="auto"/>
                <w:kern w:val="0"/>
                <w:sz w:val="24"/>
                <w:szCs w:val="24"/>
                <w:highlight w:val="none"/>
                <w:u w:val="none"/>
                <w:lang w:val="en-US" w:eastAsia="zh-CN" w:bidi="ar"/>
              </w:rPr>
              <w:t>0.262</w:t>
            </w:r>
            <w:r>
              <w:rPr>
                <w:rFonts w:hint="default" w:ascii="Times New Roman" w:hAnsi="Times New Roman" w:eastAsia="宋体" w:cs="Times New Roman"/>
                <w:color w:val="auto"/>
                <w:sz w:val="24"/>
                <w:szCs w:val="24"/>
                <w:highlight w:val="none"/>
              </w:rPr>
              <w:t xml:space="preserve"> t/a、颗粒物总量</w:t>
            </w:r>
            <w:r>
              <w:rPr>
                <w:rFonts w:hint="default" w:ascii="Times New Roman" w:hAnsi="Times New Roman" w:eastAsia="宋体" w:cs="Times New Roman"/>
                <w:b w:val="0"/>
                <w:bCs w:val="0"/>
                <w:i w:val="0"/>
                <w:iCs w:val="0"/>
                <w:color w:val="auto"/>
                <w:kern w:val="0"/>
                <w:sz w:val="24"/>
                <w:szCs w:val="24"/>
                <w:highlight w:val="none"/>
                <w:u w:val="none"/>
                <w:lang w:val="en-US" w:eastAsia="zh-CN" w:bidi="ar"/>
              </w:rPr>
              <w:t>3.386</w:t>
            </w:r>
            <w:r>
              <w:rPr>
                <w:rFonts w:hint="default" w:ascii="Times New Roman" w:hAnsi="Times New Roman" w:eastAsia="宋体" w:cs="Times New Roman"/>
                <w:color w:val="auto"/>
                <w:sz w:val="24"/>
                <w:szCs w:val="24"/>
                <w:highlight w:val="none"/>
              </w:rPr>
              <w:t xml:space="preserve"> t/a、SO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snapToGrid w:val="0"/>
                <w:color w:val="auto"/>
                <w:kern w:val="0"/>
                <w:sz w:val="24"/>
                <w:szCs w:val="24"/>
                <w:highlight w:val="none"/>
              </w:rPr>
              <w:t>总量</w:t>
            </w:r>
            <w:r>
              <w:rPr>
                <w:rFonts w:hint="default" w:ascii="Times New Roman" w:hAnsi="Times New Roman" w:eastAsia="宋体" w:cs="Times New Roman"/>
                <w:b w:val="0"/>
                <w:bCs w:val="0"/>
                <w:i w:val="0"/>
                <w:iCs w:val="0"/>
                <w:color w:val="auto"/>
                <w:kern w:val="0"/>
                <w:sz w:val="24"/>
                <w:szCs w:val="24"/>
                <w:highlight w:val="none"/>
                <w:u w:val="none"/>
                <w:lang w:val="en-US" w:eastAsia="zh-CN" w:bidi="ar"/>
              </w:rPr>
              <w:t>0.180</w:t>
            </w:r>
            <w:r>
              <w:rPr>
                <w:rFonts w:hint="default" w:ascii="Times New Roman" w:hAnsi="Times New Roman" w:eastAsia="宋体" w:cs="Times New Roman"/>
                <w:color w:val="auto"/>
                <w:sz w:val="24"/>
                <w:szCs w:val="24"/>
                <w:highlight w:val="none"/>
              </w:rPr>
              <w:t>t/a和NO</w:t>
            </w:r>
            <w:r>
              <w:rPr>
                <w:rFonts w:hint="default" w:ascii="Times New Roman" w:hAnsi="Times New Roman" w:eastAsia="宋体" w:cs="Times New Roman"/>
                <w:color w:val="auto"/>
                <w:sz w:val="24"/>
                <w:szCs w:val="24"/>
                <w:highlight w:val="none"/>
                <w:vertAlign w:val="subscript"/>
              </w:rPr>
              <w:t>X</w:t>
            </w:r>
            <w:r>
              <w:rPr>
                <w:rFonts w:hint="default" w:ascii="Times New Roman" w:hAnsi="Times New Roman" w:eastAsia="宋体" w:cs="Times New Roman"/>
                <w:snapToGrid w:val="0"/>
                <w:color w:val="auto"/>
                <w:kern w:val="0"/>
                <w:sz w:val="24"/>
                <w:szCs w:val="24"/>
                <w:highlight w:val="none"/>
              </w:rPr>
              <w:t>总量</w:t>
            </w:r>
            <w:r>
              <w:rPr>
                <w:rFonts w:hint="default" w:ascii="Times New Roman" w:hAnsi="Times New Roman" w:eastAsia="宋体" w:cs="Times New Roman"/>
                <w:color w:val="auto"/>
                <w:sz w:val="24"/>
                <w:szCs w:val="24"/>
                <w:highlight w:val="none"/>
                <w:lang w:val="en-US" w:eastAsia="zh-CN"/>
              </w:rPr>
              <w:t xml:space="preserve">1.684 </w:t>
            </w:r>
            <w:r>
              <w:rPr>
                <w:rFonts w:hint="default" w:ascii="Times New Roman" w:hAnsi="Times New Roman" w:eastAsia="宋体" w:cs="Times New Roman"/>
                <w:color w:val="auto"/>
                <w:sz w:val="24"/>
                <w:szCs w:val="24"/>
                <w:highlight w:val="none"/>
              </w:rPr>
              <w:t>t/a</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拟建项目新增化学需氧量、氨氮、SO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、NOx排放量分别为</w:t>
            </w:r>
            <w:r>
              <w:rPr>
                <w:rFonts w:hint="default" w:ascii="Times New Roman" w:hAnsi="Times New Roman" w:eastAsia="宋体" w:cs="Times New Roman"/>
                <w:color w:val="auto"/>
                <w:sz w:val="24"/>
                <w:szCs w:val="24"/>
                <w:highlight w:val="none"/>
                <w:lang w:val="en-US" w:eastAsia="zh-CN"/>
              </w:rPr>
              <w:t>2.625</w:t>
            </w:r>
            <w:r>
              <w:rPr>
                <w:rFonts w:hint="default" w:ascii="Times New Roman" w:hAnsi="Times New Roman" w:eastAsia="宋体" w:cs="Times New Roman"/>
                <w:color w:val="auto"/>
                <w:sz w:val="24"/>
                <w:szCs w:val="24"/>
                <w:highlight w:val="none"/>
              </w:rPr>
              <w:t>t/a、0.564t/a、</w:t>
            </w:r>
            <w:r>
              <w:rPr>
                <w:rFonts w:hint="default" w:ascii="Times New Roman" w:hAnsi="Times New Roman" w:eastAsia="宋体" w:cs="Times New Roman"/>
                <w:color w:val="auto"/>
                <w:sz w:val="24"/>
                <w:szCs w:val="24"/>
                <w:highlight w:val="none"/>
                <w:lang w:val="en-US" w:eastAsia="zh-CN"/>
              </w:rPr>
              <w:t xml:space="preserve">0.262 </w:t>
            </w:r>
            <w:r>
              <w:rPr>
                <w:rFonts w:hint="default" w:ascii="Times New Roman" w:hAnsi="Times New Roman" w:eastAsia="宋体" w:cs="Times New Roman"/>
                <w:color w:val="auto"/>
                <w:sz w:val="24"/>
                <w:szCs w:val="24"/>
                <w:highlight w:val="none"/>
              </w:rPr>
              <w:t>t/a、</w:t>
            </w:r>
            <w:r>
              <w:rPr>
                <w:rFonts w:hint="default" w:ascii="Times New Roman" w:hAnsi="Times New Roman" w:eastAsia="宋体" w:cs="Times New Roman"/>
                <w:color w:val="auto"/>
                <w:sz w:val="24"/>
                <w:szCs w:val="24"/>
                <w:highlight w:val="none"/>
                <w:lang w:val="en-US" w:eastAsia="zh-CN"/>
              </w:rPr>
              <w:t xml:space="preserve">0.180 </w:t>
            </w:r>
            <w:r>
              <w:rPr>
                <w:rFonts w:hint="default" w:ascii="Times New Roman" w:hAnsi="Times New Roman" w:eastAsia="宋体" w:cs="Times New Roman"/>
                <w:color w:val="auto"/>
                <w:sz w:val="24"/>
                <w:szCs w:val="24"/>
                <w:highlight w:val="none"/>
              </w:rPr>
              <w:t>t/a、</w:t>
            </w:r>
            <w:r>
              <w:rPr>
                <w:rFonts w:hint="default" w:ascii="Times New Roman" w:hAnsi="Times New Roman" w:eastAsia="宋体" w:cs="Times New Roman"/>
                <w:color w:val="auto"/>
                <w:sz w:val="24"/>
                <w:szCs w:val="24"/>
                <w:highlight w:val="none"/>
                <w:lang w:val="en-US" w:eastAsia="zh-CN"/>
              </w:rPr>
              <w:t xml:space="preserve">1.684 </w:t>
            </w:r>
            <w:r>
              <w:rPr>
                <w:rFonts w:hint="default" w:ascii="Times New Roman" w:hAnsi="Times New Roman" w:eastAsia="宋体" w:cs="Times New Roman"/>
                <w:color w:val="auto"/>
                <w:sz w:val="24"/>
                <w:szCs w:val="24"/>
                <w:highlight w:val="none"/>
              </w:rPr>
              <w:t>t/a。</w:t>
            </w:r>
          </w:p>
          <w:p w14:paraId="67053503">
            <w:pPr>
              <w:adjustRightInd w:val="0"/>
              <w:snapToGrid w:val="0"/>
              <w:spacing w:before="189" w:beforeLines="50" w:after="189" w:afterLines="50"/>
              <w:outlineLvl w:val="2"/>
              <w:rPr>
                <w:rFonts w:hint="default" w:ascii="Times New Roman" w:hAnsi="Times New Roman" w:eastAsia="黑体" w:cs="Times New Roman"/>
                <w:color w:val="auto"/>
                <w:sz w:val="28"/>
                <w:szCs w:val="28"/>
              </w:rPr>
            </w:pPr>
            <w:r>
              <w:rPr>
                <w:rFonts w:hint="default" w:ascii="Times New Roman" w:hAnsi="Times New Roman" w:eastAsia="黑体" w:cs="Times New Roman"/>
                <w:color w:val="auto"/>
                <w:sz w:val="28"/>
                <w:szCs w:val="28"/>
              </w:rPr>
              <w:t>2.4.4现有工程环保问题</w:t>
            </w:r>
          </w:p>
          <w:p w14:paraId="250CA40C">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与本项目有关的现有工程废气、噪声、生活污水排放均实现达标排放，一般固废和危险固废均得到有效处理和处置。污染物年排放量满足排污许可总量控制要求。</w:t>
            </w:r>
          </w:p>
          <w:p w14:paraId="22D16734">
            <w:pPr>
              <w:adjustRightInd w:val="0"/>
              <w:snapToGrid w:val="0"/>
              <w:spacing w:line="360" w:lineRule="auto"/>
              <w:ind w:left="420"/>
              <w:rPr>
                <w:rFonts w:hint="default" w:ascii="Times New Roman" w:hAnsi="Times New Roman" w:cs="Times New Roman"/>
                <w:color w:val="auto"/>
                <w:sz w:val="24"/>
              </w:rPr>
            </w:pPr>
            <w:r>
              <w:rPr>
                <w:rFonts w:hint="default" w:ascii="Times New Roman" w:hAnsi="Times New Roman" w:cs="Times New Roman"/>
                <w:color w:val="auto"/>
                <w:sz w:val="24"/>
              </w:rPr>
              <w:t>根据现场踏勘，现有工程存在的环境问题：</w:t>
            </w:r>
          </w:p>
          <w:p w14:paraId="4F2E5704">
            <w:pPr>
              <w:adjustRightInd w:val="0"/>
              <w:snapToGrid w:val="0"/>
              <w:spacing w:line="360" w:lineRule="auto"/>
              <w:ind w:left="420"/>
              <w:rPr>
                <w:rFonts w:hint="default" w:ascii="Times New Roman" w:hAnsi="Times New Roman" w:cs="Times New Roman"/>
                <w:color w:val="auto"/>
                <w:sz w:val="24"/>
              </w:rPr>
            </w:pPr>
            <w:r>
              <w:rPr>
                <w:rFonts w:hint="default" w:ascii="Times New Roman" w:hAnsi="Times New Roman" w:cs="Times New Roman"/>
                <w:color w:val="auto"/>
                <w:sz w:val="24"/>
              </w:rPr>
              <w:t>1、厂区未建设雨水管道，未落实雨污分流系统；</w:t>
            </w:r>
          </w:p>
          <w:p w14:paraId="7E8CDBC9">
            <w:pPr>
              <w:adjustRightInd w:val="0"/>
              <w:snapToGrid w:val="0"/>
              <w:spacing w:line="360" w:lineRule="auto"/>
              <w:ind w:left="420"/>
              <w:rPr>
                <w:rFonts w:hint="default" w:ascii="Times New Roman" w:hAnsi="Times New Roman" w:cs="Times New Roman"/>
                <w:color w:val="auto"/>
                <w:sz w:val="24"/>
              </w:rPr>
            </w:pPr>
            <w:r>
              <w:rPr>
                <w:rFonts w:hint="default" w:ascii="Times New Roman" w:hAnsi="Times New Roman" w:cs="Times New Roman"/>
                <w:color w:val="auto"/>
                <w:sz w:val="24"/>
              </w:rPr>
              <w:t>2、厂区未设置生活污水排放口，生活污水经化粪池处理后暂存于企业原污水处理设施（现已停用），去向不明确；</w:t>
            </w:r>
          </w:p>
          <w:p w14:paraId="0B270533">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3、在建工程</w:t>
            </w:r>
            <w:r>
              <w:rPr>
                <w:rFonts w:hint="default" w:ascii="Times New Roman" w:hAnsi="Times New Roman" w:cs="Times New Roman"/>
                <w:color w:val="auto"/>
                <w:sz w:val="24"/>
                <w:lang w:val="en-US" w:eastAsia="zh-CN"/>
              </w:rPr>
              <w:t>1#车间</w:t>
            </w:r>
            <w:r>
              <w:rPr>
                <w:rFonts w:hint="default" w:ascii="Times New Roman" w:hAnsi="Times New Roman" w:cs="Times New Roman"/>
                <w:color w:val="auto"/>
                <w:sz w:val="24"/>
              </w:rPr>
              <w:t>3条钢丝生产线剥壳除锈、打磨工序</w:t>
            </w:r>
            <w:r>
              <w:rPr>
                <w:rFonts w:hint="default" w:ascii="Times New Roman" w:hAnsi="Times New Roman" w:cs="Times New Roman"/>
                <w:color w:val="auto"/>
                <w:sz w:val="24"/>
                <w:lang w:val="en-US" w:eastAsia="zh-CN"/>
              </w:rPr>
              <w:t>采用滤筒除尘器处理后</w:t>
            </w:r>
            <w:r>
              <w:rPr>
                <w:rFonts w:hint="default" w:ascii="Times New Roman" w:hAnsi="Times New Roman" w:cs="Times New Roman"/>
                <w:color w:val="auto"/>
                <w:sz w:val="24"/>
              </w:rPr>
              <w:t>呈</w:t>
            </w:r>
            <w:r>
              <w:rPr>
                <w:rFonts w:hint="default" w:ascii="Times New Roman" w:hAnsi="Times New Roman" w:cs="Times New Roman"/>
                <w:color w:val="auto"/>
                <w:sz w:val="24"/>
                <w:lang w:val="en-US" w:eastAsia="zh-CN"/>
              </w:rPr>
              <w:t>车间</w:t>
            </w:r>
            <w:r>
              <w:rPr>
                <w:rFonts w:hint="default" w:ascii="Times New Roman" w:hAnsi="Times New Roman" w:cs="Times New Roman"/>
                <w:color w:val="auto"/>
                <w:sz w:val="24"/>
              </w:rPr>
              <w:t>无组织排放，可能对</w:t>
            </w:r>
            <w:r>
              <w:rPr>
                <w:rFonts w:hint="default" w:ascii="Times New Roman" w:hAnsi="Times New Roman" w:cs="Times New Roman"/>
                <w:color w:val="auto"/>
                <w:sz w:val="24"/>
                <w:lang w:val="en-US" w:eastAsia="zh-CN"/>
              </w:rPr>
              <w:t>车间工人</w:t>
            </w:r>
            <w:r>
              <w:rPr>
                <w:rFonts w:hint="default" w:ascii="Times New Roman" w:hAnsi="Times New Roman" w:cs="Times New Roman"/>
                <w:color w:val="auto"/>
                <w:sz w:val="24"/>
              </w:rPr>
              <w:t>造成一定影响。</w:t>
            </w:r>
          </w:p>
          <w:p w14:paraId="1A7BF759">
            <w:pPr>
              <w:adjustRightInd w:val="0"/>
              <w:snapToGrid w:val="0"/>
              <w:spacing w:line="360" w:lineRule="auto"/>
              <w:ind w:left="420"/>
              <w:rPr>
                <w:rFonts w:hint="default" w:ascii="Times New Roman" w:hAnsi="Times New Roman" w:cs="Times New Roman"/>
                <w:color w:val="auto"/>
                <w:sz w:val="24"/>
              </w:rPr>
            </w:pPr>
            <w:r>
              <w:rPr>
                <w:rFonts w:hint="default" w:ascii="Times New Roman" w:hAnsi="Times New Roman" w:cs="Times New Roman"/>
                <w:color w:val="auto"/>
                <w:sz w:val="24"/>
              </w:rPr>
              <w:t>根据现有工程存在的环境问题整改措施：</w:t>
            </w:r>
          </w:p>
          <w:p w14:paraId="3F6321E9">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1、厂区进行雨污分流改造，设置初期雨水池并在水总排口设置切换阀；</w:t>
            </w:r>
          </w:p>
          <w:p w14:paraId="08C6931C">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2、设置生活污水排放口，将厂区生活污水接入市政污水管道，排入沙县金古北片区污水处理厂。</w:t>
            </w:r>
          </w:p>
          <w:p w14:paraId="75FE330E">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3、</w:t>
            </w:r>
            <w:r>
              <w:rPr>
                <w:rFonts w:hint="default" w:ascii="Times New Roman" w:hAnsi="Times New Roman" w:cs="Times New Roman"/>
                <w:color w:val="auto"/>
                <w:sz w:val="24"/>
                <w:lang w:val="en-US" w:eastAsia="zh-CN"/>
              </w:rPr>
              <w:t>1#车间</w:t>
            </w:r>
            <w:r>
              <w:rPr>
                <w:rFonts w:hint="default" w:ascii="Times New Roman" w:hAnsi="Times New Roman" w:cs="Times New Roman"/>
                <w:color w:val="auto"/>
                <w:sz w:val="24"/>
              </w:rPr>
              <w:t>3条钢丝生产线的剥壳除锈、打磨工序</w:t>
            </w:r>
            <w:r>
              <w:rPr>
                <w:rFonts w:hint="default" w:ascii="Times New Roman" w:hAnsi="Times New Roman" w:cs="Times New Roman"/>
                <w:color w:val="auto"/>
                <w:sz w:val="24"/>
                <w:lang w:val="en-US" w:eastAsia="zh-CN"/>
              </w:rPr>
              <w:t>经过滤筒除尘器处理后</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建设18m排气筒，将废气由车间无组织排放改为</w:t>
            </w:r>
            <w:r>
              <w:rPr>
                <w:rFonts w:hint="default" w:ascii="Times New Roman" w:hAnsi="Times New Roman" w:cs="Times New Roman"/>
                <w:color w:val="auto"/>
                <w:sz w:val="24"/>
              </w:rPr>
              <w:t>有组织排放。</w:t>
            </w:r>
          </w:p>
          <w:p w14:paraId="33A6EE15">
            <w:pPr>
              <w:bidi w:val="0"/>
              <w:rPr>
                <w:rFonts w:hint="default"/>
                <w:color w:val="auto"/>
              </w:rPr>
            </w:pPr>
          </w:p>
          <w:p w14:paraId="5E41314A">
            <w:pPr>
              <w:bidi w:val="0"/>
              <w:rPr>
                <w:rFonts w:hint="default"/>
                <w:color w:val="auto"/>
              </w:rPr>
            </w:pPr>
          </w:p>
          <w:p w14:paraId="469CF4E1">
            <w:pPr>
              <w:bidi w:val="0"/>
              <w:rPr>
                <w:rFonts w:hint="default"/>
                <w:color w:val="auto"/>
              </w:rPr>
            </w:pPr>
          </w:p>
          <w:p w14:paraId="7BA4F178">
            <w:pPr>
              <w:bidi w:val="0"/>
              <w:rPr>
                <w:rFonts w:hint="default"/>
                <w:color w:val="auto"/>
              </w:rPr>
            </w:pPr>
          </w:p>
        </w:tc>
      </w:tr>
    </w:tbl>
    <w:p w14:paraId="7CECD2B8">
      <w:pPr>
        <w:pStyle w:val="17"/>
        <w:ind w:left="0" w:leftChars="0" w:firstLine="0" w:firstLineChars="0"/>
        <w:rPr>
          <w:rFonts w:hint="default" w:ascii="Times New Roman" w:hAnsi="Times New Roman" w:cs="Times New Roman"/>
          <w:color w:val="auto"/>
        </w:rPr>
      </w:pPr>
    </w:p>
    <w:p w14:paraId="5290832B">
      <w:pPr>
        <w:jc w:val="center"/>
        <w:rPr>
          <w:rFonts w:hint="default" w:ascii="Times New Roman" w:hAnsi="Times New Roman" w:cs="Times New Roman"/>
          <w:color w:val="auto"/>
          <w:sz w:val="36"/>
          <w:szCs w:val="20"/>
        </w:rPr>
        <w:sectPr>
          <w:pgSz w:w="11905" w:h="16838"/>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p w14:paraId="170F6FFB">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表2.4-</w:t>
      </w:r>
      <w:r>
        <w:rPr>
          <w:rFonts w:hint="default" w:ascii="Times New Roman" w:hAnsi="Times New Roman" w:eastAsia="黑体" w:cs="Times New Roman"/>
          <w:b w:val="0"/>
          <w:bCs/>
          <w:color w:val="auto"/>
          <w:lang w:val="en-US" w:eastAsia="zh-CN"/>
        </w:rPr>
        <w:t>15</w:t>
      </w:r>
      <w:r>
        <w:rPr>
          <w:rFonts w:hint="default" w:ascii="Times New Roman" w:hAnsi="Times New Roman" w:eastAsia="黑体" w:cs="Times New Roman"/>
          <w:b w:val="0"/>
          <w:bCs/>
          <w:color w:val="auto"/>
        </w:rPr>
        <w:t xml:space="preserve">  </w:t>
      </w:r>
      <w:r>
        <w:rPr>
          <w:rFonts w:hint="default" w:ascii="Times New Roman" w:hAnsi="Times New Roman" w:eastAsia="黑体" w:cs="Times New Roman"/>
          <w:b w:val="0"/>
          <w:bCs/>
          <w:color w:val="auto"/>
          <w:lang w:val="en-US" w:eastAsia="zh-CN"/>
        </w:rPr>
        <w:t>扩建前后</w:t>
      </w:r>
      <w:r>
        <w:rPr>
          <w:rFonts w:hint="default" w:ascii="Times New Roman" w:hAnsi="Times New Roman" w:eastAsia="黑体" w:cs="Times New Roman"/>
          <w:b w:val="0"/>
          <w:bCs/>
          <w:color w:val="auto"/>
        </w:rPr>
        <w:t>主要污染物核算三本账分析  单位：t/a</w:t>
      </w:r>
    </w:p>
    <w:tbl>
      <w:tblPr>
        <w:tblStyle w:val="34"/>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616"/>
        <w:gridCol w:w="1358"/>
        <w:gridCol w:w="792"/>
        <w:gridCol w:w="715"/>
        <w:gridCol w:w="519"/>
        <w:gridCol w:w="1159"/>
        <w:gridCol w:w="656"/>
        <w:gridCol w:w="761"/>
        <w:gridCol w:w="607"/>
        <w:gridCol w:w="738"/>
        <w:gridCol w:w="738"/>
        <w:gridCol w:w="690"/>
        <w:gridCol w:w="698"/>
        <w:gridCol w:w="747"/>
        <w:gridCol w:w="670"/>
        <w:gridCol w:w="1623"/>
        <w:gridCol w:w="1122"/>
      </w:tblGrid>
      <w:tr w14:paraId="18C35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3" w:hRule="atLeast"/>
        </w:trPr>
        <w:tc>
          <w:tcPr>
            <w:tcW w:w="219" w:type="pct"/>
            <w:vMerge w:val="restart"/>
            <w:shd w:val="clear" w:color="auto" w:fill="auto"/>
            <w:vAlign w:val="center"/>
          </w:tcPr>
          <w:p w14:paraId="658CED12">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类别</w:t>
            </w:r>
          </w:p>
        </w:tc>
        <w:tc>
          <w:tcPr>
            <w:tcW w:w="480" w:type="pct"/>
            <w:vMerge w:val="restart"/>
            <w:shd w:val="clear" w:color="auto" w:fill="auto"/>
            <w:vAlign w:val="center"/>
          </w:tcPr>
          <w:p w14:paraId="1DA0835F">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污染物</w:t>
            </w:r>
          </w:p>
        </w:tc>
        <w:tc>
          <w:tcPr>
            <w:tcW w:w="720" w:type="pct"/>
            <w:gridSpan w:val="3"/>
            <w:shd w:val="clear" w:color="auto" w:fill="auto"/>
            <w:vAlign w:val="center"/>
          </w:tcPr>
          <w:p w14:paraId="4E306F31">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kern w:val="0"/>
                <w:sz w:val="21"/>
                <w:szCs w:val="21"/>
                <w:u w:val="none"/>
                <w:lang w:val="en-US" w:eastAsia="zh-CN" w:bidi="ar"/>
              </w:rPr>
            </w:pPr>
            <w:r>
              <w:rPr>
                <w:rFonts w:hint="default" w:ascii="Times New Roman" w:hAnsi="Times New Roman" w:eastAsia="宋体" w:cs="Times New Roman"/>
                <w:b w:val="0"/>
                <w:bCs w:val="0"/>
                <w:i w:val="0"/>
                <w:iCs w:val="0"/>
                <w:color w:val="auto"/>
                <w:kern w:val="0"/>
                <w:sz w:val="21"/>
                <w:szCs w:val="21"/>
                <w:u w:val="none"/>
                <w:lang w:val="en-US" w:eastAsia="zh-CN" w:bidi="ar"/>
              </w:rPr>
              <w:t>现有已投产工程</w:t>
            </w:r>
          </w:p>
          <w:p w14:paraId="622A179B">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排放量（t/a）</w:t>
            </w:r>
          </w:p>
        </w:tc>
        <w:tc>
          <w:tcPr>
            <w:tcW w:w="410" w:type="pct"/>
            <w:vMerge w:val="restart"/>
            <w:shd w:val="clear" w:color="auto" w:fill="auto"/>
            <w:vAlign w:val="center"/>
          </w:tcPr>
          <w:p w14:paraId="49350E0A">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现有工程许可排放量（t/a）</w:t>
            </w:r>
          </w:p>
        </w:tc>
        <w:tc>
          <w:tcPr>
            <w:tcW w:w="719" w:type="pct"/>
            <w:gridSpan w:val="3"/>
            <w:shd w:val="clear" w:color="auto" w:fill="auto"/>
            <w:vAlign w:val="center"/>
          </w:tcPr>
          <w:p w14:paraId="17F3CE5F">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在建工程排放量（t/a）</w:t>
            </w:r>
          </w:p>
        </w:tc>
        <w:tc>
          <w:tcPr>
            <w:tcW w:w="769" w:type="pct"/>
            <w:gridSpan w:val="3"/>
            <w:shd w:val="clear" w:color="auto" w:fill="auto"/>
            <w:vAlign w:val="center"/>
          </w:tcPr>
          <w:p w14:paraId="51416150">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本项目排放量（t/a）</w:t>
            </w:r>
          </w:p>
        </w:tc>
        <w:tc>
          <w:tcPr>
            <w:tcW w:w="751" w:type="pct"/>
            <w:gridSpan w:val="3"/>
            <w:shd w:val="clear" w:color="auto" w:fill="auto"/>
            <w:vAlign w:val="center"/>
          </w:tcPr>
          <w:p w14:paraId="4E7BCB5A">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“以新带老”削减量（t/a）</w:t>
            </w:r>
          </w:p>
        </w:tc>
        <w:tc>
          <w:tcPr>
            <w:tcW w:w="573" w:type="pct"/>
            <w:vMerge w:val="restart"/>
            <w:shd w:val="clear" w:color="auto" w:fill="auto"/>
            <w:vAlign w:val="center"/>
          </w:tcPr>
          <w:p w14:paraId="06B96DD1">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项目建成后全厂排放总量（t/a）</w:t>
            </w:r>
          </w:p>
        </w:tc>
        <w:tc>
          <w:tcPr>
            <w:tcW w:w="355" w:type="pct"/>
            <w:vMerge w:val="restart"/>
            <w:shd w:val="clear" w:color="auto" w:fill="auto"/>
            <w:vAlign w:val="center"/>
          </w:tcPr>
          <w:p w14:paraId="6390EC13">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变化量</w:t>
            </w:r>
          </w:p>
        </w:tc>
      </w:tr>
      <w:tr w14:paraId="3478D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3" w:hRule="atLeast"/>
        </w:trPr>
        <w:tc>
          <w:tcPr>
            <w:tcW w:w="219" w:type="pct"/>
            <w:vMerge w:val="continue"/>
            <w:shd w:val="clear" w:color="auto" w:fill="auto"/>
            <w:vAlign w:val="center"/>
          </w:tcPr>
          <w:p w14:paraId="4748CEDB">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480" w:type="pct"/>
            <w:vMerge w:val="continue"/>
            <w:shd w:val="clear" w:color="auto" w:fill="auto"/>
            <w:vAlign w:val="center"/>
          </w:tcPr>
          <w:p w14:paraId="67C5243A">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281" w:type="pct"/>
            <w:shd w:val="clear" w:color="auto" w:fill="auto"/>
            <w:vAlign w:val="center"/>
          </w:tcPr>
          <w:p w14:paraId="551CCAFB">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有组织</w:t>
            </w:r>
          </w:p>
        </w:tc>
        <w:tc>
          <w:tcPr>
            <w:tcW w:w="254" w:type="pct"/>
            <w:shd w:val="clear" w:color="auto" w:fill="auto"/>
            <w:vAlign w:val="center"/>
          </w:tcPr>
          <w:p w14:paraId="0A8A207F">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无组织</w:t>
            </w:r>
          </w:p>
        </w:tc>
        <w:tc>
          <w:tcPr>
            <w:tcW w:w="185" w:type="pct"/>
            <w:shd w:val="clear" w:color="auto" w:fill="auto"/>
            <w:vAlign w:val="center"/>
          </w:tcPr>
          <w:p w14:paraId="2AFA61CC">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合计</w:t>
            </w:r>
          </w:p>
        </w:tc>
        <w:tc>
          <w:tcPr>
            <w:tcW w:w="410" w:type="pct"/>
            <w:vMerge w:val="continue"/>
            <w:shd w:val="clear" w:color="auto" w:fill="auto"/>
            <w:vAlign w:val="center"/>
          </w:tcPr>
          <w:p w14:paraId="4010AAE1">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233" w:type="pct"/>
            <w:shd w:val="clear" w:color="auto" w:fill="auto"/>
            <w:vAlign w:val="center"/>
          </w:tcPr>
          <w:p w14:paraId="21DD5419">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有组织</w:t>
            </w:r>
          </w:p>
        </w:tc>
        <w:tc>
          <w:tcPr>
            <w:tcW w:w="270" w:type="pct"/>
            <w:shd w:val="clear" w:color="auto" w:fill="auto"/>
            <w:vAlign w:val="center"/>
          </w:tcPr>
          <w:p w14:paraId="0D1C5618">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无组织</w:t>
            </w:r>
          </w:p>
        </w:tc>
        <w:tc>
          <w:tcPr>
            <w:tcW w:w="216" w:type="pct"/>
            <w:shd w:val="clear" w:color="auto" w:fill="auto"/>
            <w:vAlign w:val="center"/>
          </w:tcPr>
          <w:p w14:paraId="32A4C5CA">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合计</w:t>
            </w:r>
          </w:p>
        </w:tc>
        <w:tc>
          <w:tcPr>
            <w:tcW w:w="262" w:type="pct"/>
            <w:shd w:val="clear" w:color="auto" w:fill="auto"/>
            <w:vAlign w:val="center"/>
          </w:tcPr>
          <w:p w14:paraId="5D6754E2">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有组织</w:t>
            </w:r>
          </w:p>
        </w:tc>
        <w:tc>
          <w:tcPr>
            <w:tcW w:w="262" w:type="pct"/>
            <w:shd w:val="clear" w:color="auto" w:fill="auto"/>
            <w:vAlign w:val="center"/>
          </w:tcPr>
          <w:p w14:paraId="360FEFCC">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无组织</w:t>
            </w:r>
          </w:p>
        </w:tc>
        <w:tc>
          <w:tcPr>
            <w:tcW w:w="245" w:type="pct"/>
            <w:shd w:val="clear" w:color="auto" w:fill="auto"/>
            <w:vAlign w:val="center"/>
          </w:tcPr>
          <w:p w14:paraId="75F816C4">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合计</w:t>
            </w:r>
          </w:p>
        </w:tc>
        <w:tc>
          <w:tcPr>
            <w:tcW w:w="248" w:type="pct"/>
            <w:shd w:val="clear" w:color="auto" w:fill="auto"/>
            <w:vAlign w:val="center"/>
          </w:tcPr>
          <w:p w14:paraId="0B6E4723">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有组织</w:t>
            </w:r>
          </w:p>
        </w:tc>
        <w:tc>
          <w:tcPr>
            <w:tcW w:w="265" w:type="pct"/>
            <w:shd w:val="clear" w:color="auto" w:fill="auto"/>
            <w:vAlign w:val="center"/>
          </w:tcPr>
          <w:p w14:paraId="3895328A">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无组织</w:t>
            </w:r>
          </w:p>
        </w:tc>
        <w:tc>
          <w:tcPr>
            <w:tcW w:w="238" w:type="pct"/>
            <w:shd w:val="clear" w:color="auto" w:fill="auto"/>
            <w:vAlign w:val="center"/>
          </w:tcPr>
          <w:p w14:paraId="3681A47B">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合计</w:t>
            </w:r>
          </w:p>
        </w:tc>
        <w:tc>
          <w:tcPr>
            <w:tcW w:w="573" w:type="pct"/>
            <w:vMerge w:val="continue"/>
            <w:shd w:val="clear" w:color="auto" w:fill="auto"/>
            <w:vAlign w:val="center"/>
          </w:tcPr>
          <w:p w14:paraId="3DD0391B">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355" w:type="pct"/>
            <w:vMerge w:val="continue"/>
            <w:shd w:val="clear" w:color="auto" w:fill="auto"/>
            <w:vAlign w:val="center"/>
          </w:tcPr>
          <w:p w14:paraId="3A7757F8">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r>
      <w:tr w14:paraId="22DED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3" w:hRule="atLeast"/>
        </w:trPr>
        <w:tc>
          <w:tcPr>
            <w:tcW w:w="219" w:type="pct"/>
            <w:vMerge w:val="restart"/>
            <w:shd w:val="clear" w:color="auto" w:fill="auto"/>
            <w:vAlign w:val="center"/>
          </w:tcPr>
          <w:p w14:paraId="14937D8A">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生产废水</w:t>
            </w:r>
          </w:p>
        </w:tc>
        <w:tc>
          <w:tcPr>
            <w:tcW w:w="480" w:type="pct"/>
            <w:shd w:val="clear" w:color="auto" w:fill="auto"/>
            <w:vAlign w:val="center"/>
          </w:tcPr>
          <w:p w14:paraId="1812865A">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废水量</w:t>
            </w:r>
          </w:p>
        </w:tc>
        <w:tc>
          <w:tcPr>
            <w:tcW w:w="720" w:type="pct"/>
            <w:gridSpan w:val="3"/>
            <w:shd w:val="clear" w:color="auto" w:fill="auto"/>
            <w:vAlign w:val="center"/>
          </w:tcPr>
          <w:p w14:paraId="2380BED8">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410" w:type="pct"/>
            <w:shd w:val="clear" w:color="auto" w:fill="auto"/>
            <w:vAlign w:val="center"/>
          </w:tcPr>
          <w:p w14:paraId="5F1EFA4C">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w:t>
            </w:r>
          </w:p>
        </w:tc>
        <w:tc>
          <w:tcPr>
            <w:tcW w:w="719" w:type="pct"/>
            <w:gridSpan w:val="3"/>
            <w:shd w:val="clear" w:color="auto" w:fill="auto"/>
            <w:vAlign w:val="center"/>
          </w:tcPr>
          <w:p w14:paraId="40273715">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769" w:type="pct"/>
            <w:gridSpan w:val="3"/>
            <w:shd w:val="clear" w:color="auto" w:fill="auto"/>
            <w:vAlign w:val="center"/>
          </w:tcPr>
          <w:p w14:paraId="14724C56">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52496.25</w:t>
            </w:r>
          </w:p>
        </w:tc>
        <w:tc>
          <w:tcPr>
            <w:tcW w:w="751" w:type="pct"/>
            <w:gridSpan w:val="3"/>
            <w:shd w:val="clear" w:color="auto" w:fill="auto"/>
            <w:vAlign w:val="center"/>
          </w:tcPr>
          <w:p w14:paraId="1EA06930">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573" w:type="pct"/>
            <w:shd w:val="clear" w:color="auto" w:fill="auto"/>
            <w:vAlign w:val="center"/>
          </w:tcPr>
          <w:p w14:paraId="47D88053">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52496.25</w:t>
            </w:r>
          </w:p>
        </w:tc>
        <w:tc>
          <w:tcPr>
            <w:tcW w:w="355" w:type="pct"/>
            <w:shd w:val="clear" w:color="auto" w:fill="auto"/>
            <w:vAlign w:val="center"/>
          </w:tcPr>
          <w:p w14:paraId="39D4D359">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cs="Times New Roman"/>
                <w:b w:val="0"/>
                <w:bCs w:val="0"/>
                <w:i w:val="0"/>
                <w:iCs w:val="0"/>
                <w:color w:val="auto"/>
                <w:kern w:val="0"/>
                <w:sz w:val="21"/>
                <w:szCs w:val="21"/>
                <w:u w:val="none"/>
                <w:lang w:val="en-US" w:eastAsia="zh-CN" w:bidi="ar"/>
              </w:rPr>
              <w:t>+</w:t>
            </w:r>
            <w:r>
              <w:rPr>
                <w:rFonts w:hint="default" w:ascii="Times New Roman" w:hAnsi="Times New Roman" w:eastAsia="宋体" w:cs="Times New Roman"/>
                <w:b w:val="0"/>
                <w:bCs w:val="0"/>
                <w:i w:val="0"/>
                <w:iCs w:val="0"/>
                <w:color w:val="auto"/>
                <w:kern w:val="0"/>
                <w:sz w:val="21"/>
                <w:szCs w:val="21"/>
                <w:u w:val="none"/>
                <w:lang w:val="en-US" w:eastAsia="zh-CN" w:bidi="ar"/>
              </w:rPr>
              <w:t>52496.25</w:t>
            </w:r>
          </w:p>
        </w:tc>
      </w:tr>
      <w:tr w14:paraId="4EE89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3" w:hRule="atLeast"/>
        </w:trPr>
        <w:tc>
          <w:tcPr>
            <w:tcW w:w="219" w:type="pct"/>
            <w:vMerge w:val="continue"/>
            <w:shd w:val="clear" w:color="auto" w:fill="auto"/>
            <w:vAlign w:val="center"/>
          </w:tcPr>
          <w:p w14:paraId="7D741636">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480" w:type="pct"/>
            <w:shd w:val="clear" w:color="auto" w:fill="auto"/>
            <w:vAlign w:val="center"/>
          </w:tcPr>
          <w:p w14:paraId="7F79D969">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COD</w:t>
            </w:r>
          </w:p>
        </w:tc>
        <w:tc>
          <w:tcPr>
            <w:tcW w:w="720" w:type="pct"/>
            <w:gridSpan w:val="3"/>
            <w:shd w:val="clear" w:color="auto" w:fill="auto"/>
            <w:vAlign w:val="center"/>
          </w:tcPr>
          <w:p w14:paraId="612E5BC8">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410" w:type="pct"/>
            <w:shd w:val="clear" w:color="auto" w:fill="auto"/>
            <w:vAlign w:val="center"/>
          </w:tcPr>
          <w:p w14:paraId="1F03DE33">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w:t>
            </w:r>
          </w:p>
        </w:tc>
        <w:tc>
          <w:tcPr>
            <w:tcW w:w="719" w:type="pct"/>
            <w:gridSpan w:val="3"/>
            <w:shd w:val="clear" w:color="auto" w:fill="auto"/>
            <w:vAlign w:val="center"/>
          </w:tcPr>
          <w:p w14:paraId="217789B8">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769" w:type="pct"/>
            <w:gridSpan w:val="3"/>
            <w:shd w:val="clear" w:color="auto" w:fill="auto"/>
            <w:vAlign w:val="center"/>
          </w:tcPr>
          <w:p w14:paraId="5C1D947F">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2.625</w:t>
            </w:r>
          </w:p>
        </w:tc>
        <w:tc>
          <w:tcPr>
            <w:tcW w:w="751" w:type="pct"/>
            <w:gridSpan w:val="3"/>
            <w:shd w:val="clear" w:color="auto" w:fill="auto"/>
            <w:vAlign w:val="center"/>
          </w:tcPr>
          <w:p w14:paraId="6BE37B9E">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573" w:type="pct"/>
            <w:shd w:val="clear" w:color="auto" w:fill="auto"/>
            <w:vAlign w:val="center"/>
          </w:tcPr>
          <w:p w14:paraId="750A8963">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2.625</w:t>
            </w:r>
          </w:p>
        </w:tc>
        <w:tc>
          <w:tcPr>
            <w:tcW w:w="355" w:type="pct"/>
            <w:shd w:val="clear" w:color="auto" w:fill="auto"/>
            <w:vAlign w:val="center"/>
          </w:tcPr>
          <w:p w14:paraId="4641600A">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cs="Times New Roman"/>
                <w:b w:val="0"/>
                <w:bCs w:val="0"/>
                <w:i w:val="0"/>
                <w:iCs w:val="0"/>
                <w:color w:val="auto"/>
                <w:kern w:val="0"/>
                <w:sz w:val="21"/>
                <w:szCs w:val="21"/>
                <w:u w:val="none"/>
                <w:lang w:val="en-US" w:eastAsia="zh-CN" w:bidi="ar"/>
              </w:rPr>
              <w:t>+</w:t>
            </w:r>
            <w:r>
              <w:rPr>
                <w:rFonts w:hint="default" w:ascii="Times New Roman" w:hAnsi="Times New Roman" w:eastAsia="宋体" w:cs="Times New Roman"/>
                <w:b w:val="0"/>
                <w:bCs w:val="0"/>
                <w:i w:val="0"/>
                <w:iCs w:val="0"/>
                <w:color w:val="auto"/>
                <w:kern w:val="0"/>
                <w:sz w:val="21"/>
                <w:szCs w:val="21"/>
                <w:u w:val="none"/>
                <w:lang w:val="en-US" w:eastAsia="zh-CN" w:bidi="ar"/>
              </w:rPr>
              <w:t>2.625</w:t>
            </w:r>
          </w:p>
        </w:tc>
      </w:tr>
      <w:tr w14:paraId="29729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3" w:hRule="atLeast"/>
        </w:trPr>
        <w:tc>
          <w:tcPr>
            <w:tcW w:w="219" w:type="pct"/>
            <w:vMerge w:val="continue"/>
            <w:shd w:val="clear" w:color="auto" w:fill="auto"/>
            <w:vAlign w:val="center"/>
          </w:tcPr>
          <w:p w14:paraId="20B93734">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480" w:type="pct"/>
            <w:shd w:val="clear" w:color="auto" w:fill="auto"/>
            <w:vAlign w:val="center"/>
          </w:tcPr>
          <w:p w14:paraId="27184FB7">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氨氮</w:t>
            </w:r>
          </w:p>
        </w:tc>
        <w:tc>
          <w:tcPr>
            <w:tcW w:w="720" w:type="pct"/>
            <w:gridSpan w:val="3"/>
            <w:shd w:val="clear" w:color="auto" w:fill="auto"/>
            <w:vAlign w:val="center"/>
          </w:tcPr>
          <w:p w14:paraId="7B05AAF2">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410" w:type="pct"/>
            <w:shd w:val="clear" w:color="auto" w:fill="auto"/>
            <w:vAlign w:val="center"/>
          </w:tcPr>
          <w:p w14:paraId="1BDE97BD">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w:t>
            </w:r>
          </w:p>
        </w:tc>
        <w:tc>
          <w:tcPr>
            <w:tcW w:w="719" w:type="pct"/>
            <w:gridSpan w:val="3"/>
            <w:shd w:val="clear" w:color="auto" w:fill="auto"/>
            <w:vAlign w:val="center"/>
          </w:tcPr>
          <w:p w14:paraId="49B0F03A">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769" w:type="pct"/>
            <w:gridSpan w:val="3"/>
            <w:shd w:val="clear" w:color="auto" w:fill="auto"/>
            <w:vAlign w:val="center"/>
          </w:tcPr>
          <w:p w14:paraId="36CC1221">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0.262</w:t>
            </w:r>
          </w:p>
        </w:tc>
        <w:tc>
          <w:tcPr>
            <w:tcW w:w="751" w:type="pct"/>
            <w:gridSpan w:val="3"/>
            <w:shd w:val="clear" w:color="auto" w:fill="auto"/>
            <w:vAlign w:val="center"/>
          </w:tcPr>
          <w:p w14:paraId="1F024915">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573" w:type="pct"/>
            <w:shd w:val="clear" w:color="auto" w:fill="auto"/>
            <w:vAlign w:val="center"/>
          </w:tcPr>
          <w:p w14:paraId="2AFC6812">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0.262</w:t>
            </w:r>
          </w:p>
        </w:tc>
        <w:tc>
          <w:tcPr>
            <w:tcW w:w="355" w:type="pct"/>
            <w:shd w:val="clear" w:color="auto" w:fill="auto"/>
            <w:vAlign w:val="center"/>
          </w:tcPr>
          <w:p w14:paraId="4DF50FFF">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cs="Times New Roman"/>
                <w:b w:val="0"/>
                <w:bCs w:val="0"/>
                <w:i w:val="0"/>
                <w:iCs w:val="0"/>
                <w:color w:val="auto"/>
                <w:kern w:val="0"/>
                <w:sz w:val="21"/>
                <w:szCs w:val="21"/>
                <w:u w:val="none"/>
                <w:lang w:val="en-US" w:eastAsia="zh-CN" w:bidi="ar"/>
              </w:rPr>
              <w:t>+</w:t>
            </w:r>
            <w:r>
              <w:rPr>
                <w:rFonts w:hint="default" w:ascii="Times New Roman" w:hAnsi="Times New Roman" w:eastAsia="宋体" w:cs="Times New Roman"/>
                <w:b w:val="0"/>
                <w:bCs w:val="0"/>
                <w:i w:val="0"/>
                <w:iCs w:val="0"/>
                <w:color w:val="auto"/>
                <w:kern w:val="0"/>
                <w:sz w:val="21"/>
                <w:szCs w:val="21"/>
                <w:u w:val="none"/>
                <w:lang w:val="en-US" w:eastAsia="zh-CN" w:bidi="ar"/>
              </w:rPr>
              <w:t>0.262</w:t>
            </w:r>
          </w:p>
        </w:tc>
      </w:tr>
      <w:tr w14:paraId="2B787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3" w:hRule="atLeast"/>
        </w:trPr>
        <w:tc>
          <w:tcPr>
            <w:tcW w:w="219" w:type="pct"/>
            <w:vMerge w:val="continue"/>
            <w:shd w:val="clear" w:color="auto" w:fill="auto"/>
            <w:vAlign w:val="center"/>
          </w:tcPr>
          <w:p w14:paraId="730159DA">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480" w:type="pct"/>
            <w:shd w:val="clear" w:color="auto" w:fill="auto"/>
            <w:vAlign w:val="center"/>
          </w:tcPr>
          <w:p w14:paraId="213EBA3B">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SS</w:t>
            </w:r>
          </w:p>
        </w:tc>
        <w:tc>
          <w:tcPr>
            <w:tcW w:w="720" w:type="pct"/>
            <w:gridSpan w:val="3"/>
            <w:shd w:val="clear" w:color="auto" w:fill="auto"/>
            <w:vAlign w:val="center"/>
          </w:tcPr>
          <w:p w14:paraId="1C49E1FD">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410" w:type="pct"/>
            <w:shd w:val="clear" w:color="auto" w:fill="auto"/>
            <w:vAlign w:val="center"/>
          </w:tcPr>
          <w:p w14:paraId="5B0A251D">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719" w:type="pct"/>
            <w:gridSpan w:val="3"/>
            <w:shd w:val="clear" w:color="auto" w:fill="auto"/>
            <w:vAlign w:val="center"/>
          </w:tcPr>
          <w:p w14:paraId="5D4DD77A">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769" w:type="pct"/>
            <w:gridSpan w:val="3"/>
            <w:shd w:val="clear" w:color="auto" w:fill="auto"/>
            <w:vAlign w:val="center"/>
          </w:tcPr>
          <w:p w14:paraId="70A424D2">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0.733</w:t>
            </w:r>
          </w:p>
        </w:tc>
        <w:tc>
          <w:tcPr>
            <w:tcW w:w="751" w:type="pct"/>
            <w:gridSpan w:val="3"/>
            <w:shd w:val="clear" w:color="auto" w:fill="auto"/>
            <w:vAlign w:val="center"/>
          </w:tcPr>
          <w:p w14:paraId="08AB4283">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573" w:type="pct"/>
            <w:shd w:val="clear" w:color="auto" w:fill="auto"/>
            <w:vAlign w:val="center"/>
          </w:tcPr>
          <w:p w14:paraId="0E55B18D">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0.733</w:t>
            </w:r>
          </w:p>
        </w:tc>
        <w:tc>
          <w:tcPr>
            <w:tcW w:w="355" w:type="pct"/>
            <w:shd w:val="clear" w:color="auto" w:fill="auto"/>
            <w:vAlign w:val="center"/>
          </w:tcPr>
          <w:p w14:paraId="2976B2FB">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cs="Times New Roman"/>
                <w:b w:val="0"/>
                <w:bCs w:val="0"/>
                <w:i w:val="0"/>
                <w:iCs w:val="0"/>
                <w:color w:val="auto"/>
                <w:kern w:val="0"/>
                <w:sz w:val="21"/>
                <w:szCs w:val="21"/>
                <w:u w:val="none"/>
                <w:lang w:val="en-US" w:eastAsia="zh-CN" w:bidi="ar"/>
              </w:rPr>
              <w:t>+</w:t>
            </w:r>
            <w:r>
              <w:rPr>
                <w:rFonts w:hint="default" w:ascii="Times New Roman" w:hAnsi="Times New Roman" w:eastAsia="宋体" w:cs="Times New Roman"/>
                <w:b w:val="0"/>
                <w:bCs w:val="0"/>
                <w:i w:val="0"/>
                <w:iCs w:val="0"/>
                <w:color w:val="auto"/>
                <w:kern w:val="0"/>
                <w:sz w:val="21"/>
                <w:szCs w:val="21"/>
                <w:u w:val="none"/>
                <w:lang w:val="en-US" w:eastAsia="zh-CN" w:bidi="ar"/>
              </w:rPr>
              <w:t>0.733</w:t>
            </w:r>
          </w:p>
        </w:tc>
      </w:tr>
      <w:tr w14:paraId="29672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3" w:hRule="atLeast"/>
        </w:trPr>
        <w:tc>
          <w:tcPr>
            <w:tcW w:w="219" w:type="pct"/>
            <w:vMerge w:val="continue"/>
            <w:shd w:val="clear" w:color="auto" w:fill="auto"/>
            <w:vAlign w:val="center"/>
          </w:tcPr>
          <w:p w14:paraId="62CE2CB7">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480" w:type="pct"/>
            <w:shd w:val="clear" w:color="auto" w:fill="auto"/>
            <w:vAlign w:val="center"/>
          </w:tcPr>
          <w:p w14:paraId="14C87E48">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铁</w:t>
            </w:r>
          </w:p>
        </w:tc>
        <w:tc>
          <w:tcPr>
            <w:tcW w:w="720" w:type="pct"/>
            <w:gridSpan w:val="3"/>
            <w:shd w:val="clear" w:color="auto" w:fill="auto"/>
            <w:vAlign w:val="center"/>
          </w:tcPr>
          <w:p w14:paraId="77503B36">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410" w:type="pct"/>
            <w:shd w:val="clear" w:color="auto" w:fill="auto"/>
            <w:vAlign w:val="center"/>
          </w:tcPr>
          <w:p w14:paraId="00248E3A">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719" w:type="pct"/>
            <w:gridSpan w:val="3"/>
            <w:shd w:val="clear" w:color="auto" w:fill="auto"/>
            <w:vAlign w:val="center"/>
          </w:tcPr>
          <w:p w14:paraId="0AB45ED2">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769" w:type="pct"/>
            <w:gridSpan w:val="3"/>
            <w:shd w:val="clear" w:color="auto" w:fill="auto"/>
            <w:vAlign w:val="center"/>
          </w:tcPr>
          <w:p w14:paraId="31831399">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0.019</w:t>
            </w:r>
          </w:p>
        </w:tc>
        <w:tc>
          <w:tcPr>
            <w:tcW w:w="751" w:type="pct"/>
            <w:gridSpan w:val="3"/>
            <w:shd w:val="clear" w:color="auto" w:fill="auto"/>
            <w:vAlign w:val="center"/>
          </w:tcPr>
          <w:p w14:paraId="4CA726AE">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573" w:type="pct"/>
            <w:shd w:val="clear" w:color="auto" w:fill="auto"/>
            <w:vAlign w:val="center"/>
          </w:tcPr>
          <w:p w14:paraId="42E0D588">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0.019</w:t>
            </w:r>
          </w:p>
        </w:tc>
        <w:tc>
          <w:tcPr>
            <w:tcW w:w="355" w:type="pct"/>
            <w:shd w:val="clear" w:color="auto" w:fill="auto"/>
            <w:vAlign w:val="center"/>
          </w:tcPr>
          <w:p w14:paraId="36E7A765">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cs="Times New Roman"/>
                <w:b w:val="0"/>
                <w:bCs w:val="0"/>
                <w:i w:val="0"/>
                <w:iCs w:val="0"/>
                <w:color w:val="auto"/>
                <w:kern w:val="0"/>
                <w:sz w:val="21"/>
                <w:szCs w:val="21"/>
                <w:u w:val="none"/>
                <w:lang w:val="en-US" w:eastAsia="zh-CN" w:bidi="ar"/>
              </w:rPr>
              <w:t>+</w:t>
            </w:r>
            <w:r>
              <w:rPr>
                <w:rFonts w:hint="default" w:ascii="Times New Roman" w:hAnsi="Times New Roman" w:eastAsia="宋体" w:cs="Times New Roman"/>
                <w:b w:val="0"/>
                <w:bCs w:val="0"/>
                <w:i w:val="0"/>
                <w:iCs w:val="0"/>
                <w:color w:val="auto"/>
                <w:kern w:val="0"/>
                <w:sz w:val="21"/>
                <w:szCs w:val="21"/>
                <w:u w:val="none"/>
                <w:lang w:val="en-US" w:eastAsia="zh-CN" w:bidi="ar"/>
              </w:rPr>
              <w:t>0.019</w:t>
            </w:r>
          </w:p>
        </w:tc>
      </w:tr>
      <w:tr w14:paraId="67CDE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219" w:type="pct"/>
            <w:vMerge w:val="continue"/>
            <w:shd w:val="clear" w:color="auto" w:fill="auto"/>
            <w:vAlign w:val="center"/>
          </w:tcPr>
          <w:p w14:paraId="3360EAD5">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480" w:type="pct"/>
            <w:shd w:val="clear" w:color="auto" w:fill="auto"/>
            <w:vAlign w:val="center"/>
          </w:tcPr>
          <w:p w14:paraId="0B33AF79">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总磷</w:t>
            </w:r>
          </w:p>
        </w:tc>
        <w:tc>
          <w:tcPr>
            <w:tcW w:w="720" w:type="pct"/>
            <w:gridSpan w:val="3"/>
            <w:shd w:val="clear" w:color="auto" w:fill="auto"/>
            <w:vAlign w:val="center"/>
          </w:tcPr>
          <w:p w14:paraId="440A2F04">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410" w:type="pct"/>
            <w:shd w:val="clear" w:color="auto" w:fill="auto"/>
            <w:vAlign w:val="center"/>
          </w:tcPr>
          <w:p w14:paraId="25B69E1B">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719" w:type="pct"/>
            <w:gridSpan w:val="3"/>
            <w:shd w:val="clear" w:color="auto" w:fill="auto"/>
            <w:vAlign w:val="center"/>
          </w:tcPr>
          <w:p w14:paraId="10C18993">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769" w:type="pct"/>
            <w:gridSpan w:val="3"/>
            <w:shd w:val="clear" w:color="auto" w:fill="auto"/>
            <w:vAlign w:val="center"/>
          </w:tcPr>
          <w:p w14:paraId="26205087">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0.249</w:t>
            </w:r>
          </w:p>
        </w:tc>
        <w:tc>
          <w:tcPr>
            <w:tcW w:w="751" w:type="pct"/>
            <w:gridSpan w:val="3"/>
            <w:shd w:val="clear" w:color="auto" w:fill="auto"/>
            <w:vAlign w:val="center"/>
          </w:tcPr>
          <w:p w14:paraId="3D19246F">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573" w:type="pct"/>
            <w:shd w:val="clear" w:color="auto" w:fill="auto"/>
            <w:vAlign w:val="center"/>
          </w:tcPr>
          <w:p w14:paraId="3559FC85">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0.249</w:t>
            </w:r>
          </w:p>
        </w:tc>
        <w:tc>
          <w:tcPr>
            <w:tcW w:w="355" w:type="pct"/>
            <w:shd w:val="clear" w:color="auto" w:fill="auto"/>
            <w:vAlign w:val="center"/>
          </w:tcPr>
          <w:p w14:paraId="7176787C">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cs="Times New Roman"/>
                <w:b w:val="0"/>
                <w:bCs w:val="0"/>
                <w:i w:val="0"/>
                <w:iCs w:val="0"/>
                <w:color w:val="auto"/>
                <w:kern w:val="0"/>
                <w:sz w:val="21"/>
                <w:szCs w:val="21"/>
                <w:u w:val="none"/>
                <w:lang w:val="en-US" w:eastAsia="zh-CN" w:bidi="ar"/>
              </w:rPr>
              <w:t>+</w:t>
            </w:r>
            <w:r>
              <w:rPr>
                <w:rFonts w:hint="default" w:ascii="Times New Roman" w:hAnsi="Times New Roman" w:eastAsia="宋体" w:cs="Times New Roman"/>
                <w:b w:val="0"/>
                <w:bCs w:val="0"/>
                <w:i w:val="0"/>
                <w:iCs w:val="0"/>
                <w:color w:val="auto"/>
                <w:kern w:val="0"/>
                <w:sz w:val="21"/>
                <w:szCs w:val="21"/>
                <w:u w:val="none"/>
                <w:lang w:val="en-US" w:eastAsia="zh-CN" w:bidi="ar"/>
              </w:rPr>
              <w:t>0.249</w:t>
            </w:r>
          </w:p>
        </w:tc>
      </w:tr>
      <w:tr w14:paraId="680D9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3" w:hRule="atLeast"/>
        </w:trPr>
        <w:tc>
          <w:tcPr>
            <w:tcW w:w="219" w:type="pct"/>
            <w:vMerge w:val="continue"/>
            <w:shd w:val="clear" w:color="auto" w:fill="auto"/>
            <w:vAlign w:val="center"/>
          </w:tcPr>
          <w:p w14:paraId="14D0F066">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480" w:type="pct"/>
            <w:shd w:val="clear" w:color="auto" w:fill="auto"/>
            <w:vAlign w:val="center"/>
          </w:tcPr>
          <w:p w14:paraId="45C2DB31">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总锌</w:t>
            </w:r>
          </w:p>
        </w:tc>
        <w:tc>
          <w:tcPr>
            <w:tcW w:w="720" w:type="pct"/>
            <w:gridSpan w:val="3"/>
            <w:shd w:val="clear" w:color="auto" w:fill="auto"/>
            <w:vAlign w:val="center"/>
          </w:tcPr>
          <w:p w14:paraId="6C15516E">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410" w:type="pct"/>
            <w:shd w:val="clear" w:color="auto" w:fill="auto"/>
            <w:vAlign w:val="center"/>
          </w:tcPr>
          <w:p w14:paraId="472CC5A6">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719" w:type="pct"/>
            <w:gridSpan w:val="3"/>
            <w:shd w:val="clear" w:color="auto" w:fill="auto"/>
            <w:vAlign w:val="center"/>
          </w:tcPr>
          <w:p w14:paraId="60330A2F">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769" w:type="pct"/>
            <w:gridSpan w:val="3"/>
            <w:shd w:val="clear" w:color="auto" w:fill="auto"/>
            <w:vAlign w:val="center"/>
          </w:tcPr>
          <w:p w14:paraId="62CC723C">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0.036</w:t>
            </w:r>
          </w:p>
        </w:tc>
        <w:tc>
          <w:tcPr>
            <w:tcW w:w="751" w:type="pct"/>
            <w:gridSpan w:val="3"/>
            <w:shd w:val="clear" w:color="auto" w:fill="auto"/>
            <w:vAlign w:val="center"/>
          </w:tcPr>
          <w:p w14:paraId="1981A3AF">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573" w:type="pct"/>
            <w:shd w:val="clear" w:color="auto" w:fill="auto"/>
            <w:vAlign w:val="center"/>
          </w:tcPr>
          <w:p w14:paraId="6344F502">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0.036</w:t>
            </w:r>
          </w:p>
        </w:tc>
        <w:tc>
          <w:tcPr>
            <w:tcW w:w="355" w:type="pct"/>
            <w:shd w:val="clear" w:color="auto" w:fill="auto"/>
            <w:vAlign w:val="center"/>
          </w:tcPr>
          <w:p w14:paraId="0C378458">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cs="Times New Roman"/>
                <w:b w:val="0"/>
                <w:bCs w:val="0"/>
                <w:i w:val="0"/>
                <w:iCs w:val="0"/>
                <w:color w:val="auto"/>
                <w:kern w:val="0"/>
                <w:sz w:val="21"/>
                <w:szCs w:val="21"/>
                <w:u w:val="none"/>
                <w:lang w:val="en-US" w:eastAsia="zh-CN" w:bidi="ar"/>
              </w:rPr>
              <w:t>+</w:t>
            </w:r>
            <w:r>
              <w:rPr>
                <w:rFonts w:hint="default" w:ascii="Times New Roman" w:hAnsi="Times New Roman" w:eastAsia="宋体" w:cs="Times New Roman"/>
                <w:b w:val="0"/>
                <w:bCs w:val="0"/>
                <w:i w:val="0"/>
                <w:iCs w:val="0"/>
                <w:color w:val="auto"/>
                <w:kern w:val="0"/>
                <w:sz w:val="21"/>
                <w:szCs w:val="21"/>
                <w:u w:val="none"/>
                <w:lang w:val="en-US" w:eastAsia="zh-CN" w:bidi="ar"/>
              </w:rPr>
              <w:t>0.036</w:t>
            </w:r>
          </w:p>
        </w:tc>
      </w:tr>
      <w:tr w14:paraId="0B8B3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219" w:type="pct"/>
            <w:vMerge w:val="continue"/>
            <w:shd w:val="clear" w:color="auto" w:fill="auto"/>
            <w:vAlign w:val="center"/>
          </w:tcPr>
          <w:p w14:paraId="361AD887">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480" w:type="pct"/>
            <w:shd w:val="clear" w:color="auto" w:fill="auto"/>
            <w:vAlign w:val="center"/>
          </w:tcPr>
          <w:p w14:paraId="0C5C81DA">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总氮</w:t>
            </w:r>
          </w:p>
        </w:tc>
        <w:tc>
          <w:tcPr>
            <w:tcW w:w="720" w:type="pct"/>
            <w:gridSpan w:val="3"/>
            <w:shd w:val="clear" w:color="auto" w:fill="auto"/>
            <w:vAlign w:val="center"/>
          </w:tcPr>
          <w:p w14:paraId="71D5658F">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410" w:type="pct"/>
            <w:shd w:val="clear" w:color="auto" w:fill="auto"/>
            <w:vAlign w:val="center"/>
          </w:tcPr>
          <w:p w14:paraId="3592E304">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719" w:type="pct"/>
            <w:gridSpan w:val="3"/>
            <w:shd w:val="clear" w:color="auto" w:fill="auto"/>
            <w:vAlign w:val="center"/>
          </w:tcPr>
          <w:p w14:paraId="4DD289F3">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769" w:type="pct"/>
            <w:gridSpan w:val="3"/>
            <w:shd w:val="clear" w:color="auto" w:fill="auto"/>
            <w:vAlign w:val="center"/>
          </w:tcPr>
          <w:p w14:paraId="740F845C">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2.347</w:t>
            </w:r>
          </w:p>
        </w:tc>
        <w:tc>
          <w:tcPr>
            <w:tcW w:w="751" w:type="pct"/>
            <w:gridSpan w:val="3"/>
            <w:shd w:val="clear" w:color="auto" w:fill="auto"/>
            <w:vAlign w:val="center"/>
          </w:tcPr>
          <w:p w14:paraId="71FB1278">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573" w:type="pct"/>
            <w:shd w:val="clear" w:color="auto" w:fill="auto"/>
            <w:vAlign w:val="center"/>
          </w:tcPr>
          <w:p w14:paraId="28767782">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2.347</w:t>
            </w:r>
          </w:p>
        </w:tc>
        <w:tc>
          <w:tcPr>
            <w:tcW w:w="355" w:type="pct"/>
            <w:shd w:val="clear" w:color="auto" w:fill="auto"/>
            <w:vAlign w:val="center"/>
          </w:tcPr>
          <w:p w14:paraId="5CBE7CCF">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cs="Times New Roman"/>
                <w:b w:val="0"/>
                <w:bCs w:val="0"/>
                <w:i w:val="0"/>
                <w:iCs w:val="0"/>
                <w:color w:val="auto"/>
                <w:kern w:val="0"/>
                <w:sz w:val="21"/>
                <w:szCs w:val="21"/>
                <w:u w:val="none"/>
                <w:lang w:val="en-US" w:eastAsia="zh-CN" w:bidi="ar"/>
              </w:rPr>
              <w:t>+</w:t>
            </w:r>
            <w:r>
              <w:rPr>
                <w:rFonts w:hint="default" w:ascii="Times New Roman" w:hAnsi="Times New Roman" w:eastAsia="宋体" w:cs="Times New Roman"/>
                <w:b w:val="0"/>
                <w:bCs w:val="0"/>
                <w:i w:val="0"/>
                <w:iCs w:val="0"/>
                <w:color w:val="auto"/>
                <w:kern w:val="0"/>
                <w:sz w:val="21"/>
                <w:szCs w:val="21"/>
                <w:u w:val="none"/>
                <w:lang w:val="en-US" w:eastAsia="zh-CN" w:bidi="ar"/>
              </w:rPr>
              <w:t>2.347</w:t>
            </w:r>
          </w:p>
        </w:tc>
      </w:tr>
      <w:tr w14:paraId="5EF65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3" w:hRule="atLeast"/>
        </w:trPr>
        <w:tc>
          <w:tcPr>
            <w:tcW w:w="219" w:type="pct"/>
            <w:vMerge w:val="continue"/>
            <w:shd w:val="clear" w:color="auto" w:fill="auto"/>
            <w:vAlign w:val="center"/>
          </w:tcPr>
          <w:p w14:paraId="6CBB32BD">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480" w:type="pct"/>
            <w:shd w:val="clear" w:color="auto" w:fill="auto"/>
            <w:vAlign w:val="center"/>
          </w:tcPr>
          <w:p w14:paraId="633AF65D">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氯离子</w:t>
            </w:r>
          </w:p>
        </w:tc>
        <w:tc>
          <w:tcPr>
            <w:tcW w:w="720" w:type="pct"/>
            <w:gridSpan w:val="3"/>
            <w:shd w:val="clear" w:color="auto" w:fill="auto"/>
            <w:vAlign w:val="center"/>
          </w:tcPr>
          <w:p w14:paraId="4BBF14E4">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410" w:type="pct"/>
            <w:shd w:val="clear" w:color="auto" w:fill="auto"/>
            <w:vAlign w:val="center"/>
          </w:tcPr>
          <w:p w14:paraId="7D62EAE7">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719" w:type="pct"/>
            <w:gridSpan w:val="3"/>
            <w:shd w:val="clear" w:color="auto" w:fill="auto"/>
            <w:vAlign w:val="center"/>
          </w:tcPr>
          <w:p w14:paraId="5C13F26F">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769" w:type="pct"/>
            <w:gridSpan w:val="3"/>
            <w:shd w:val="clear" w:color="auto" w:fill="auto"/>
            <w:vAlign w:val="center"/>
          </w:tcPr>
          <w:p w14:paraId="014203FB">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0.427</w:t>
            </w:r>
          </w:p>
        </w:tc>
        <w:tc>
          <w:tcPr>
            <w:tcW w:w="751" w:type="pct"/>
            <w:gridSpan w:val="3"/>
            <w:shd w:val="clear" w:color="auto" w:fill="auto"/>
            <w:vAlign w:val="center"/>
          </w:tcPr>
          <w:p w14:paraId="7BDB74F5">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573" w:type="pct"/>
            <w:shd w:val="clear" w:color="auto" w:fill="auto"/>
            <w:vAlign w:val="center"/>
          </w:tcPr>
          <w:p w14:paraId="4719E720">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0.427</w:t>
            </w:r>
          </w:p>
        </w:tc>
        <w:tc>
          <w:tcPr>
            <w:tcW w:w="355" w:type="pct"/>
            <w:shd w:val="clear" w:color="auto" w:fill="auto"/>
            <w:vAlign w:val="center"/>
          </w:tcPr>
          <w:p w14:paraId="0E2E52E4">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cs="Times New Roman"/>
                <w:b w:val="0"/>
                <w:bCs w:val="0"/>
                <w:i w:val="0"/>
                <w:iCs w:val="0"/>
                <w:color w:val="auto"/>
                <w:kern w:val="0"/>
                <w:sz w:val="21"/>
                <w:szCs w:val="21"/>
                <w:u w:val="none"/>
                <w:lang w:val="en-US" w:eastAsia="zh-CN" w:bidi="ar"/>
              </w:rPr>
              <w:t>+</w:t>
            </w:r>
            <w:r>
              <w:rPr>
                <w:rFonts w:hint="default" w:ascii="Times New Roman" w:hAnsi="Times New Roman" w:eastAsia="宋体" w:cs="Times New Roman"/>
                <w:b w:val="0"/>
                <w:bCs w:val="0"/>
                <w:i w:val="0"/>
                <w:iCs w:val="0"/>
                <w:color w:val="auto"/>
                <w:kern w:val="0"/>
                <w:sz w:val="21"/>
                <w:szCs w:val="21"/>
                <w:u w:val="none"/>
                <w:lang w:val="en-US" w:eastAsia="zh-CN" w:bidi="ar"/>
              </w:rPr>
              <w:t>0.427</w:t>
            </w:r>
          </w:p>
        </w:tc>
      </w:tr>
      <w:tr w14:paraId="24AF2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3" w:hRule="atLeast"/>
        </w:trPr>
        <w:tc>
          <w:tcPr>
            <w:tcW w:w="219" w:type="pct"/>
            <w:vMerge w:val="continue"/>
            <w:shd w:val="clear" w:color="auto" w:fill="auto"/>
            <w:vAlign w:val="center"/>
          </w:tcPr>
          <w:p w14:paraId="736FFDBF">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480" w:type="pct"/>
            <w:shd w:val="clear" w:color="auto" w:fill="auto"/>
            <w:vAlign w:val="center"/>
          </w:tcPr>
          <w:p w14:paraId="7614498F">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LAS</w:t>
            </w:r>
          </w:p>
        </w:tc>
        <w:tc>
          <w:tcPr>
            <w:tcW w:w="720" w:type="pct"/>
            <w:gridSpan w:val="3"/>
            <w:shd w:val="clear" w:color="auto" w:fill="auto"/>
            <w:vAlign w:val="center"/>
          </w:tcPr>
          <w:p w14:paraId="7F81EB16">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410" w:type="pct"/>
            <w:shd w:val="clear" w:color="auto" w:fill="auto"/>
            <w:vAlign w:val="center"/>
          </w:tcPr>
          <w:p w14:paraId="15B9CD4B">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719" w:type="pct"/>
            <w:gridSpan w:val="3"/>
            <w:shd w:val="clear" w:color="auto" w:fill="auto"/>
            <w:vAlign w:val="center"/>
          </w:tcPr>
          <w:p w14:paraId="7903869A">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769" w:type="pct"/>
            <w:gridSpan w:val="3"/>
            <w:shd w:val="clear" w:color="auto" w:fill="auto"/>
            <w:vAlign w:val="center"/>
          </w:tcPr>
          <w:p w14:paraId="181F1833">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0.512</w:t>
            </w:r>
          </w:p>
        </w:tc>
        <w:tc>
          <w:tcPr>
            <w:tcW w:w="751" w:type="pct"/>
            <w:gridSpan w:val="3"/>
            <w:shd w:val="clear" w:color="auto" w:fill="auto"/>
            <w:vAlign w:val="center"/>
          </w:tcPr>
          <w:p w14:paraId="558B0211">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573" w:type="pct"/>
            <w:shd w:val="clear" w:color="auto" w:fill="auto"/>
            <w:vAlign w:val="center"/>
          </w:tcPr>
          <w:p w14:paraId="0F06B9A4">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0.512</w:t>
            </w:r>
          </w:p>
        </w:tc>
        <w:tc>
          <w:tcPr>
            <w:tcW w:w="355" w:type="pct"/>
            <w:shd w:val="clear" w:color="auto" w:fill="auto"/>
            <w:vAlign w:val="center"/>
          </w:tcPr>
          <w:p w14:paraId="273BDF7F">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cs="Times New Roman"/>
                <w:b w:val="0"/>
                <w:bCs w:val="0"/>
                <w:i w:val="0"/>
                <w:iCs w:val="0"/>
                <w:color w:val="auto"/>
                <w:kern w:val="0"/>
                <w:sz w:val="21"/>
                <w:szCs w:val="21"/>
                <w:u w:val="none"/>
                <w:lang w:val="en-US" w:eastAsia="zh-CN" w:bidi="ar"/>
              </w:rPr>
              <w:t>+</w:t>
            </w:r>
            <w:r>
              <w:rPr>
                <w:rFonts w:hint="default" w:ascii="Times New Roman" w:hAnsi="Times New Roman" w:eastAsia="宋体" w:cs="Times New Roman"/>
                <w:b w:val="0"/>
                <w:bCs w:val="0"/>
                <w:i w:val="0"/>
                <w:iCs w:val="0"/>
                <w:color w:val="auto"/>
                <w:kern w:val="0"/>
                <w:sz w:val="21"/>
                <w:szCs w:val="21"/>
                <w:u w:val="none"/>
                <w:lang w:val="en-US" w:eastAsia="zh-CN" w:bidi="ar"/>
              </w:rPr>
              <w:t>0.512</w:t>
            </w:r>
          </w:p>
        </w:tc>
      </w:tr>
      <w:tr w14:paraId="51790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3" w:hRule="atLeast"/>
        </w:trPr>
        <w:tc>
          <w:tcPr>
            <w:tcW w:w="219" w:type="pct"/>
            <w:vMerge w:val="restart"/>
            <w:shd w:val="clear" w:color="auto" w:fill="auto"/>
            <w:vAlign w:val="center"/>
          </w:tcPr>
          <w:p w14:paraId="1D6199E9">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废气</w:t>
            </w:r>
          </w:p>
        </w:tc>
        <w:tc>
          <w:tcPr>
            <w:tcW w:w="480" w:type="pct"/>
            <w:shd w:val="clear" w:color="auto" w:fill="auto"/>
            <w:vAlign w:val="center"/>
          </w:tcPr>
          <w:p w14:paraId="50FBF568">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粉尘</w:t>
            </w:r>
          </w:p>
        </w:tc>
        <w:tc>
          <w:tcPr>
            <w:tcW w:w="281" w:type="pct"/>
            <w:shd w:val="clear" w:color="auto" w:fill="auto"/>
            <w:noWrap/>
            <w:vAlign w:val="center"/>
          </w:tcPr>
          <w:p w14:paraId="013EF77B">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0.84</w:t>
            </w:r>
          </w:p>
        </w:tc>
        <w:tc>
          <w:tcPr>
            <w:tcW w:w="254" w:type="pct"/>
            <w:shd w:val="clear" w:color="auto" w:fill="auto"/>
            <w:vAlign w:val="center"/>
          </w:tcPr>
          <w:p w14:paraId="56CDEE84">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185" w:type="pct"/>
            <w:shd w:val="clear" w:color="auto" w:fill="auto"/>
            <w:noWrap/>
            <w:vAlign w:val="center"/>
          </w:tcPr>
          <w:p w14:paraId="0304DBE0">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lang w:val="en-US" w:eastAsia="zh-CN"/>
              </w:rPr>
            </w:pPr>
            <w:r>
              <w:rPr>
                <w:rFonts w:hint="default" w:ascii="Times New Roman" w:hAnsi="Times New Roman" w:eastAsia="宋体" w:cs="Times New Roman"/>
                <w:b w:val="0"/>
                <w:bCs w:val="0"/>
                <w:i w:val="0"/>
                <w:iCs w:val="0"/>
                <w:color w:val="auto"/>
                <w:sz w:val="21"/>
                <w:szCs w:val="21"/>
                <w:u w:val="none"/>
                <w:lang w:val="en-US" w:eastAsia="zh-CN"/>
              </w:rPr>
              <w:t>0</w:t>
            </w:r>
          </w:p>
        </w:tc>
        <w:tc>
          <w:tcPr>
            <w:tcW w:w="410" w:type="pct"/>
            <w:shd w:val="clear" w:color="auto" w:fill="auto"/>
            <w:vAlign w:val="center"/>
          </w:tcPr>
          <w:p w14:paraId="53527575">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0.84</w:t>
            </w:r>
          </w:p>
        </w:tc>
        <w:tc>
          <w:tcPr>
            <w:tcW w:w="233" w:type="pct"/>
            <w:shd w:val="clear" w:color="auto" w:fill="auto"/>
            <w:vAlign w:val="center"/>
          </w:tcPr>
          <w:p w14:paraId="5DAF1D84">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270" w:type="pct"/>
            <w:shd w:val="clear" w:color="auto" w:fill="auto"/>
            <w:noWrap/>
            <w:vAlign w:val="center"/>
          </w:tcPr>
          <w:p w14:paraId="1127455E">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0.42</w:t>
            </w:r>
          </w:p>
        </w:tc>
        <w:tc>
          <w:tcPr>
            <w:tcW w:w="216" w:type="pct"/>
            <w:shd w:val="clear" w:color="auto" w:fill="auto"/>
            <w:vAlign w:val="center"/>
          </w:tcPr>
          <w:p w14:paraId="1D1B103F">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0.42</w:t>
            </w:r>
          </w:p>
        </w:tc>
        <w:tc>
          <w:tcPr>
            <w:tcW w:w="262" w:type="pct"/>
            <w:shd w:val="clear" w:color="auto" w:fill="auto"/>
            <w:vAlign w:val="center"/>
          </w:tcPr>
          <w:p w14:paraId="62884BDB">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0.812</w:t>
            </w:r>
          </w:p>
        </w:tc>
        <w:tc>
          <w:tcPr>
            <w:tcW w:w="262" w:type="pct"/>
            <w:shd w:val="clear" w:color="auto" w:fill="auto"/>
            <w:vAlign w:val="center"/>
          </w:tcPr>
          <w:p w14:paraId="2D7C2E77">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1.314</w:t>
            </w:r>
          </w:p>
        </w:tc>
        <w:tc>
          <w:tcPr>
            <w:tcW w:w="245" w:type="pct"/>
            <w:shd w:val="clear" w:color="auto" w:fill="auto"/>
            <w:vAlign w:val="center"/>
          </w:tcPr>
          <w:p w14:paraId="2354E828">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2.126</w:t>
            </w:r>
          </w:p>
        </w:tc>
        <w:tc>
          <w:tcPr>
            <w:tcW w:w="248" w:type="pct"/>
            <w:shd w:val="clear" w:color="auto" w:fill="auto"/>
            <w:vAlign w:val="center"/>
          </w:tcPr>
          <w:p w14:paraId="126A8E04">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0.42</w:t>
            </w:r>
          </w:p>
        </w:tc>
        <w:tc>
          <w:tcPr>
            <w:tcW w:w="265" w:type="pct"/>
            <w:shd w:val="clear" w:color="auto" w:fill="auto"/>
            <w:vAlign w:val="center"/>
          </w:tcPr>
          <w:p w14:paraId="203CBC12">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-0.42</w:t>
            </w:r>
          </w:p>
        </w:tc>
        <w:tc>
          <w:tcPr>
            <w:tcW w:w="238" w:type="pct"/>
            <w:shd w:val="clear" w:color="auto" w:fill="auto"/>
            <w:vAlign w:val="center"/>
          </w:tcPr>
          <w:p w14:paraId="34C6CC14">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573" w:type="pct"/>
            <w:shd w:val="clear" w:color="auto" w:fill="auto"/>
            <w:vAlign w:val="center"/>
          </w:tcPr>
          <w:p w14:paraId="1A97D6E7">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3.386</w:t>
            </w:r>
          </w:p>
        </w:tc>
        <w:tc>
          <w:tcPr>
            <w:tcW w:w="355" w:type="pct"/>
            <w:shd w:val="clear" w:color="auto" w:fill="auto"/>
            <w:vAlign w:val="center"/>
          </w:tcPr>
          <w:p w14:paraId="4145C63C">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cs="Times New Roman"/>
                <w:b w:val="0"/>
                <w:bCs w:val="0"/>
                <w:i w:val="0"/>
                <w:iCs w:val="0"/>
                <w:color w:val="auto"/>
                <w:kern w:val="0"/>
                <w:sz w:val="21"/>
                <w:szCs w:val="21"/>
                <w:u w:val="none"/>
                <w:lang w:val="en-US" w:eastAsia="zh-CN" w:bidi="ar"/>
              </w:rPr>
              <w:t>+</w:t>
            </w:r>
            <w:r>
              <w:rPr>
                <w:rFonts w:hint="default" w:ascii="Times New Roman" w:hAnsi="Times New Roman" w:eastAsia="宋体" w:cs="Times New Roman"/>
                <w:b w:val="0"/>
                <w:bCs w:val="0"/>
                <w:i w:val="0"/>
                <w:iCs w:val="0"/>
                <w:color w:val="auto"/>
                <w:kern w:val="0"/>
                <w:sz w:val="21"/>
                <w:szCs w:val="21"/>
                <w:u w:val="none"/>
                <w:lang w:val="en-US" w:eastAsia="zh-CN" w:bidi="ar"/>
              </w:rPr>
              <w:t>2.126</w:t>
            </w:r>
          </w:p>
        </w:tc>
      </w:tr>
      <w:tr w14:paraId="197B4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3" w:hRule="atLeast"/>
        </w:trPr>
        <w:tc>
          <w:tcPr>
            <w:tcW w:w="219" w:type="pct"/>
            <w:vMerge w:val="continue"/>
            <w:shd w:val="clear" w:color="auto" w:fill="auto"/>
            <w:vAlign w:val="center"/>
          </w:tcPr>
          <w:p w14:paraId="6C5D232B">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480" w:type="pct"/>
            <w:shd w:val="clear" w:color="auto" w:fill="auto"/>
            <w:vAlign w:val="center"/>
          </w:tcPr>
          <w:p w14:paraId="414ECDF0">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SO</w:t>
            </w:r>
            <w:r>
              <w:rPr>
                <w:rFonts w:hint="default" w:ascii="Times New Roman" w:hAnsi="Times New Roman" w:eastAsia="宋体" w:cs="Times New Roman"/>
                <w:b w:val="0"/>
                <w:bCs w:val="0"/>
                <w:i w:val="0"/>
                <w:iCs w:val="0"/>
                <w:color w:val="auto"/>
                <w:kern w:val="0"/>
                <w:sz w:val="21"/>
                <w:szCs w:val="21"/>
                <w:u w:val="none"/>
                <w:vertAlign w:val="subscript"/>
                <w:lang w:val="en-US" w:eastAsia="zh-CN" w:bidi="ar"/>
              </w:rPr>
              <w:t>2</w:t>
            </w:r>
          </w:p>
        </w:tc>
        <w:tc>
          <w:tcPr>
            <w:tcW w:w="281" w:type="pct"/>
            <w:shd w:val="clear" w:color="auto" w:fill="auto"/>
            <w:vAlign w:val="center"/>
          </w:tcPr>
          <w:p w14:paraId="5BA4725C">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254" w:type="pct"/>
            <w:shd w:val="clear" w:color="auto" w:fill="auto"/>
            <w:vAlign w:val="center"/>
          </w:tcPr>
          <w:p w14:paraId="6C733A0C">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185" w:type="pct"/>
            <w:shd w:val="clear" w:color="auto" w:fill="auto"/>
            <w:vAlign w:val="center"/>
          </w:tcPr>
          <w:p w14:paraId="49777543">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410" w:type="pct"/>
            <w:shd w:val="clear" w:color="auto" w:fill="auto"/>
            <w:vAlign w:val="center"/>
          </w:tcPr>
          <w:p w14:paraId="6A1D3FB2">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w:t>
            </w:r>
          </w:p>
        </w:tc>
        <w:tc>
          <w:tcPr>
            <w:tcW w:w="233" w:type="pct"/>
            <w:shd w:val="clear" w:color="auto" w:fill="auto"/>
            <w:vAlign w:val="center"/>
          </w:tcPr>
          <w:p w14:paraId="68553311">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270" w:type="pct"/>
            <w:shd w:val="clear" w:color="auto" w:fill="auto"/>
            <w:vAlign w:val="center"/>
          </w:tcPr>
          <w:p w14:paraId="41ECE0F2">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216" w:type="pct"/>
            <w:shd w:val="clear" w:color="auto" w:fill="auto"/>
            <w:vAlign w:val="center"/>
          </w:tcPr>
          <w:p w14:paraId="61BC4230">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262" w:type="pct"/>
            <w:shd w:val="clear" w:color="auto" w:fill="auto"/>
            <w:vAlign w:val="center"/>
          </w:tcPr>
          <w:p w14:paraId="3B4BD7A1">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0.180</w:t>
            </w:r>
          </w:p>
        </w:tc>
        <w:tc>
          <w:tcPr>
            <w:tcW w:w="262" w:type="pct"/>
            <w:shd w:val="clear" w:color="auto" w:fill="auto"/>
            <w:vAlign w:val="center"/>
          </w:tcPr>
          <w:p w14:paraId="0CBDAAFE">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245" w:type="pct"/>
            <w:shd w:val="clear" w:color="auto" w:fill="auto"/>
            <w:vAlign w:val="center"/>
          </w:tcPr>
          <w:p w14:paraId="397CF2B5">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0.180</w:t>
            </w:r>
          </w:p>
        </w:tc>
        <w:tc>
          <w:tcPr>
            <w:tcW w:w="248" w:type="pct"/>
            <w:shd w:val="clear" w:color="auto" w:fill="auto"/>
            <w:noWrap/>
            <w:vAlign w:val="center"/>
          </w:tcPr>
          <w:p w14:paraId="1133314D">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265" w:type="pct"/>
            <w:shd w:val="clear" w:color="auto" w:fill="auto"/>
            <w:noWrap/>
            <w:vAlign w:val="center"/>
          </w:tcPr>
          <w:p w14:paraId="07575AB5">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238" w:type="pct"/>
            <w:shd w:val="clear" w:color="auto" w:fill="auto"/>
            <w:vAlign w:val="center"/>
          </w:tcPr>
          <w:p w14:paraId="5B31CD81">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573" w:type="pct"/>
            <w:shd w:val="clear" w:color="auto" w:fill="auto"/>
            <w:vAlign w:val="center"/>
          </w:tcPr>
          <w:p w14:paraId="35842260">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0.180</w:t>
            </w:r>
          </w:p>
        </w:tc>
        <w:tc>
          <w:tcPr>
            <w:tcW w:w="355" w:type="pct"/>
            <w:shd w:val="clear" w:color="auto" w:fill="auto"/>
            <w:vAlign w:val="center"/>
          </w:tcPr>
          <w:p w14:paraId="2CD6B813">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cs="Times New Roman"/>
                <w:b w:val="0"/>
                <w:bCs w:val="0"/>
                <w:i w:val="0"/>
                <w:iCs w:val="0"/>
                <w:color w:val="auto"/>
                <w:kern w:val="0"/>
                <w:sz w:val="21"/>
                <w:szCs w:val="21"/>
                <w:u w:val="none"/>
                <w:lang w:val="en-US" w:eastAsia="zh-CN" w:bidi="ar"/>
              </w:rPr>
              <w:t>+</w:t>
            </w:r>
            <w:r>
              <w:rPr>
                <w:rFonts w:hint="default" w:ascii="Times New Roman" w:hAnsi="Times New Roman" w:eastAsia="宋体" w:cs="Times New Roman"/>
                <w:b w:val="0"/>
                <w:bCs w:val="0"/>
                <w:i w:val="0"/>
                <w:iCs w:val="0"/>
                <w:color w:val="auto"/>
                <w:kern w:val="0"/>
                <w:sz w:val="21"/>
                <w:szCs w:val="21"/>
                <w:u w:val="none"/>
                <w:lang w:val="en-US" w:eastAsia="zh-CN" w:bidi="ar"/>
              </w:rPr>
              <w:t>0.180</w:t>
            </w:r>
          </w:p>
        </w:tc>
      </w:tr>
      <w:tr w14:paraId="1655C2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219" w:type="pct"/>
            <w:vMerge w:val="continue"/>
            <w:shd w:val="clear" w:color="auto" w:fill="auto"/>
            <w:vAlign w:val="center"/>
          </w:tcPr>
          <w:p w14:paraId="51A9E979">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480" w:type="pct"/>
            <w:shd w:val="clear" w:color="auto" w:fill="auto"/>
            <w:vAlign w:val="center"/>
          </w:tcPr>
          <w:p w14:paraId="5F27E738">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NO</w:t>
            </w:r>
            <w:r>
              <w:rPr>
                <w:rFonts w:hint="default" w:ascii="Times New Roman" w:hAnsi="Times New Roman" w:eastAsia="宋体" w:cs="Times New Roman"/>
                <w:b w:val="0"/>
                <w:bCs w:val="0"/>
                <w:i w:val="0"/>
                <w:iCs w:val="0"/>
                <w:color w:val="auto"/>
                <w:kern w:val="0"/>
                <w:sz w:val="21"/>
                <w:szCs w:val="21"/>
                <w:u w:val="none"/>
                <w:vertAlign w:val="subscript"/>
                <w:lang w:val="en-US" w:eastAsia="zh-CN" w:bidi="ar"/>
              </w:rPr>
              <w:t>X</w:t>
            </w:r>
          </w:p>
        </w:tc>
        <w:tc>
          <w:tcPr>
            <w:tcW w:w="281" w:type="pct"/>
            <w:shd w:val="clear" w:color="auto" w:fill="auto"/>
            <w:vAlign w:val="center"/>
          </w:tcPr>
          <w:p w14:paraId="701B13B8">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254" w:type="pct"/>
            <w:shd w:val="clear" w:color="auto" w:fill="auto"/>
            <w:vAlign w:val="center"/>
          </w:tcPr>
          <w:p w14:paraId="2671B453">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185" w:type="pct"/>
            <w:shd w:val="clear" w:color="auto" w:fill="auto"/>
            <w:vAlign w:val="center"/>
          </w:tcPr>
          <w:p w14:paraId="1C059EB2">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410" w:type="pct"/>
            <w:shd w:val="clear" w:color="auto" w:fill="auto"/>
            <w:vAlign w:val="center"/>
          </w:tcPr>
          <w:p w14:paraId="37743513">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w:t>
            </w:r>
          </w:p>
        </w:tc>
        <w:tc>
          <w:tcPr>
            <w:tcW w:w="233" w:type="pct"/>
            <w:shd w:val="clear" w:color="auto" w:fill="auto"/>
            <w:vAlign w:val="center"/>
          </w:tcPr>
          <w:p w14:paraId="6368B38B">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270" w:type="pct"/>
            <w:shd w:val="clear" w:color="auto" w:fill="auto"/>
            <w:vAlign w:val="center"/>
          </w:tcPr>
          <w:p w14:paraId="7BE7E558">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216" w:type="pct"/>
            <w:shd w:val="clear" w:color="auto" w:fill="auto"/>
            <w:vAlign w:val="center"/>
          </w:tcPr>
          <w:p w14:paraId="375F1BF0">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262" w:type="pct"/>
            <w:shd w:val="clear" w:color="auto" w:fill="auto"/>
            <w:vAlign w:val="center"/>
          </w:tcPr>
          <w:p w14:paraId="17465C9B">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1.684</w:t>
            </w:r>
          </w:p>
        </w:tc>
        <w:tc>
          <w:tcPr>
            <w:tcW w:w="262" w:type="pct"/>
            <w:shd w:val="clear" w:color="auto" w:fill="auto"/>
            <w:vAlign w:val="center"/>
          </w:tcPr>
          <w:p w14:paraId="4B75FC3F">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245" w:type="pct"/>
            <w:shd w:val="clear" w:color="auto" w:fill="auto"/>
            <w:vAlign w:val="center"/>
          </w:tcPr>
          <w:p w14:paraId="4EFC7E22">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1.684</w:t>
            </w:r>
          </w:p>
        </w:tc>
        <w:tc>
          <w:tcPr>
            <w:tcW w:w="248" w:type="pct"/>
            <w:shd w:val="clear" w:color="auto" w:fill="auto"/>
            <w:noWrap/>
            <w:vAlign w:val="center"/>
          </w:tcPr>
          <w:p w14:paraId="610EBE48">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265" w:type="pct"/>
            <w:shd w:val="clear" w:color="auto" w:fill="auto"/>
            <w:noWrap/>
            <w:vAlign w:val="center"/>
          </w:tcPr>
          <w:p w14:paraId="1C66305F">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238" w:type="pct"/>
            <w:shd w:val="clear" w:color="auto" w:fill="auto"/>
            <w:vAlign w:val="center"/>
          </w:tcPr>
          <w:p w14:paraId="41DA3777">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573" w:type="pct"/>
            <w:shd w:val="clear" w:color="auto" w:fill="auto"/>
            <w:vAlign w:val="center"/>
          </w:tcPr>
          <w:p w14:paraId="5188D753">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1.684</w:t>
            </w:r>
          </w:p>
        </w:tc>
        <w:tc>
          <w:tcPr>
            <w:tcW w:w="355" w:type="pct"/>
            <w:shd w:val="clear" w:color="auto" w:fill="auto"/>
            <w:vAlign w:val="center"/>
          </w:tcPr>
          <w:p w14:paraId="219C5430">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cs="Times New Roman"/>
                <w:b w:val="0"/>
                <w:bCs w:val="0"/>
                <w:i w:val="0"/>
                <w:iCs w:val="0"/>
                <w:color w:val="auto"/>
                <w:kern w:val="0"/>
                <w:sz w:val="21"/>
                <w:szCs w:val="21"/>
                <w:u w:val="none"/>
                <w:lang w:val="en-US" w:eastAsia="zh-CN" w:bidi="ar"/>
              </w:rPr>
              <w:t>+</w:t>
            </w:r>
            <w:r>
              <w:rPr>
                <w:rFonts w:hint="default" w:ascii="Times New Roman" w:hAnsi="Times New Roman" w:eastAsia="宋体" w:cs="Times New Roman"/>
                <w:b w:val="0"/>
                <w:bCs w:val="0"/>
                <w:i w:val="0"/>
                <w:iCs w:val="0"/>
                <w:color w:val="auto"/>
                <w:kern w:val="0"/>
                <w:sz w:val="21"/>
                <w:szCs w:val="21"/>
                <w:u w:val="none"/>
                <w:lang w:val="en-US" w:eastAsia="zh-CN" w:bidi="ar"/>
              </w:rPr>
              <w:t>1.684</w:t>
            </w:r>
          </w:p>
        </w:tc>
      </w:tr>
      <w:tr w14:paraId="70941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3" w:hRule="atLeast"/>
        </w:trPr>
        <w:tc>
          <w:tcPr>
            <w:tcW w:w="219" w:type="pct"/>
            <w:vMerge w:val="continue"/>
            <w:shd w:val="clear" w:color="auto" w:fill="auto"/>
            <w:vAlign w:val="center"/>
          </w:tcPr>
          <w:p w14:paraId="32D2345D">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480" w:type="pct"/>
            <w:shd w:val="clear" w:color="auto" w:fill="auto"/>
            <w:vAlign w:val="center"/>
          </w:tcPr>
          <w:p w14:paraId="7619B7D5">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HCl</w:t>
            </w:r>
          </w:p>
        </w:tc>
        <w:tc>
          <w:tcPr>
            <w:tcW w:w="281" w:type="pct"/>
            <w:shd w:val="clear" w:color="auto" w:fill="auto"/>
            <w:vAlign w:val="center"/>
          </w:tcPr>
          <w:p w14:paraId="5295B89B">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254" w:type="pct"/>
            <w:shd w:val="clear" w:color="auto" w:fill="auto"/>
            <w:vAlign w:val="center"/>
          </w:tcPr>
          <w:p w14:paraId="10E0D4C3">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185" w:type="pct"/>
            <w:shd w:val="clear" w:color="auto" w:fill="auto"/>
            <w:vAlign w:val="center"/>
          </w:tcPr>
          <w:p w14:paraId="584DD8E6">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410" w:type="pct"/>
            <w:shd w:val="clear" w:color="auto" w:fill="auto"/>
            <w:vAlign w:val="center"/>
          </w:tcPr>
          <w:p w14:paraId="674884D5">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w:t>
            </w:r>
          </w:p>
        </w:tc>
        <w:tc>
          <w:tcPr>
            <w:tcW w:w="233" w:type="pct"/>
            <w:shd w:val="clear" w:color="auto" w:fill="auto"/>
            <w:vAlign w:val="center"/>
          </w:tcPr>
          <w:p w14:paraId="67F381E5">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270" w:type="pct"/>
            <w:shd w:val="clear" w:color="auto" w:fill="auto"/>
            <w:vAlign w:val="center"/>
          </w:tcPr>
          <w:p w14:paraId="0CF88A80">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216" w:type="pct"/>
            <w:shd w:val="clear" w:color="auto" w:fill="auto"/>
            <w:vAlign w:val="center"/>
          </w:tcPr>
          <w:p w14:paraId="70ABEC19">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262" w:type="pct"/>
            <w:shd w:val="clear" w:color="auto" w:fill="auto"/>
            <w:vAlign w:val="center"/>
          </w:tcPr>
          <w:p w14:paraId="5F12BBA8">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4.59</w:t>
            </w:r>
            <w:r>
              <w:rPr>
                <w:rFonts w:hint="default" w:ascii="Times New Roman" w:hAnsi="Times New Roman" w:cs="Times New Roman"/>
                <w:b w:val="0"/>
                <w:bCs w:val="0"/>
                <w:i w:val="0"/>
                <w:iCs w:val="0"/>
                <w:color w:val="auto"/>
                <w:kern w:val="0"/>
                <w:sz w:val="21"/>
                <w:szCs w:val="21"/>
                <w:u w:val="none"/>
                <w:lang w:val="en-US" w:eastAsia="zh-CN" w:bidi="ar"/>
              </w:rPr>
              <w:t>3</w:t>
            </w:r>
          </w:p>
        </w:tc>
        <w:tc>
          <w:tcPr>
            <w:tcW w:w="262" w:type="pct"/>
            <w:shd w:val="clear" w:color="auto" w:fill="auto"/>
            <w:vAlign w:val="center"/>
          </w:tcPr>
          <w:p w14:paraId="59C93D6F">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1.875</w:t>
            </w:r>
          </w:p>
        </w:tc>
        <w:tc>
          <w:tcPr>
            <w:tcW w:w="245" w:type="pct"/>
            <w:shd w:val="clear" w:color="auto" w:fill="auto"/>
            <w:vAlign w:val="center"/>
          </w:tcPr>
          <w:p w14:paraId="605119C4">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6.46</w:t>
            </w:r>
            <w:r>
              <w:rPr>
                <w:rFonts w:hint="default" w:ascii="Times New Roman" w:hAnsi="Times New Roman" w:cs="Times New Roman"/>
                <w:b w:val="0"/>
                <w:bCs w:val="0"/>
                <w:i w:val="0"/>
                <w:iCs w:val="0"/>
                <w:color w:val="auto"/>
                <w:kern w:val="0"/>
                <w:sz w:val="21"/>
                <w:szCs w:val="21"/>
                <w:u w:val="none"/>
                <w:lang w:val="en-US" w:eastAsia="zh-CN" w:bidi="ar"/>
              </w:rPr>
              <w:t>8</w:t>
            </w:r>
          </w:p>
        </w:tc>
        <w:tc>
          <w:tcPr>
            <w:tcW w:w="248" w:type="pct"/>
            <w:shd w:val="clear" w:color="auto" w:fill="auto"/>
            <w:noWrap/>
            <w:vAlign w:val="center"/>
          </w:tcPr>
          <w:p w14:paraId="5B009C61">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265" w:type="pct"/>
            <w:shd w:val="clear" w:color="auto" w:fill="auto"/>
            <w:noWrap/>
            <w:vAlign w:val="center"/>
          </w:tcPr>
          <w:p w14:paraId="4AB90188">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238" w:type="pct"/>
            <w:shd w:val="clear" w:color="auto" w:fill="auto"/>
            <w:vAlign w:val="center"/>
          </w:tcPr>
          <w:p w14:paraId="01912E51">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w:t>
            </w:r>
          </w:p>
        </w:tc>
        <w:tc>
          <w:tcPr>
            <w:tcW w:w="573" w:type="pct"/>
            <w:shd w:val="clear" w:color="auto" w:fill="auto"/>
            <w:vAlign w:val="center"/>
          </w:tcPr>
          <w:p w14:paraId="60846086">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6.46</w:t>
            </w:r>
            <w:r>
              <w:rPr>
                <w:rFonts w:hint="default" w:ascii="Times New Roman" w:hAnsi="Times New Roman" w:cs="Times New Roman"/>
                <w:b w:val="0"/>
                <w:bCs w:val="0"/>
                <w:i w:val="0"/>
                <w:iCs w:val="0"/>
                <w:color w:val="auto"/>
                <w:kern w:val="0"/>
                <w:sz w:val="21"/>
                <w:szCs w:val="21"/>
                <w:u w:val="none"/>
                <w:lang w:val="en-US" w:eastAsia="zh-CN" w:bidi="ar"/>
              </w:rPr>
              <w:t>8</w:t>
            </w:r>
          </w:p>
        </w:tc>
        <w:tc>
          <w:tcPr>
            <w:tcW w:w="355" w:type="pct"/>
            <w:shd w:val="clear" w:color="auto" w:fill="auto"/>
            <w:vAlign w:val="center"/>
          </w:tcPr>
          <w:p w14:paraId="01EB83C7">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cs="Times New Roman"/>
                <w:b w:val="0"/>
                <w:bCs w:val="0"/>
                <w:i w:val="0"/>
                <w:iCs w:val="0"/>
                <w:color w:val="auto"/>
                <w:kern w:val="0"/>
                <w:sz w:val="21"/>
                <w:szCs w:val="21"/>
                <w:u w:val="none"/>
                <w:lang w:val="en-US" w:eastAsia="zh-CN" w:bidi="ar"/>
              </w:rPr>
              <w:t>+</w:t>
            </w:r>
            <w:r>
              <w:rPr>
                <w:rFonts w:hint="default" w:ascii="Times New Roman" w:hAnsi="Times New Roman" w:eastAsia="宋体" w:cs="Times New Roman"/>
                <w:b w:val="0"/>
                <w:bCs w:val="0"/>
                <w:i w:val="0"/>
                <w:iCs w:val="0"/>
                <w:color w:val="auto"/>
                <w:kern w:val="0"/>
                <w:sz w:val="21"/>
                <w:szCs w:val="21"/>
                <w:u w:val="none"/>
                <w:lang w:val="en-US" w:eastAsia="zh-CN" w:bidi="ar"/>
              </w:rPr>
              <w:t>6.46</w:t>
            </w:r>
            <w:r>
              <w:rPr>
                <w:rFonts w:hint="default" w:ascii="Times New Roman" w:hAnsi="Times New Roman" w:cs="Times New Roman"/>
                <w:b w:val="0"/>
                <w:bCs w:val="0"/>
                <w:i w:val="0"/>
                <w:iCs w:val="0"/>
                <w:color w:val="auto"/>
                <w:kern w:val="0"/>
                <w:sz w:val="21"/>
                <w:szCs w:val="21"/>
                <w:u w:val="none"/>
                <w:lang w:val="en-US" w:eastAsia="zh-CN" w:bidi="ar"/>
              </w:rPr>
              <w:t>8</w:t>
            </w:r>
          </w:p>
        </w:tc>
      </w:tr>
      <w:tr w14:paraId="598F8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3" w:hRule="atLeast"/>
        </w:trPr>
        <w:tc>
          <w:tcPr>
            <w:tcW w:w="219" w:type="pct"/>
            <w:vMerge w:val="restart"/>
            <w:shd w:val="clear" w:color="auto" w:fill="auto"/>
            <w:vAlign w:val="center"/>
          </w:tcPr>
          <w:p w14:paraId="42125335">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固废</w:t>
            </w:r>
          </w:p>
        </w:tc>
        <w:tc>
          <w:tcPr>
            <w:tcW w:w="480" w:type="pct"/>
            <w:shd w:val="clear" w:color="auto" w:fill="auto"/>
            <w:vAlign w:val="center"/>
          </w:tcPr>
          <w:p w14:paraId="6553EE23">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一般工业固体废物产生量（t/a）</w:t>
            </w:r>
          </w:p>
        </w:tc>
        <w:tc>
          <w:tcPr>
            <w:tcW w:w="720" w:type="pct"/>
            <w:gridSpan w:val="3"/>
            <w:shd w:val="clear" w:color="auto" w:fill="auto"/>
            <w:vAlign w:val="center"/>
          </w:tcPr>
          <w:p w14:paraId="6193CC1E">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440</w:t>
            </w:r>
          </w:p>
        </w:tc>
        <w:tc>
          <w:tcPr>
            <w:tcW w:w="410" w:type="pct"/>
            <w:shd w:val="clear" w:color="auto" w:fill="auto"/>
            <w:vAlign w:val="center"/>
          </w:tcPr>
          <w:p w14:paraId="27D1875F">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w:t>
            </w:r>
          </w:p>
        </w:tc>
        <w:tc>
          <w:tcPr>
            <w:tcW w:w="719" w:type="pct"/>
            <w:gridSpan w:val="3"/>
            <w:shd w:val="clear" w:color="auto" w:fill="auto"/>
            <w:vAlign w:val="center"/>
          </w:tcPr>
          <w:p w14:paraId="04138C7D">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304.94</w:t>
            </w:r>
          </w:p>
        </w:tc>
        <w:tc>
          <w:tcPr>
            <w:tcW w:w="769" w:type="pct"/>
            <w:gridSpan w:val="3"/>
            <w:shd w:val="clear" w:color="auto" w:fill="auto"/>
            <w:vAlign w:val="center"/>
          </w:tcPr>
          <w:p w14:paraId="45437594">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698.8</w:t>
            </w:r>
          </w:p>
        </w:tc>
        <w:tc>
          <w:tcPr>
            <w:tcW w:w="751" w:type="pct"/>
            <w:gridSpan w:val="3"/>
            <w:shd w:val="clear" w:color="auto" w:fill="auto"/>
            <w:vAlign w:val="center"/>
          </w:tcPr>
          <w:p w14:paraId="10E940A4">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-46.05</w:t>
            </w:r>
          </w:p>
        </w:tc>
        <w:tc>
          <w:tcPr>
            <w:tcW w:w="573" w:type="pct"/>
            <w:shd w:val="clear" w:color="auto" w:fill="auto"/>
            <w:vAlign w:val="center"/>
          </w:tcPr>
          <w:p w14:paraId="514740B3">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1397.68</w:t>
            </w:r>
          </w:p>
        </w:tc>
        <w:tc>
          <w:tcPr>
            <w:tcW w:w="1010" w:type="dxa"/>
            <w:shd w:val="clear" w:color="auto" w:fill="auto"/>
            <w:vAlign w:val="center"/>
          </w:tcPr>
          <w:p w14:paraId="62FAEDA9">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cs="Times New Roman"/>
                <w:b w:val="0"/>
                <w:bCs w:val="0"/>
                <w:i w:val="0"/>
                <w:iCs w:val="0"/>
                <w:color w:val="auto"/>
                <w:kern w:val="0"/>
                <w:sz w:val="21"/>
                <w:szCs w:val="21"/>
                <w:u w:val="none"/>
                <w:lang w:val="en-US" w:eastAsia="zh-CN" w:bidi="ar"/>
              </w:rPr>
              <w:t>+</w:t>
            </w:r>
            <w:r>
              <w:rPr>
                <w:rFonts w:hint="default" w:ascii="Times New Roman" w:hAnsi="Times New Roman" w:eastAsia="宋体" w:cs="Times New Roman"/>
                <w:b w:val="0"/>
                <w:bCs w:val="0"/>
                <w:i w:val="0"/>
                <w:iCs w:val="0"/>
                <w:color w:val="auto"/>
                <w:kern w:val="0"/>
                <w:sz w:val="21"/>
                <w:szCs w:val="21"/>
                <w:u w:val="none"/>
                <w:lang w:val="en-US" w:eastAsia="zh-CN" w:bidi="ar"/>
              </w:rPr>
              <w:t>698.8</w:t>
            </w:r>
          </w:p>
        </w:tc>
      </w:tr>
      <w:tr w14:paraId="0248F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3" w:hRule="atLeast"/>
        </w:trPr>
        <w:tc>
          <w:tcPr>
            <w:tcW w:w="219" w:type="pct"/>
            <w:vMerge w:val="continue"/>
            <w:shd w:val="clear" w:color="auto" w:fill="auto"/>
            <w:vAlign w:val="center"/>
          </w:tcPr>
          <w:p w14:paraId="2EE429B1">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b w:val="0"/>
                <w:bCs w:val="0"/>
                <w:i w:val="0"/>
                <w:iCs w:val="0"/>
                <w:color w:val="auto"/>
                <w:sz w:val="21"/>
                <w:szCs w:val="21"/>
                <w:u w:val="none"/>
              </w:rPr>
            </w:pPr>
          </w:p>
        </w:tc>
        <w:tc>
          <w:tcPr>
            <w:tcW w:w="480" w:type="pct"/>
            <w:shd w:val="clear" w:color="auto" w:fill="auto"/>
            <w:vAlign w:val="center"/>
          </w:tcPr>
          <w:p w14:paraId="2FE0CCEA">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危险废物产生量（t/a）</w:t>
            </w:r>
          </w:p>
        </w:tc>
        <w:tc>
          <w:tcPr>
            <w:tcW w:w="720" w:type="pct"/>
            <w:gridSpan w:val="3"/>
            <w:shd w:val="clear" w:color="auto" w:fill="auto"/>
            <w:noWrap/>
            <w:vAlign w:val="center"/>
          </w:tcPr>
          <w:p w14:paraId="7A45A186">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1</w:t>
            </w:r>
          </w:p>
        </w:tc>
        <w:tc>
          <w:tcPr>
            <w:tcW w:w="410" w:type="pct"/>
            <w:shd w:val="clear" w:color="auto" w:fill="auto"/>
            <w:vAlign w:val="center"/>
          </w:tcPr>
          <w:p w14:paraId="24163A83">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w:t>
            </w:r>
          </w:p>
        </w:tc>
        <w:tc>
          <w:tcPr>
            <w:tcW w:w="719" w:type="pct"/>
            <w:gridSpan w:val="3"/>
            <w:shd w:val="clear" w:color="auto" w:fill="auto"/>
            <w:vAlign w:val="center"/>
          </w:tcPr>
          <w:p w14:paraId="60F46E02">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0.2</w:t>
            </w:r>
          </w:p>
        </w:tc>
        <w:tc>
          <w:tcPr>
            <w:tcW w:w="769" w:type="pct"/>
            <w:gridSpan w:val="3"/>
            <w:shd w:val="clear" w:color="auto" w:fill="auto"/>
            <w:vAlign w:val="center"/>
          </w:tcPr>
          <w:p w14:paraId="5D1BE3C4">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4115.8</w:t>
            </w:r>
          </w:p>
        </w:tc>
        <w:tc>
          <w:tcPr>
            <w:tcW w:w="751" w:type="pct"/>
            <w:gridSpan w:val="3"/>
            <w:shd w:val="clear" w:color="auto" w:fill="auto"/>
            <w:vAlign w:val="center"/>
          </w:tcPr>
          <w:p w14:paraId="7DCF177C">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w:t>
            </w:r>
          </w:p>
        </w:tc>
        <w:tc>
          <w:tcPr>
            <w:tcW w:w="573" w:type="pct"/>
            <w:shd w:val="clear" w:color="auto" w:fill="auto"/>
            <w:vAlign w:val="center"/>
          </w:tcPr>
          <w:p w14:paraId="60754903">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lang w:val="en-US"/>
              </w:rPr>
            </w:pPr>
            <w:r>
              <w:rPr>
                <w:rFonts w:hint="default" w:ascii="Times New Roman" w:hAnsi="Times New Roman" w:eastAsia="宋体" w:cs="Times New Roman"/>
                <w:b w:val="0"/>
                <w:bCs w:val="0"/>
                <w:i w:val="0"/>
                <w:iCs w:val="0"/>
                <w:color w:val="auto"/>
                <w:kern w:val="0"/>
                <w:sz w:val="21"/>
                <w:szCs w:val="21"/>
                <w:u w:val="none"/>
                <w:lang w:val="en-US" w:eastAsia="zh-CN" w:bidi="ar"/>
              </w:rPr>
              <w:t>4117.01</w:t>
            </w:r>
          </w:p>
        </w:tc>
        <w:tc>
          <w:tcPr>
            <w:tcW w:w="1010" w:type="dxa"/>
            <w:shd w:val="clear" w:color="auto" w:fill="auto"/>
            <w:vAlign w:val="center"/>
          </w:tcPr>
          <w:p w14:paraId="4D3EA8F1">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cs="Times New Roman"/>
                <w:b w:val="0"/>
                <w:bCs w:val="0"/>
                <w:i w:val="0"/>
                <w:iCs w:val="0"/>
                <w:color w:val="auto"/>
                <w:kern w:val="0"/>
                <w:sz w:val="21"/>
                <w:szCs w:val="21"/>
                <w:u w:val="none"/>
                <w:lang w:val="en-US" w:eastAsia="zh-CN" w:bidi="ar"/>
              </w:rPr>
              <w:t>+</w:t>
            </w:r>
            <w:r>
              <w:rPr>
                <w:rFonts w:hint="default" w:ascii="Times New Roman" w:hAnsi="Times New Roman" w:eastAsia="宋体" w:cs="Times New Roman"/>
                <w:b w:val="0"/>
                <w:bCs w:val="0"/>
                <w:i w:val="0"/>
                <w:iCs w:val="0"/>
                <w:color w:val="auto"/>
                <w:kern w:val="0"/>
                <w:sz w:val="21"/>
                <w:szCs w:val="21"/>
                <w:u w:val="none"/>
                <w:lang w:val="en-US" w:eastAsia="zh-CN" w:bidi="ar"/>
              </w:rPr>
              <w:t>4115.8</w:t>
            </w:r>
          </w:p>
        </w:tc>
      </w:tr>
    </w:tbl>
    <w:p w14:paraId="247425E6">
      <w:pPr>
        <w:pStyle w:val="30"/>
        <w:spacing w:before="0" w:beforeAutospacing="0" w:after="0" w:afterAutospacing="0" w:line="280" w:lineRule="exact"/>
        <w:jc w:val="both"/>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注：1.现有工程排放量取自</w:t>
      </w:r>
      <w:bookmarkStart w:id="126" w:name="OLE_LINK23"/>
      <w:r>
        <w:rPr>
          <w:rFonts w:hint="default" w:ascii="Times New Roman" w:hAnsi="Times New Roman" w:cs="Times New Roman"/>
          <w:snapToGrid w:val="0"/>
          <w:color w:val="auto"/>
          <w:sz w:val="18"/>
          <w:szCs w:val="18"/>
        </w:rPr>
        <w:t>2025年自行监测年度报告</w:t>
      </w:r>
      <w:bookmarkEnd w:id="126"/>
      <w:r>
        <w:rPr>
          <w:rFonts w:hint="default" w:ascii="Times New Roman" w:hAnsi="Times New Roman" w:cs="Times New Roman"/>
          <w:snapToGrid w:val="0"/>
          <w:color w:val="auto"/>
          <w:sz w:val="18"/>
          <w:szCs w:val="18"/>
        </w:rPr>
        <w:t>。</w:t>
      </w:r>
    </w:p>
    <w:p w14:paraId="094AEE6B">
      <w:pPr>
        <w:pStyle w:val="30"/>
        <w:jc w:val="center"/>
        <w:rPr>
          <w:rFonts w:hint="default" w:ascii="Times New Roman" w:hAnsi="Times New Roman" w:eastAsia="黑体" w:cs="Times New Roman"/>
          <w:snapToGrid w:val="0"/>
          <w:color w:val="auto"/>
          <w:sz w:val="36"/>
          <w:szCs w:val="36"/>
        </w:rPr>
        <w:sectPr>
          <w:pgSz w:w="16838" w:h="11905" w:orient="landscape"/>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p w14:paraId="3D9B8B1E">
      <w:pPr>
        <w:pStyle w:val="30"/>
        <w:adjustRightInd w:val="0"/>
        <w:snapToGrid w:val="0"/>
        <w:spacing w:before="0" w:beforeAutospacing="0" w:after="0" w:afterAutospacing="0" w:line="15" w:lineRule="auto"/>
        <w:jc w:val="center"/>
        <w:rPr>
          <w:rFonts w:hint="default" w:ascii="Times New Roman" w:hAnsi="Times New Roman" w:eastAsia="黑体" w:cs="Times New Roman"/>
          <w:snapToGrid w:val="0"/>
          <w:color w:val="auto"/>
          <w:sz w:val="30"/>
          <w:szCs w:val="30"/>
        </w:rPr>
      </w:pPr>
    </w:p>
    <w:p w14:paraId="6942B251">
      <w:pPr>
        <w:pStyle w:val="30"/>
        <w:spacing w:before="0" w:beforeAutospacing="0" w:after="0" w:afterAutospacing="0"/>
        <w:jc w:val="center"/>
        <w:outlineLvl w:val="0"/>
        <w:rPr>
          <w:rFonts w:hint="default" w:ascii="Times New Roman" w:hAnsi="Times New Roman" w:eastAsia="黑体" w:cs="Times New Roman"/>
          <w:snapToGrid w:val="0"/>
          <w:color w:val="auto"/>
          <w:sz w:val="32"/>
          <w:szCs w:val="32"/>
        </w:rPr>
      </w:pPr>
      <w:bookmarkStart w:id="127" w:name="_Toc24381"/>
      <w:bookmarkStart w:id="128" w:name="_Toc8516"/>
      <w:bookmarkStart w:id="129" w:name="_Toc8401"/>
      <w:bookmarkStart w:id="130" w:name="_Toc2728"/>
      <w:bookmarkStart w:id="131" w:name="_Toc11270"/>
      <w:bookmarkStart w:id="132" w:name="_Toc25185"/>
      <w:bookmarkStart w:id="133" w:name="_Toc7209"/>
      <w:bookmarkStart w:id="134" w:name="_Toc19506"/>
      <w:r>
        <w:rPr>
          <w:rFonts w:hint="default" w:ascii="Times New Roman" w:hAnsi="Times New Roman" w:eastAsia="黑体" w:cs="Times New Roman"/>
          <w:snapToGrid w:val="0"/>
          <w:color w:val="auto"/>
          <w:sz w:val="32"/>
          <w:szCs w:val="32"/>
        </w:rPr>
        <w:t>三、区域环境质量现状、环境保护目标及评价标准</w:t>
      </w:r>
      <w:bookmarkEnd w:id="127"/>
      <w:bookmarkEnd w:id="128"/>
      <w:bookmarkEnd w:id="129"/>
      <w:bookmarkEnd w:id="130"/>
      <w:bookmarkEnd w:id="131"/>
      <w:bookmarkEnd w:id="132"/>
      <w:bookmarkEnd w:id="133"/>
      <w:bookmarkEnd w:id="134"/>
    </w:p>
    <w:tbl>
      <w:tblPr>
        <w:tblStyle w:val="34"/>
        <w:tblW w:w="499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5"/>
        <w:gridCol w:w="8862"/>
      </w:tblGrid>
      <w:tr w14:paraId="0267B8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2" w:hRule="atLeast"/>
          <w:jc w:val="center"/>
        </w:trPr>
        <w:tc>
          <w:tcPr>
            <w:tcW w:w="229" w:type="pct"/>
            <w:vAlign w:val="center"/>
          </w:tcPr>
          <w:p w14:paraId="0E07963C">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区域</w:t>
            </w:r>
          </w:p>
          <w:p w14:paraId="7F40A2DE">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环境</w:t>
            </w:r>
          </w:p>
          <w:p w14:paraId="78D10E0D">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质量</w:t>
            </w:r>
          </w:p>
          <w:p w14:paraId="4A0ACA42">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现状</w:t>
            </w:r>
          </w:p>
        </w:tc>
        <w:tc>
          <w:tcPr>
            <w:tcW w:w="4770" w:type="pct"/>
            <w:vAlign w:val="center"/>
          </w:tcPr>
          <w:p w14:paraId="545777F6">
            <w:pPr>
              <w:pStyle w:val="4"/>
              <w:keepNext/>
              <w:keepLines w:val="0"/>
              <w:pageBreakBefore w:val="0"/>
              <w:widowControl w:val="0"/>
              <w:kinsoku/>
              <w:wordWrap/>
              <w:overflowPunct/>
              <w:topLinePunct w:val="0"/>
              <w:autoSpaceDE/>
              <w:autoSpaceDN/>
              <w:bidi w:val="0"/>
              <w:adjustRightInd w:val="0"/>
              <w:snapToGrid w:val="0"/>
              <w:spacing w:before="126" w:beforeLines="33" w:after="264" w:afterLines="70"/>
              <w:textAlignment w:val="auto"/>
              <w:rPr>
                <w:rFonts w:hint="default" w:ascii="Times New Roman" w:hAnsi="Times New Roman" w:cs="Times New Roman"/>
                <w:snapToGrid/>
                <w:color w:val="auto"/>
                <w:szCs w:val="30"/>
              </w:rPr>
            </w:pPr>
            <w:bookmarkStart w:id="135" w:name="_Toc19389"/>
            <w:bookmarkStart w:id="136" w:name="_Toc17941"/>
            <w:bookmarkStart w:id="137" w:name="_Toc27257"/>
            <w:bookmarkStart w:id="138" w:name="_Toc1728"/>
            <w:bookmarkStart w:id="139" w:name="_Toc23485"/>
            <w:bookmarkStart w:id="140" w:name="_Toc19074"/>
            <w:bookmarkStart w:id="141" w:name="_Toc5066"/>
            <w:bookmarkStart w:id="142" w:name="_Toc1994"/>
            <w:r>
              <w:rPr>
                <w:rFonts w:hint="default" w:ascii="Times New Roman" w:hAnsi="Times New Roman" w:cs="Times New Roman"/>
                <w:snapToGrid/>
                <w:color w:val="auto"/>
                <w:szCs w:val="30"/>
              </w:rPr>
              <w:t>3.1环境质量现状调查</w:t>
            </w:r>
            <w:bookmarkEnd w:id="135"/>
            <w:bookmarkEnd w:id="136"/>
            <w:bookmarkEnd w:id="137"/>
            <w:bookmarkEnd w:id="138"/>
            <w:bookmarkEnd w:id="139"/>
            <w:bookmarkEnd w:id="140"/>
            <w:bookmarkEnd w:id="141"/>
            <w:bookmarkEnd w:id="142"/>
          </w:p>
          <w:p w14:paraId="527BAA56">
            <w:pPr>
              <w:pStyle w:val="5"/>
              <w:spacing w:before="189" w:after="189" w:afterLines="50" w:afterAutospacing="0" w:line="240" w:lineRule="auto"/>
              <w:rPr>
                <w:rFonts w:hint="default" w:ascii="Times New Roman" w:hAnsi="Times New Roman" w:cs="Times New Roman"/>
                <w:color w:val="auto"/>
              </w:rPr>
            </w:pPr>
            <w:r>
              <w:rPr>
                <w:rFonts w:hint="default" w:ascii="Times New Roman" w:hAnsi="Times New Roman" w:cs="Times New Roman"/>
                <w:color w:val="auto"/>
              </w:rPr>
              <w:t>3.1.1大气环境质量</w:t>
            </w:r>
          </w:p>
          <w:p w14:paraId="4B0015FB">
            <w:pPr>
              <w:adjustRightInd w:val="0"/>
              <w:snapToGrid w:val="0"/>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（1）常规污染物</w:t>
            </w:r>
          </w:p>
          <w:p w14:paraId="234EC7AA">
            <w:pPr>
              <w:adjustRightInd w:val="0"/>
              <w:snapToGrid w:val="0"/>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建设项目厂址区域环境空气中SO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、NO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、CO、O</w:t>
            </w:r>
            <w:r>
              <w:rPr>
                <w:rFonts w:hint="default" w:ascii="Times New Roman" w:hAnsi="Times New Roman" w:cs="Times New Roman"/>
                <w:color w:val="auto"/>
                <w:sz w:val="24"/>
                <w:vertAlign w:val="subscript"/>
              </w:rPr>
              <w:t>3</w:t>
            </w:r>
            <w:r>
              <w:rPr>
                <w:rFonts w:hint="default" w:ascii="Times New Roman" w:hAnsi="Times New Roman" w:cs="Times New Roman"/>
                <w:color w:val="auto"/>
                <w:sz w:val="24"/>
              </w:rPr>
              <w:t>、TSP、PM</w:t>
            </w:r>
            <w:r>
              <w:rPr>
                <w:rFonts w:hint="default" w:ascii="Times New Roman" w:hAnsi="Times New Roman" w:cs="Times New Roman"/>
                <w:color w:val="auto"/>
                <w:sz w:val="24"/>
                <w:vertAlign w:val="subscript"/>
              </w:rPr>
              <w:t>10</w:t>
            </w:r>
            <w:r>
              <w:rPr>
                <w:rFonts w:hint="default" w:ascii="Times New Roman" w:hAnsi="Times New Roman" w:cs="Times New Roman"/>
                <w:color w:val="auto"/>
                <w:sz w:val="24"/>
              </w:rPr>
              <w:t>、PM</w:t>
            </w:r>
            <w:r>
              <w:rPr>
                <w:rFonts w:hint="default" w:ascii="Times New Roman" w:hAnsi="Times New Roman" w:cs="Times New Roman"/>
                <w:color w:val="auto"/>
                <w:sz w:val="24"/>
                <w:vertAlign w:val="subscript"/>
              </w:rPr>
              <w:t>2.5</w:t>
            </w:r>
            <w:r>
              <w:rPr>
                <w:rFonts w:hint="default" w:ascii="Times New Roman" w:hAnsi="Times New Roman" w:cs="Times New Roman"/>
                <w:color w:val="auto"/>
                <w:sz w:val="24"/>
              </w:rPr>
              <w:t>质量执行《环境空气质量标准》（GB 3095-2026）表1和表2二级标准。</w:t>
            </w:r>
          </w:p>
          <w:p w14:paraId="75788058">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bookmarkStart w:id="143" w:name="_Toc941"/>
            <w:r>
              <w:rPr>
                <w:rFonts w:hint="default" w:ascii="Times New Roman" w:hAnsi="Times New Roman" w:eastAsia="黑体" w:cs="Times New Roman"/>
                <w:b w:val="0"/>
                <w:bCs/>
                <w:color w:val="auto"/>
              </w:rPr>
              <w:t>表3.1-1  环境空气评价标准</w:t>
            </w:r>
            <w:bookmarkEnd w:id="143"/>
          </w:p>
          <w:tbl>
            <w:tblPr>
              <w:tblStyle w:val="34"/>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9"/>
              <w:gridCol w:w="1379"/>
              <w:gridCol w:w="1484"/>
              <w:gridCol w:w="959"/>
              <w:gridCol w:w="951"/>
              <w:gridCol w:w="2504"/>
            </w:tblGrid>
            <w:tr w14:paraId="11155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82" w:type="pct"/>
                  <w:vMerge w:val="restart"/>
                  <w:tcBorders>
                    <w:tl2br w:val="nil"/>
                    <w:tr2bl w:val="nil"/>
                  </w:tcBorders>
                  <w:vAlign w:val="center"/>
                </w:tcPr>
                <w:p w14:paraId="59CE1958">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污染物名称</w:t>
                  </w:r>
                </w:p>
              </w:tc>
              <w:tc>
                <w:tcPr>
                  <w:tcW w:w="2215" w:type="pct"/>
                  <w:gridSpan w:val="3"/>
                  <w:tcBorders>
                    <w:tl2br w:val="nil"/>
                    <w:tr2bl w:val="nil"/>
                  </w:tcBorders>
                  <w:vAlign w:val="center"/>
                </w:tcPr>
                <w:p w14:paraId="7CCDD6C6">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标准限值</w:t>
                  </w:r>
                </w:p>
              </w:tc>
              <w:tc>
                <w:tcPr>
                  <w:tcW w:w="551" w:type="pct"/>
                  <w:vMerge w:val="restart"/>
                  <w:tcBorders>
                    <w:tl2br w:val="nil"/>
                    <w:tr2bl w:val="nil"/>
                  </w:tcBorders>
                  <w:vAlign w:val="center"/>
                </w:tcPr>
                <w:p w14:paraId="6B825144">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单位</w:t>
                  </w:r>
                </w:p>
              </w:tc>
              <w:tc>
                <w:tcPr>
                  <w:tcW w:w="1451" w:type="pct"/>
                  <w:vMerge w:val="restart"/>
                  <w:tcBorders>
                    <w:tl2br w:val="nil"/>
                    <w:tr2bl w:val="nil"/>
                  </w:tcBorders>
                  <w:vAlign w:val="center"/>
                </w:tcPr>
                <w:p w14:paraId="1F82ED5E">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标准来源</w:t>
                  </w:r>
                </w:p>
              </w:tc>
            </w:tr>
            <w:tr w14:paraId="7549D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82" w:type="pct"/>
                  <w:vMerge w:val="continue"/>
                  <w:tcBorders>
                    <w:tl2br w:val="nil"/>
                    <w:tr2bl w:val="nil"/>
                  </w:tcBorders>
                  <w:vAlign w:val="center"/>
                </w:tcPr>
                <w:p w14:paraId="40B05BC3">
                  <w:pPr>
                    <w:pStyle w:val="64"/>
                    <w:widowControl w:val="0"/>
                    <w:adjustRightInd w:val="0"/>
                    <w:snapToGrid w:val="0"/>
                    <w:rPr>
                      <w:rFonts w:hint="default" w:ascii="Times New Roman" w:hAnsi="Times New Roman" w:cs="Times New Roman"/>
                      <w:color w:val="auto"/>
                    </w:rPr>
                  </w:pPr>
                </w:p>
              </w:tc>
              <w:tc>
                <w:tcPr>
                  <w:tcW w:w="799" w:type="pct"/>
                  <w:tcBorders>
                    <w:tl2br w:val="nil"/>
                    <w:tr2bl w:val="nil"/>
                  </w:tcBorders>
                  <w:vAlign w:val="center"/>
                </w:tcPr>
                <w:p w14:paraId="244D9378">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1小时平均</w:t>
                  </w:r>
                </w:p>
              </w:tc>
              <w:tc>
                <w:tcPr>
                  <w:tcW w:w="860" w:type="pct"/>
                  <w:tcBorders>
                    <w:tl2br w:val="nil"/>
                    <w:tr2bl w:val="nil"/>
                  </w:tcBorders>
                  <w:vAlign w:val="center"/>
                </w:tcPr>
                <w:p w14:paraId="47ABC5BB">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日平均</w:t>
                  </w:r>
                </w:p>
              </w:tc>
              <w:tc>
                <w:tcPr>
                  <w:tcW w:w="556" w:type="pct"/>
                  <w:tcBorders>
                    <w:tl2br w:val="nil"/>
                    <w:tr2bl w:val="nil"/>
                  </w:tcBorders>
                  <w:vAlign w:val="center"/>
                </w:tcPr>
                <w:p w14:paraId="75A87660">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年平均</w:t>
                  </w:r>
                </w:p>
              </w:tc>
              <w:tc>
                <w:tcPr>
                  <w:tcW w:w="551" w:type="pct"/>
                  <w:vMerge w:val="continue"/>
                  <w:tcBorders>
                    <w:tl2br w:val="nil"/>
                    <w:tr2bl w:val="nil"/>
                  </w:tcBorders>
                  <w:vAlign w:val="center"/>
                </w:tcPr>
                <w:p w14:paraId="29547135">
                  <w:pPr>
                    <w:pStyle w:val="64"/>
                    <w:widowControl w:val="0"/>
                    <w:adjustRightInd w:val="0"/>
                    <w:snapToGrid w:val="0"/>
                    <w:rPr>
                      <w:rFonts w:hint="default" w:ascii="Times New Roman" w:hAnsi="Times New Roman" w:cs="Times New Roman"/>
                      <w:color w:val="auto"/>
                    </w:rPr>
                  </w:pPr>
                </w:p>
              </w:tc>
              <w:tc>
                <w:tcPr>
                  <w:tcW w:w="1451" w:type="pct"/>
                  <w:vMerge w:val="continue"/>
                  <w:tcBorders>
                    <w:tl2br w:val="nil"/>
                    <w:tr2bl w:val="nil"/>
                  </w:tcBorders>
                  <w:vAlign w:val="center"/>
                </w:tcPr>
                <w:p w14:paraId="5DAE5831">
                  <w:pPr>
                    <w:pStyle w:val="64"/>
                    <w:widowControl w:val="0"/>
                    <w:adjustRightInd w:val="0"/>
                    <w:snapToGrid w:val="0"/>
                    <w:rPr>
                      <w:rFonts w:hint="default" w:ascii="Times New Roman" w:hAnsi="Times New Roman" w:cs="Times New Roman"/>
                      <w:color w:val="auto"/>
                    </w:rPr>
                  </w:pPr>
                </w:p>
              </w:tc>
            </w:tr>
            <w:tr w14:paraId="38508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2" w:type="pct"/>
                  <w:tcBorders>
                    <w:tl2br w:val="nil"/>
                    <w:tr2bl w:val="nil"/>
                  </w:tcBorders>
                  <w:vAlign w:val="center"/>
                </w:tcPr>
                <w:p w14:paraId="59F4E367">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SO</w:t>
                  </w:r>
                  <w:r>
                    <w:rPr>
                      <w:rFonts w:hint="default" w:ascii="Times New Roman" w:hAnsi="Times New Roman" w:cs="Times New Roman"/>
                      <w:color w:val="auto"/>
                      <w:vertAlign w:val="subscript"/>
                    </w:rPr>
                    <w:t>2</w:t>
                  </w:r>
                </w:p>
              </w:tc>
              <w:tc>
                <w:tcPr>
                  <w:tcW w:w="799" w:type="pct"/>
                  <w:tcBorders>
                    <w:tl2br w:val="nil"/>
                    <w:tr2bl w:val="nil"/>
                  </w:tcBorders>
                  <w:vAlign w:val="center"/>
                </w:tcPr>
                <w:p w14:paraId="35F63805">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500</w:t>
                  </w:r>
                </w:p>
              </w:tc>
              <w:tc>
                <w:tcPr>
                  <w:tcW w:w="860" w:type="pct"/>
                  <w:tcBorders>
                    <w:tl2br w:val="nil"/>
                    <w:tr2bl w:val="nil"/>
                  </w:tcBorders>
                  <w:vAlign w:val="center"/>
                </w:tcPr>
                <w:p w14:paraId="621822EE">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150</w:t>
                  </w:r>
                </w:p>
              </w:tc>
              <w:tc>
                <w:tcPr>
                  <w:tcW w:w="556" w:type="pct"/>
                  <w:tcBorders>
                    <w:tl2br w:val="nil"/>
                    <w:tr2bl w:val="nil"/>
                  </w:tcBorders>
                  <w:vAlign w:val="center"/>
                </w:tcPr>
                <w:p w14:paraId="40041CB7">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60</w:t>
                  </w:r>
                </w:p>
              </w:tc>
              <w:tc>
                <w:tcPr>
                  <w:tcW w:w="551" w:type="pct"/>
                  <w:vMerge w:val="restart"/>
                  <w:tcBorders>
                    <w:tl2br w:val="nil"/>
                    <w:tr2bl w:val="nil"/>
                  </w:tcBorders>
                  <w:vAlign w:val="center"/>
                </w:tcPr>
                <w:p w14:paraId="5282A8FE">
                  <w:pPr>
                    <w:pStyle w:val="64"/>
                    <w:widowControl w:val="0"/>
                    <w:adjustRightInd w:val="0"/>
                    <w:snapToGrid w:val="0"/>
                    <w:rPr>
                      <w:rFonts w:hint="default" w:ascii="Times New Roman" w:hAnsi="Times New Roman" w:cs="Times New Roman"/>
                      <w:color w:val="auto"/>
                    </w:rPr>
                  </w:pPr>
                  <w:bookmarkStart w:id="144" w:name="OLE_LINK24"/>
                  <w:r>
                    <w:rPr>
                      <w:rFonts w:hint="default" w:ascii="Times New Roman" w:hAnsi="Times New Roman" w:cs="Times New Roman"/>
                      <w:color w:val="auto"/>
                    </w:rPr>
                    <w:t>μg/m</w:t>
                  </w:r>
                  <w:r>
                    <w:rPr>
                      <w:rFonts w:hint="default" w:ascii="Times New Roman" w:hAnsi="Times New Roman" w:cs="Times New Roman"/>
                      <w:color w:val="auto"/>
                      <w:vertAlign w:val="superscript"/>
                    </w:rPr>
                    <w:t>3</w:t>
                  </w:r>
                  <w:bookmarkEnd w:id="144"/>
                </w:p>
              </w:tc>
              <w:tc>
                <w:tcPr>
                  <w:tcW w:w="1451" w:type="pct"/>
                  <w:vMerge w:val="restart"/>
                  <w:tcBorders>
                    <w:tl2br w:val="nil"/>
                    <w:tr2bl w:val="nil"/>
                  </w:tcBorders>
                  <w:vAlign w:val="center"/>
                </w:tcPr>
                <w:p w14:paraId="2856E715">
                  <w:pPr>
                    <w:pStyle w:val="64"/>
                    <w:widowControl w:val="0"/>
                    <w:adjustRightInd w:val="0"/>
                    <w:snapToGrid w:val="0"/>
                    <w:rPr>
                      <w:rFonts w:hint="default" w:ascii="Times New Roman" w:hAnsi="Times New Roman" w:eastAsia="宋体" w:cs="Times New Roman"/>
                      <w:color w:val="auto"/>
                    </w:rPr>
                  </w:pPr>
                  <w:r>
                    <w:rPr>
                      <w:rFonts w:hint="default" w:ascii="Times New Roman" w:hAnsi="Times New Roman" w:cs="Times New Roman"/>
                      <w:color w:val="auto"/>
                    </w:rPr>
                    <w:t>《环境空气质量标准》（GB 3095-2026）</w:t>
                  </w:r>
                  <w:r>
                    <w:rPr>
                      <w:rFonts w:hint="default" w:ascii="Times New Roman" w:hAnsi="Times New Roman" w:eastAsia="宋体" w:cs="Times New Roman"/>
                      <w:color w:val="auto"/>
                    </w:rPr>
                    <w:t>表1</w:t>
                  </w:r>
                </w:p>
                <w:p w14:paraId="1E925545">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过渡阶段二级标准</w:t>
                  </w:r>
                </w:p>
              </w:tc>
            </w:tr>
            <w:tr w14:paraId="2E356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2" w:type="pct"/>
                  <w:tcBorders>
                    <w:tl2br w:val="nil"/>
                    <w:tr2bl w:val="nil"/>
                  </w:tcBorders>
                  <w:vAlign w:val="center"/>
                </w:tcPr>
                <w:p w14:paraId="5CF04738">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NO</w:t>
                  </w:r>
                  <w:r>
                    <w:rPr>
                      <w:rFonts w:hint="default" w:ascii="Times New Roman" w:hAnsi="Times New Roman" w:cs="Times New Roman"/>
                      <w:color w:val="auto"/>
                      <w:vertAlign w:val="subscript"/>
                    </w:rPr>
                    <w:t>2</w:t>
                  </w:r>
                </w:p>
              </w:tc>
              <w:tc>
                <w:tcPr>
                  <w:tcW w:w="799" w:type="pct"/>
                  <w:tcBorders>
                    <w:tl2br w:val="nil"/>
                    <w:tr2bl w:val="nil"/>
                  </w:tcBorders>
                  <w:vAlign w:val="center"/>
                </w:tcPr>
                <w:p w14:paraId="20903AF5">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200</w:t>
                  </w:r>
                </w:p>
              </w:tc>
              <w:tc>
                <w:tcPr>
                  <w:tcW w:w="860" w:type="pct"/>
                  <w:tcBorders>
                    <w:tl2br w:val="nil"/>
                    <w:tr2bl w:val="nil"/>
                  </w:tcBorders>
                  <w:vAlign w:val="center"/>
                </w:tcPr>
                <w:p w14:paraId="0044E437">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80</w:t>
                  </w:r>
                </w:p>
              </w:tc>
              <w:tc>
                <w:tcPr>
                  <w:tcW w:w="556" w:type="pct"/>
                  <w:tcBorders>
                    <w:tl2br w:val="nil"/>
                    <w:tr2bl w:val="nil"/>
                  </w:tcBorders>
                  <w:vAlign w:val="center"/>
                </w:tcPr>
                <w:p w14:paraId="147FD5E9">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40</w:t>
                  </w:r>
                </w:p>
              </w:tc>
              <w:tc>
                <w:tcPr>
                  <w:tcW w:w="551" w:type="pct"/>
                  <w:vMerge w:val="continue"/>
                  <w:tcBorders>
                    <w:tl2br w:val="nil"/>
                    <w:tr2bl w:val="nil"/>
                  </w:tcBorders>
                  <w:vAlign w:val="center"/>
                </w:tcPr>
                <w:p w14:paraId="708B8C66">
                  <w:pPr>
                    <w:pStyle w:val="64"/>
                    <w:widowControl w:val="0"/>
                    <w:adjustRightInd w:val="0"/>
                    <w:snapToGrid w:val="0"/>
                    <w:rPr>
                      <w:rFonts w:hint="default" w:ascii="Times New Roman" w:hAnsi="Times New Roman" w:cs="Times New Roman"/>
                      <w:color w:val="auto"/>
                    </w:rPr>
                  </w:pPr>
                </w:p>
              </w:tc>
              <w:tc>
                <w:tcPr>
                  <w:tcW w:w="1451" w:type="pct"/>
                  <w:vMerge w:val="continue"/>
                  <w:tcBorders>
                    <w:tl2br w:val="nil"/>
                    <w:tr2bl w:val="nil"/>
                  </w:tcBorders>
                  <w:vAlign w:val="center"/>
                </w:tcPr>
                <w:p w14:paraId="6FB75411">
                  <w:pPr>
                    <w:pStyle w:val="64"/>
                    <w:widowControl w:val="0"/>
                    <w:adjustRightInd w:val="0"/>
                    <w:snapToGrid w:val="0"/>
                    <w:rPr>
                      <w:rFonts w:hint="default" w:ascii="Times New Roman" w:hAnsi="Times New Roman" w:cs="Times New Roman"/>
                      <w:color w:val="auto"/>
                    </w:rPr>
                  </w:pPr>
                </w:p>
              </w:tc>
            </w:tr>
            <w:tr w14:paraId="22D16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2" w:type="pct"/>
                  <w:tcBorders>
                    <w:tl2br w:val="nil"/>
                    <w:tr2bl w:val="nil"/>
                  </w:tcBorders>
                  <w:vAlign w:val="center"/>
                </w:tcPr>
                <w:p w14:paraId="2975764F">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CO</w:t>
                  </w:r>
                </w:p>
              </w:tc>
              <w:tc>
                <w:tcPr>
                  <w:tcW w:w="799" w:type="pct"/>
                  <w:tcBorders>
                    <w:tl2br w:val="nil"/>
                    <w:tr2bl w:val="nil"/>
                  </w:tcBorders>
                  <w:vAlign w:val="center"/>
                </w:tcPr>
                <w:p w14:paraId="7EAF8229">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10</w:t>
                  </w:r>
                </w:p>
              </w:tc>
              <w:tc>
                <w:tcPr>
                  <w:tcW w:w="860" w:type="pct"/>
                  <w:tcBorders>
                    <w:tl2br w:val="nil"/>
                    <w:tr2bl w:val="nil"/>
                  </w:tcBorders>
                  <w:vAlign w:val="center"/>
                </w:tcPr>
                <w:p w14:paraId="1831D83B">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4</w:t>
                  </w:r>
                </w:p>
              </w:tc>
              <w:tc>
                <w:tcPr>
                  <w:tcW w:w="556" w:type="pct"/>
                  <w:tcBorders>
                    <w:tl2br w:val="nil"/>
                    <w:tr2bl w:val="nil"/>
                  </w:tcBorders>
                  <w:vAlign w:val="center"/>
                </w:tcPr>
                <w:p w14:paraId="1045BFE9">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w:t>
                  </w:r>
                </w:p>
              </w:tc>
              <w:tc>
                <w:tcPr>
                  <w:tcW w:w="551" w:type="pct"/>
                  <w:vMerge w:val="continue"/>
                  <w:tcBorders>
                    <w:tl2br w:val="nil"/>
                    <w:tr2bl w:val="nil"/>
                  </w:tcBorders>
                  <w:vAlign w:val="center"/>
                </w:tcPr>
                <w:p w14:paraId="4C0B3880">
                  <w:pPr>
                    <w:pStyle w:val="64"/>
                    <w:widowControl w:val="0"/>
                    <w:adjustRightInd w:val="0"/>
                    <w:snapToGrid w:val="0"/>
                    <w:rPr>
                      <w:rFonts w:hint="default" w:ascii="Times New Roman" w:hAnsi="Times New Roman" w:cs="Times New Roman"/>
                      <w:color w:val="auto"/>
                    </w:rPr>
                  </w:pPr>
                </w:p>
              </w:tc>
              <w:tc>
                <w:tcPr>
                  <w:tcW w:w="1451" w:type="pct"/>
                  <w:vMerge w:val="continue"/>
                  <w:tcBorders>
                    <w:tl2br w:val="nil"/>
                    <w:tr2bl w:val="nil"/>
                  </w:tcBorders>
                  <w:vAlign w:val="center"/>
                </w:tcPr>
                <w:p w14:paraId="656A713A">
                  <w:pPr>
                    <w:pStyle w:val="64"/>
                    <w:widowControl w:val="0"/>
                    <w:adjustRightInd w:val="0"/>
                    <w:snapToGrid w:val="0"/>
                    <w:rPr>
                      <w:rFonts w:hint="default" w:ascii="Times New Roman" w:hAnsi="Times New Roman" w:cs="Times New Roman"/>
                      <w:color w:val="auto"/>
                    </w:rPr>
                  </w:pPr>
                </w:p>
              </w:tc>
            </w:tr>
            <w:tr w14:paraId="7C6C1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2" w:type="pct"/>
                  <w:tcBorders>
                    <w:tl2br w:val="nil"/>
                    <w:tr2bl w:val="nil"/>
                  </w:tcBorders>
                  <w:vAlign w:val="center"/>
                </w:tcPr>
                <w:p w14:paraId="2E388A56">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O</w:t>
                  </w:r>
                  <w:r>
                    <w:rPr>
                      <w:rFonts w:hint="default" w:ascii="Times New Roman" w:hAnsi="Times New Roman" w:cs="Times New Roman"/>
                      <w:color w:val="auto"/>
                      <w:vertAlign w:val="subscript"/>
                    </w:rPr>
                    <w:t>3</w:t>
                  </w:r>
                </w:p>
              </w:tc>
              <w:tc>
                <w:tcPr>
                  <w:tcW w:w="799" w:type="pct"/>
                  <w:tcBorders>
                    <w:tl2br w:val="nil"/>
                    <w:tr2bl w:val="nil"/>
                  </w:tcBorders>
                  <w:vAlign w:val="center"/>
                </w:tcPr>
                <w:p w14:paraId="7A562868">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200</w:t>
                  </w:r>
                </w:p>
              </w:tc>
              <w:tc>
                <w:tcPr>
                  <w:tcW w:w="860" w:type="pct"/>
                  <w:tcBorders>
                    <w:tl2br w:val="nil"/>
                    <w:tr2bl w:val="nil"/>
                  </w:tcBorders>
                  <w:vAlign w:val="center"/>
                </w:tcPr>
                <w:p w14:paraId="19A19900">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160（8h）</w:t>
                  </w:r>
                </w:p>
              </w:tc>
              <w:tc>
                <w:tcPr>
                  <w:tcW w:w="556" w:type="pct"/>
                  <w:tcBorders>
                    <w:tl2br w:val="nil"/>
                    <w:tr2bl w:val="nil"/>
                  </w:tcBorders>
                  <w:vAlign w:val="center"/>
                </w:tcPr>
                <w:p w14:paraId="3105D4DC">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w:t>
                  </w:r>
                </w:p>
              </w:tc>
              <w:tc>
                <w:tcPr>
                  <w:tcW w:w="551" w:type="pct"/>
                  <w:vMerge w:val="continue"/>
                  <w:tcBorders>
                    <w:tl2br w:val="nil"/>
                    <w:tr2bl w:val="nil"/>
                  </w:tcBorders>
                  <w:vAlign w:val="center"/>
                </w:tcPr>
                <w:p w14:paraId="18F2316F">
                  <w:pPr>
                    <w:pStyle w:val="64"/>
                    <w:widowControl w:val="0"/>
                    <w:adjustRightInd w:val="0"/>
                    <w:snapToGrid w:val="0"/>
                    <w:rPr>
                      <w:rFonts w:hint="default" w:ascii="Times New Roman" w:hAnsi="Times New Roman" w:cs="Times New Roman"/>
                      <w:color w:val="auto"/>
                    </w:rPr>
                  </w:pPr>
                </w:p>
              </w:tc>
              <w:tc>
                <w:tcPr>
                  <w:tcW w:w="1451" w:type="pct"/>
                  <w:vMerge w:val="continue"/>
                  <w:tcBorders>
                    <w:tl2br w:val="nil"/>
                    <w:tr2bl w:val="nil"/>
                  </w:tcBorders>
                  <w:vAlign w:val="center"/>
                </w:tcPr>
                <w:p w14:paraId="7F2A4EFD">
                  <w:pPr>
                    <w:pStyle w:val="64"/>
                    <w:widowControl w:val="0"/>
                    <w:adjustRightInd w:val="0"/>
                    <w:snapToGrid w:val="0"/>
                    <w:rPr>
                      <w:rFonts w:hint="default" w:ascii="Times New Roman" w:hAnsi="Times New Roman" w:cs="Times New Roman"/>
                      <w:color w:val="auto"/>
                    </w:rPr>
                  </w:pPr>
                </w:p>
              </w:tc>
            </w:tr>
            <w:tr w14:paraId="443A5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2" w:type="pct"/>
                  <w:tcBorders>
                    <w:tl2br w:val="nil"/>
                    <w:tr2bl w:val="nil"/>
                  </w:tcBorders>
                  <w:vAlign w:val="center"/>
                </w:tcPr>
                <w:p w14:paraId="1211CE70">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PM</w:t>
                  </w:r>
                  <w:r>
                    <w:rPr>
                      <w:rFonts w:hint="default" w:ascii="Times New Roman" w:hAnsi="Times New Roman" w:cs="Times New Roman"/>
                      <w:color w:val="auto"/>
                      <w:vertAlign w:val="subscript"/>
                    </w:rPr>
                    <w:t>10</w:t>
                  </w:r>
                </w:p>
              </w:tc>
              <w:tc>
                <w:tcPr>
                  <w:tcW w:w="799" w:type="pct"/>
                  <w:tcBorders>
                    <w:tl2br w:val="nil"/>
                    <w:tr2bl w:val="nil"/>
                  </w:tcBorders>
                  <w:vAlign w:val="center"/>
                </w:tcPr>
                <w:p w14:paraId="731FA881">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w:t>
                  </w:r>
                </w:p>
              </w:tc>
              <w:tc>
                <w:tcPr>
                  <w:tcW w:w="860" w:type="pct"/>
                  <w:tcBorders>
                    <w:tl2br w:val="nil"/>
                    <w:tr2bl w:val="nil"/>
                  </w:tcBorders>
                  <w:vAlign w:val="center"/>
                </w:tcPr>
                <w:p w14:paraId="608F21CC">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120</w:t>
                  </w:r>
                </w:p>
              </w:tc>
              <w:tc>
                <w:tcPr>
                  <w:tcW w:w="556" w:type="pct"/>
                  <w:tcBorders>
                    <w:tl2br w:val="nil"/>
                    <w:tr2bl w:val="nil"/>
                  </w:tcBorders>
                  <w:vAlign w:val="center"/>
                </w:tcPr>
                <w:p w14:paraId="20D8112D">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60</w:t>
                  </w:r>
                </w:p>
              </w:tc>
              <w:tc>
                <w:tcPr>
                  <w:tcW w:w="551" w:type="pct"/>
                  <w:vMerge w:val="continue"/>
                  <w:tcBorders>
                    <w:tl2br w:val="nil"/>
                    <w:tr2bl w:val="nil"/>
                  </w:tcBorders>
                  <w:vAlign w:val="center"/>
                </w:tcPr>
                <w:p w14:paraId="5BA1E29F">
                  <w:pPr>
                    <w:pStyle w:val="64"/>
                    <w:widowControl w:val="0"/>
                    <w:adjustRightInd w:val="0"/>
                    <w:snapToGrid w:val="0"/>
                    <w:rPr>
                      <w:rFonts w:hint="default" w:ascii="Times New Roman" w:hAnsi="Times New Roman" w:cs="Times New Roman"/>
                      <w:color w:val="auto"/>
                    </w:rPr>
                  </w:pPr>
                </w:p>
              </w:tc>
              <w:tc>
                <w:tcPr>
                  <w:tcW w:w="1451" w:type="pct"/>
                  <w:vMerge w:val="continue"/>
                  <w:tcBorders>
                    <w:tl2br w:val="nil"/>
                    <w:tr2bl w:val="nil"/>
                  </w:tcBorders>
                  <w:vAlign w:val="center"/>
                </w:tcPr>
                <w:p w14:paraId="020AF196">
                  <w:pPr>
                    <w:pStyle w:val="64"/>
                    <w:widowControl w:val="0"/>
                    <w:adjustRightInd w:val="0"/>
                    <w:snapToGrid w:val="0"/>
                    <w:rPr>
                      <w:rFonts w:hint="default" w:ascii="Times New Roman" w:hAnsi="Times New Roman" w:cs="Times New Roman"/>
                      <w:color w:val="auto"/>
                    </w:rPr>
                  </w:pPr>
                </w:p>
              </w:tc>
            </w:tr>
            <w:tr w14:paraId="4FC26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2" w:type="pct"/>
                  <w:tcBorders>
                    <w:tl2br w:val="nil"/>
                    <w:tr2bl w:val="nil"/>
                  </w:tcBorders>
                  <w:vAlign w:val="center"/>
                </w:tcPr>
                <w:p w14:paraId="59D04404">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PM</w:t>
                  </w:r>
                  <w:r>
                    <w:rPr>
                      <w:rFonts w:hint="default" w:ascii="Times New Roman" w:hAnsi="Times New Roman" w:cs="Times New Roman"/>
                      <w:color w:val="auto"/>
                      <w:vertAlign w:val="subscript"/>
                    </w:rPr>
                    <w:t>2.5</w:t>
                  </w:r>
                </w:p>
              </w:tc>
              <w:tc>
                <w:tcPr>
                  <w:tcW w:w="799" w:type="pct"/>
                  <w:tcBorders>
                    <w:tl2br w:val="nil"/>
                    <w:tr2bl w:val="nil"/>
                  </w:tcBorders>
                  <w:vAlign w:val="center"/>
                </w:tcPr>
                <w:p w14:paraId="689FF4CF">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w:t>
                  </w:r>
                </w:p>
              </w:tc>
              <w:tc>
                <w:tcPr>
                  <w:tcW w:w="860" w:type="pct"/>
                  <w:tcBorders>
                    <w:tl2br w:val="nil"/>
                    <w:tr2bl w:val="nil"/>
                  </w:tcBorders>
                  <w:vAlign w:val="center"/>
                </w:tcPr>
                <w:p w14:paraId="51863D6D">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60</w:t>
                  </w:r>
                </w:p>
              </w:tc>
              <w:tc>
                <w:tcPr>
                  <w:tcW w:w="556" w:type="pct"/>
                  <w:tcBorders>
                    <w:tl2br w:val="nil"/>
                    <w:tr2bl w:val="nil"/>
                  </w:tcBorders>
                  <w:vAlign w:val="center"/>
                </w:tcPr>
                <w:p w14:paraId="3B2D9D5C">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30</w:t>
                  </w:r>
                </w:p>
              </w:tc>
              <w:tc>
                <w:tcPr>
                  <w:tcW w:w="551" w:type="pct"/>
                  <w:vMerge w:val="continue"/>
                  <w:tcBorders>
                    <w:tl2br w:val="nil"/>
                    <w:tr2bl w:val="nil"/>
                  </w:tcBorders>
                  <w:vAlign w:val="center"/>
                </w:tcPr>
                <w:p w14:paraId="5B107295">
                  <w:pPr>
                    <w:pStyle w:val="64"/>
                    <w:widowControl w:val="0"/>
                    <w:adjustRightInd w:val="0"/>
                    <w:snapToGrid w:val="0"/>
                    <w:rPr>
                      <w:rFonts w:hint="default" w:ascii="Times New Roman" w:hAnsi="Times New Roman" w:cs="Times New Roman"/>
                      <w:color w:val="auto"/>
                    </w:rPr>
                  </w:pPr>
                </w:p>
              </w:tc>
              <w:tc>
                <w:tcPr>
                  <w:tcW w:w="1451" w:type="pct"/>
                  <w:vMerge w:val="continue"/>
                  <w:tcBorders>
                    <w:tl2br w:val="nil"/>
                    <w:tr2bl w:val="nil"/>
                  </w:tcBorders>
                  <w:vAlign w:val="center"/>
                </w:tcPr>
                <w:p w14:paraId="643C29FF">
                  <w:pPr>
                    <w:pStyle w:val="64"/>
                    <w:widowControl w:val="0"/>
                    <w:adjustRightInd w:val="0"/>
                    <w:snapToGrid w:val="0"/>
                    <w:rPr>
                      <w:rFonts w:hint="default" w:ascii="Times New Roman" w:hAnsi="Times New Roman" w:cs="Times New Roman"/>
                      <w:color w:val="auto"/>
                    </w:rPr>
                  </w:pPr>
                </w:p>
              </w:tc>
            </w:tr>
            <w:tr w14:paraId="29D5A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2" w:type="pct"/>
                  <w:tcBorders>
                    <w:tl2br w:val="nil"/>
                    <w:tr2bl w:val="nil"/>
                  </w:tcBorders>
                  <w:vAlign w:val="center"/>
                </w:tcPr>
                <w:p w14:paraId="537BD717">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NOx</w:t>
                  </w:r>
                </w:p>
              </w:tc>
              <w:tc>
                <w:tcPr>
                  <w:tcW w:w="799" w:type="pct"/>
                  <w:tcBorders>
                    <w:tl2br w:val="nil"/>
                    <w:tr2bl w:val="nil"/>
                  </w:tcBorders>
                  <w:vAlign w:val="center"/>
                </w:tcPr>
                <w:p w14:paraId="0182AC67">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250</w:t>
                  </w:r>
                </w:p>
              </w:tc>
              <w:tc>
                <w:tcPr>
                  <w:tcW w:w="860" w:type="pct"/>
                  <w:tcBorders>
                    <w:tl2br w:val="nil"/>
                    <w:tr2bl w:val="nil"/>
                  </w:tcBorders>
                  <w:vAlign w:val="center"/>
                </w:tcPr>
                <w:p w14:paraId="5969D109">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100</w:t>
                  </w:r>
                </w:p>
              </w:tc>
              <w:tc>
                <w:tcPr>
                  <w:tcW w:w="556" w:type="pct"/>
                  <w:tcBorders>
                    <w:tl2br w:val="nil"/>
                    <w:tr2bl w:val="nil"/>
                  </w:tcBorders>
                  <w:vAlign w:val="center"/>
                </w:tcPr>
                <w:p w14:paraId="53492ACD">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50</w:t>
                  </w:r>
                </w:p>
              </w:tc>
              <w:tc>
                <w:tcPr>
                  <w:tcW w:w="551" w:type="pct"/>
                  <w:vMerge w:val="continue"/>
                  <w:tcBorders>
                    <w:tl2br w:val="nil"/>
                    <w:tr2bl w:val="nil"/>
                  </w:tcBorders>
                  <w:vAlign w:val="center"/>
                </w:tcPr>
                <w:p w14:paraId="293A19F7">
                  <w:pPr>
                    <w:pStyle w:val="64"/>
                    <w:widowControl w:val="0"/>
                    <w:adjustRightInd w:val="0"/>
                    <w:snapToGrid w:val="0"/>
                    <w:rPr>
                      <w:rFonts w:hint="default" w:ascii="Times New Roman" w:hAnsi="Times New Roman" w:cs="Times New Roman"/>
                      <w:color w:val="auto"/>
                    </w:rPr>
                  </w:pPr>
                </w:p>
              </w:tc>
              <w:tc>
                <w:tcPr>
                  <w:tcW w:w="1451" w:type="pct"/>
                  <w:vMerge w:val="continue"/>
                  <w:tcBorders>
                    <w:tl2br w:val="nil"/>
                    <w:tr2bl w:val="nil"/>
                  </w:tcBorders>
                  <w:vAlign w:val="center"/>
                </w:tcPr>
                <w:p w14:paraId="2BCEA7AA">
                  <w:pPr>
                    <w:pStyle w:val="64"/>
                    <w:widowControl w:val="0"/>
                    <w:adjustRightInd w:val="0"/>
                    <w:snapToGrid w:val="0"/>
                    <w:rPr>
                      <w:rFonts w:hint="default" w:ascii="Times New Roman" w:hAnsi="Times New Roman" w:cs="Times New Roman"/>
                      <w:color w:val="auto"/>
                    </w:rPr>
                  </w:pPr>
                </w:p>
              </w:tc>
            </w:tr>
            <w:tr w14:paraId="633ED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2" w:type="pct"/>
                  <w:tcBorders>
                    <w:tl2br w:val="nil"/>
                    <w:tr2bl w:val="nil"/>
                  </w:tcBorders>
                  <w:vAlign w:val="center"/>
                </w:tcPr>
                <w:p w14:paraId="52F1F990">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TSP</w:t>
                  </w:r>
                </w:p>
              </w:tc>
              <w:tc>
                <w:tcPr>
                  <w:tcW w:w="799" w:type="pct"/>
                  <w:tcBorders>
                    <w:tl2br w:val="nil"/>
                    <w:tr2bl w:val="nil"/>
                  </w:tcBorders>
                  <w:vAlign w:val="center"/>
                </w:tcPr>
                <w:p w14:paraId="4DC16F7C">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w:t>
                  </w:r>
                </w:p>
              </w:tc>
              <w:tc>
                <w:tcPr>
                  <w:tcW w:w="860" w:type="pct"/>
                  <w:tcBorders>
                    <w:tl2br w:val="nil"/>
                    <w:tr2bl w:val="nil"/>
                  </w:tcBorders>
                  <w:vAlign w:val="center"/>
                </w:tcPr>
                <w:p w14:paraId="7256ABB0">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300</w:t>
                  </w:r>
                </w:p>
              </w:tc>
              <w:tc>
                <w:tcPr>
                  <w:tcW w:w="556" w:type="pct"/>
                  <w:tcBorders>
                    <w:tl2br w:val="nil"/>
                    <w:tr2bl w:val="nil"/>
                  </w:tcBorders>
                  <w:vAlign w:val="center"/>
                </w:tcPr>
                <w:p w14:paraId="5FA914EB">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200</w:t>
                  </w:r>
                </w:p>
              </w:tc>
              <w:tc>
                <w:tcPr>
                  <w:tcW w:w="551" w:type="pct"/>
                  <w:tcBorders>
                    <w:tl2br w:val="nil"/>
                    <w:tr2bl w:val="nil"/>
                  </w:tcBorders>
                  <w:vAlign w:val="center"/>
                </w:tcPr>
                <w:p w14:paraId="1ACDDE7C">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μg/m</w:t>
                  </w:r>
                  <w:r>
                    <w:rPr>
                      <w:rFonts w:hint="default" w:ascii="Times New Roman" w:hAnsi="Times New Roman" w:cs="Times New Roman"/>
                      <w:color w:val="auto"/>
                      <w:vertAlign w:val="superscript"/>
                    </w:rPr>
                    <w:t>3</w:t>
                  </w:r>
                </w:p>
              </w:tc>
              <w:tc>
                <w:tcPr>
                  <w:tcW w:w="1451" w:type="pct"/>
                  <w:tcBorders>
                    <w:tl2br w:val="nil"/>
                    <w:tr2bl w:val="nil"/>
                  </w:tcBorders>
                  <w:vAlign w:val="center"/>
                </w:tcPr>
                <w:p w14:paraId="478DADF6">
                  <w:pPr>
                    <w:pStyle w:val="64"/>
                    <w:widowControl w:val="0"/>
                    <w:adjustRightInd w:val="0"/>
                    <w:snapToGrid w:val="0"/>
                    <w:rPr>
                      <w:rFonts w:hint="default" w:ascii="Times New Roman" w:hAnsi="Times New Roman" w:eastAsia="宋体" w:cs="Times New Roman"/>
                      <w:color w:val="auto"/>
                    </w:rPr>
                  </w:pPr>
                  <w:r>
                    <w:rPr>
                      <w:rFonts w:hint="default" w:ascii="Times New Roman" w:hAnsi="Times New Roman" w:cs="Times New Roman"/>
                      <w:color w:val="auto"/>
                    </w:rPr>
                    <w:t>《环境空气质量标准》（GB 3095-2026）</w:t>
                  </w:r>
                  <w:r>
                    <w:rPr>
                      <w:rFonts w:hint="default" w:ascii="Times New Roman" w:hAnsi="Times New Roman" w:eastAsia="宋体" w:cs="Times New Roman"/>
                      <w:color w:val="auto"/>
                    </w:rPr>
                    <w:t>表2</w:t>
                  </w:r>
                </w:p>
                <w:p w14:paraId="6C12D2B6">
                  <w:pPr>
                    <w:pStyle w:val="64"/>
                    <w:widowControl w:val="0"/>
                    <w:adjustRightInd w:val="0"/>
                    <w:snapToGrid w:val="0"/>
                    <w:rPr>
                      <w:rFonts w:hint="default" w:ascii="Times New Roman" w:hAnsi="Times New Roman" w:cs="Times New Roman"/>
                      <w:color w:val="auto"/>
                    </w:rPr>
                  </w:pPr>
                  <w:r>
                    <w:rPr>
                      <w:rFonts w:hint="default" w:ascii="Times New Roman" w:hAnsi="Times New Roman" w:cs="Times New Roman"/>
                      <w:color w:val="auto"/>
                    </w:rPr>
                    <w:t>二级标准</w:t>
                  </w:r>
                </w:p>
              </w:tc>
            </w:tr>
          </w:tbl>
          <w:p w14:paraId="61F3A7F4">
            <w:pPr>
              <w:adjustRightInd w:val="0"/>
              <w:snapToGrid w:val="0"/>
              <w:spacing w:line="360" w:lineRule="auto"/>
              <w:jc w:val="lef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注：本标准自实施之日起至2030年12月31日，环境空气污染物基本项目实施过渡阶段浓度限值；2031年1月1日起，在全国范围内实施基本项目浓度限值</w:t>
            </w:r>
          </w:p>
          <w:p w14:paraId="0D617DF3">
            <w:pPr>
              <w:pStyle w:val="103"/>
              <w:keepNext w:val="0"/>
              <w:keepLines w:val="0"/>
              <w:pageBreakBefore w:val="0"/>
              <w:widowControl w:val="0"/>
              <w:kinsoku/>
              <w:wordWrap/>
              <w:overflowPunct/>
              <w:topLinePunct w:val="0"/>
              <w:autoSpaceDE/>
              <w:autoSpaceDN/>
              <w:bidi w:val="0"/>
              <w:adjustRightInd w:val="0"/>
              <w:snapToGrid w:val="0"/>
              <w:spacing w:before="190" w:beforeLines="50"/>
              <w:textAlignment w:val="auto"/>
              <w:rPr>
                <w:rFonts w:hint="default" w:ascii="Times New Roman" w:hAnsi="Times New Roman" w:cs="Times New Roman"/>
                <w:color w:val="auto"/>
                <w:sz w:val="24"/>
              </w:rPr>
            </w:pPr>
            <w:r>
              <w:rPr>
                <w:rFonts w:hint="default" w:ascii="Times New Roman" w:hAnsi="Times New Roman" w:cs="Times New Roman"/>
                <w:color w:val="auto"/>
                <w:sz w:val="24"/>
              </w:rPr>
              <w:t>根据《2024年三明市生态环境状况公报》，2024年市区空气质量达标天数比例为99.2%，空气质量综合指数为2.54；二氧化硫、⼆氧化氮、可吸入颗粒物、细颗粒物、⼀氧化碳、臭氧六项主要污染物的年均值都达到或优于二级标准。10个县（市、区）环境空气质量年均值均达到或优于⼆级标准；达标天数比例范围为99.2%～100%，空气质量综合指数范围为1.38—2.26，除永安市首要污染物为PM10外，其余各县（区）⾸要污染物均为臭氧。</w:t>
            </w:r>
          </w:p>
          <w:p w14:paraId="6972B93B">
            <w:pPr>
              <w:pStyle w:val="83"/>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sz w:val="24"/>
              </w:rPr>
            </w:pPr>
            <w:r>
              <w:rPr>
                <w:rFonts w:hint="default" w:ascii="Times New Roman" w:hAnsi="Times New Roman" w:cs="Times New Roman"/>
                <w:color w:val="auto"/>
                <w:kern w:val="0"/>
                <w:sz w:val="24"/>
              </w:rPr>
              <w:t>项目位于福建省三明市沙县节能南路198号，所在区域 PM</w:t>
            </w:r>
            <w:r>
              <w:rPr>
                <w:rFonts w:hint="default" w:ascii="Times New Roman" w:hAnsi="Times New Roman" w:cs="Times New Roman"/>
                <w:color w:val="auto"/>
                <w:kern w:val="0"/>
                <w:sz w:val="24"/>
                <w:vertAlign w:val="subscript"/>
              </w:rPr>
              <w:t>10</w:t>
            </w:r>
            <w:r>
              <w:rPr>
                <w:rFonts w:hint="default" w:ascii="Times New Roman" w:hAnsi="Times New Roman" w:cs="Times New Roman"/>
                <w:color w:val="auto"/>
                <w:kern w:val="0"/>
                <w:sz w:val="24"/>
              </w:rPr>
              <w:t>、PM</w:t>
            </w:r>
            <w:r>
              <w:rPr>
                <w:rFonts w:hint="default" w:ascii="Times New Roman" w:hAnsi="Times New Roman" w:cs="Times New Roman"/>
                <w:color w:val="auto"/>
                <w:kern w:val="0"/>
                <w:sz w:val="24"/>
                <w:vertAlign w:val="subscript"/>
              </w:rPr>
              <w:t>2.5</w:t>
            </w:r>
            <w:r>
              <w:rPr>
                <w:rFonts w:hint="default" w:ascii="Times New Roman" w:hAnsi="Times New Roman" w:cs="Times New Roman"/>
                <w:color w:val="auto"/>
                <w:kern w:val="0"/>
                <w:sz w:val="24"/>
              </w:rPr>
              <w:t>、SO</w:t>
            </w:r>
            <w:r>
              <w:rPr>
                <w:rFonts w:hint="default" w:ascii="Times New Roman" w:hAnsi="Times New Roman" w:cs="Times New Roman"/>
                <w:color w:val="auto"/>
                <w:kern w:val="0"/>
                <w:sz w:val="24"/>
                <w:vertAlign w:val="subscript"/>
              </w:rPr>
              <w:t>2</w:t>
            </w:r>
            <w:r>
              <w:rPr>
                <w:rFonts w:hint="default" w:ascii="Times New Roman" w:hAnsi="Times New Roman" w:cs="Times New Roman"/>
                <w:color w:val="auto"/>
                <w:kern w:val="0"/>
                <w:sz w:val="24"/>
              </w:rPr>
              <w:t>、NO</w:t>
            </w:r>
            <w:r>
              <w:rPr>
                <w:rFonts w:hint="default" w:ascii="Times New Roman" w:hAnsi="Times New Roman" w:cs="Times New Roman"/>
                <w:color w:val="auto"/>
                <w:kern w:val="0"/>
                <w:sz w:val="24"/>
                <w:vertAlign w:val="subscript"/>
              </w:rPr>
              <w:t>2</w:t>
            </w:r>
            <w:r>
              <w:rPr>
                <w:rFonts w:hint="default" w:ascii="Times New Roman" w:hAnsi="Times New Roman" w:cs="Times New Roman"/>
                <w:color w:val="auto"/>
                <w:kern w:val="0"/>
                <w:sz w:val="24"/>
              </w:rPr>
              <w:t>、CO、O</w:t>
            </w:r>
            <w:r>
              <w:rPr>
                <w:rFonts w:hint="default" w:ascii="Times New Roman" w:hAnsi="Times New Roman" w:cs="Times New Roman"/>
                <w:color w:val="auto"/>
                <w:kern w:val="0"/>
                <w:sz w:val="24"/>
                <w:vertAlign w:val="subscript"/>
              </w:rPr>
              <w:t>3</w:t>
            </w:r>
            <w:r>
              <w:rPr>
                <w:rFonts w:hint="default" w:ascii="Times New Roman" w:hAnsi="Times New Roman" w:cs="Times New Roman"/>
                <w:color w:val="auto"/>
                <w:kern w:val="0"/>
                <w:sz w:val="24"/>
              </w:rPr>
              <w:t>等6个基本污染物均符合《环境空气质量标准》</w:t>
            </w:r>
            <w:r>
              <w:rPr>
                <w:rFonts w:hint="default" w:ascii="Times New Roman" w:hAnsi="Times New Roman" w:cs="Times New Roman"/>
                <w:color w:val="auto"/>
                <w:kern w:val="0"/>
                <w:sz w:val="24"/>
                <w:lang w:eastAsia="zh-CN"/>
              </w:rPr>
              <w:t>（</w:t>
            </w:r>
            <w:r>
              <w:rPr>
                <w:rFonts w:hint="default" w:ascii="Times New Roman" w:hAnsi="Times New Roman" w:cs="Times New Roman"/>
                <w:color w:val="auto"/>
                <w:sz w:val="24"/>
              </w:rPr>
              <w:t>GB 3095-</w:t>
            </w:r>
            <w:r>
              <w:rPr>
                <w:rFonts w:hint="default" w:ascii="Times New Roman" w:hAnsi="Times New Roman" w:cs="Times New Roman"/>
                <w:color w:val="auto"/>
                <w:sz w:val="24"/>
                <w:lang w:val="en-US" w:eastAsia="zh-CN"/>
              </w:rPr>
              <w:t>2012</w:t>
            </w:r>
            <w:r>
              <w:rPr>
                <w:rFonts w:hint="default" w:ascii="Times New Roman" w:hAnsi="Times New Roman" w:cs="Times New Roman"/>
                <w:color w:val="auto"/>
                <w:kern w:val="0"/>
                <w:sz w:val="24"/>
                <w:lang w:eastAsia="zh-CN"/>
              </w:rPr>
              <w:t>）</w:t>
            </w:r>
            <w:r>
              <w:rPr>
                <w:rFonts w:hint="default" w:ascii="Times New Roman" w:hAnsi="Times New Roman" w:cs="Times New Roman"/>
                <w:color w:val="auto"/>
                <w:kern w:val="0"/>
                <w:sz w:val="24"/>
                <w:lang w:val="en-US" w:eastAsia="zh-CN"/>
              </w:rPr>
              <w:t>亦符合</w:t>
            </w:r>
            <w:r>
              <w:rPr>
                <w:rFonts w:hint="default" w:ascii="Times New Roman" w:hAnsi="Times New Roman" w:cs="Times New Roman"/>
                <w:color w:val="auto"/>
                <w:kern w:val="0"/>
                <w:sz w:val="24"/>
              </w:rPr>
              <w:t>《环境空气质量标准》</w:t>
            </w:r>
            <w:r>
              <w:rPr>
                <w:rFonts w:hint="default" w:ascii="Times New Roman" w:hAnsi="Times New Roman" w:cs="Times New Roman"/>
                <w:color w:val="auto"/>
                <w:sz w:val="24"/>
              </w:rPr>
              <w:t>（GB 3095-2026）</w:t>
            </w:r>
            <w:r>
              <w:rPr>
                <w:rFonts w:hint="default" w:ascii="Times New Roman" w:hAnsi="Times New Roman" w:cs="Times New Roman"/>
                <w:color w:val="auto"/>
                <w:kern w:val="0"/>
                <w:sz w:val="24"/>
              </w:rPr>
              <w:t>中的二级标准，</w:t>
            </w:r>
            <w:r>
              <w:rPr>
                <w:rFonts w:hint="default" w:ascii="Times New Roman" w:hAnsi="Times New Roman" w:cs="Times New Roman"/>
                <w:color w:val="auto"/>
                <w:sz w:val="24"/>
              </w:rPr>
              <w:t>项目所在区域属于环境空气质量达标区。</w:t>
            </w:r>
          </w:p>
          <w:p w14:paraId="315686C5">
            <w:pPr>
              <w:pStyle w:val="83"/>
              <w:keepNext w:val="0"/>
              <w:keepLines w:val="0"/>
              <w:pageBreakBefore w:val="0"/>
              <w:widowControl w:val="0"/>
              <w:kinsoku/>
              <w:wordWrap/>
              <w:overflowPunct/>
              <w:topLinePunct w:val="0"/>
              <w:autoSpaceDE/>
              <w:autoSpaceDN/>
              <w:bidi w:val="0"/>
              <w:adjustRightInd w:val="0"/>
              <w:snapToGrid w:val="0"/>
              <w:spacing w:before="115" w:beforeLines="30"/>
              <w:textAlignment w:val="auto"/>
              <w:rPr>
                <w:rFonts w:hint="default" w:ascii="Times New Roman" w:hAnsi="Times New Roman" w:cs="Times New Roman"/>
                <w:color w:val="auto"/>
                <w:sz w:val="24"/>
                <w:lang w:val="en-US"/>
              </w:rPr>
            </w:pPr>
            <w:r>
              <w:rPr>
                <w:rFonts w:hint="default" w:ascii="Times New Roman" w:hAnsi="Times New Roman" w:cs="Times New Roman"/>
                <w:color w:val="auto"/>
                <w:sz w:val="24"/>
                <w:lang w:val="en-US"/>
              </w:rPr>
              <w:t>（2）特征污染物</w:t>
            </w:r>
          </w:p>
          <w:p w14:paraId="3681A844">
            <w:pPr>
              <w:pStyle w:val="83"/>
              <w:adjustRightInd w:val="0"/>
              <w:snapToGrid w:val="0"/>
              <w:rPr>
                <w:rFonts w:hint="default" w:ascii="Times New Roman" w:hAnsi="Times New Roman" w:cs="Times New Roman"/>
                <w:color w:val="auto"/>
                <w:sz w:val="24"/>
                <w:lang w:val="en-US"/>
              </w:rPr>
            </w:pPr>
            <w:r>
              <w:rPr>
                <w:rFonts w:hint="default" w:ascii="Times New Roman" w:hAnsi="Times New Roman" w:cs="Times New Roman"/>
                <w:color w:val="auto"/>
                <w:sz w:val="24"/>
              </w:rPr>
              <w:t>根据生态环境部环境工程评估中心发布的《〈建设项目环境影响报告表〉内容、格式及编制技术指南常见问题解答》第九条：“对《环境空气质量标准》（GB3095）和项目所在地的环境空气质量标准之外的特征污染物无需提供现状监测数据，但应提出对应的污染防治措施”。</w:t>
            </w:r>
            <w:r>
              <w:rPr>
                <w:rFonts w:hint="default" w:ascii="Times New Roman" w:hAnsi="Times New Roman" w:cs="Times New Roman"/>
                <w:color w:val="auto"/>
                <w:sz w:val="24"/>
                <w:lang w:val="en-US"/>
              </w:rPr>
              <w:t>项目主要特征因子为HCl、颗粒物、氨、硫化氢，HCl、氨、硫化氢</w:t>
            </w:r>
            <w:r>
              <w:rPr>
                <w:rFonts w:hint="default" w:ascii="Times New Roman" w:hAnsi="Times New Roman" w:cs="Times New Roman"/>
                <w:color w:val="auto"/>
                <w:sz w:val="24"/>
              </w:rPr>
              <w:t>属于《环境空气质量标准》（GB3095-2012）和所在地的环境空气质量标准之外的特征污染物。</w:t>
            </w:r>
            <w:r>
              <w:rPr>
                <w:rFonts w:hint="default" w:ascii="Times New Roman" w:hAnsi="Times New Roman" w:cs="Times New Roman"/>
                <w:color w:val="auto"/>
                <w:sz w:val="24"/>
                <w:lang w:val="en-US"/>
              </w:rPr>
              <w:t>为了解特征污染物TSP现状，本评价引用</w:t>
            </w:r>
            <w:r>
              <w:rPr>
                <w:rFonts w:hint="default" w:ascii="Times New Roman" w:hAnsi="Times New Roman" w:cs="Times New Roman"/>
                <w:color w:val="auto"/>
                <w:kern w:val="0"/>
                <w:sz w:val="24"/>
                <w:szCs w:val="22"/>
                <w:lang w:val="en-US"/>
              </w:rPr>
              <w:t>《明光新型钢丝生产线项目环境影响报告表》中</w:t>
            </w:r>
            <w:r>
              <w:rPr>
                <w:rFonts w:hint="default" w:ascii="Times New Roman" w:hAnsi="Times New Roman" w:cs="Times New Roman"/>
                <w:color w:val="auto"/>
                <w:kern w:val="0"/>
                <w:sz w:val="24"/>
                <w:lang w:val="en-US"/>
              </w:rPr>
              <w:t>2025年9月24日—9月27日</w:t>
            </w:r>
            <w:r>
              <w:rPr>
                <w:rFonts w:hint="default" w:ascii="Times New Roman" w:hAnsi="Times New Roman" w:cs="Times New Roman"/>
                <w:color w:val="auto"/>
                <w:sz w:val="24"/>
                <w:lang w:val="en-US"/>
              </w:rPr>
              <w:t>在古县村的TSP监测数据，监测点位见表3.1-4和图3.1-1，监测结果见表3.1-4。</w:t>
            </w:r>
          </w:p>
          <w:p w14:paraId="1396FB7E">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表3.1-4  环境空气质量现状特征因子监测点位一览表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1"/>
              <w:gridCol w:w="1738"/>
              <w:gridCol w:w="1660"/>
              <w:gridCol w:w="2441"/>
              <w:gridCol w:w="1563"/>
            </w:tblGrid>
            <w:tr w14:paraId="35923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713" w:type="pct"/>
                  <w:tcBorders>
                    <w:tl2br w:val="nil"/>
                    <w:tr2bl w:val="nil"/>
                  </w:tcBorders>
                  <w:tcMar>
                    <w:top w:w="0" w:type="dxa"/>
                    <w:left w:w="0" w:type="dxa"/>
                    <w:bottom w:w="0" w:type="dxa"/>
                    <w:right w:w="0" w:type="dxa"/>
                  </w:tcMar>
                  <w:vAlign w:val="center"/>
                </w:tcPr>
                <w:p w14:paraId="4DBB9FC0">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监测点位</w:t>
                  </w:r>
                </w:p>
              </w:tc>
              <w:tc>
                <w:tcPr>
                  <w:tcW w:w="1006" w:type="pct"/>
                  <w:tcBorders>
                    <w:tl2br w:val="nil"/>
                    <w:tr2bl w:val="nil"/>
                  </w:tcBorders>
                  <w:tcMar>
                    <w:top w:w="0" w:type="dxa"/>
                    <w:left w:w="0" w:type="dxa"/>
                    <w:bottom w:w="0" w:type="dxa"/>
                    <w:right w:w="0" w:type="dxa"/>
                  </w:tcMar>
                  <w:vAlign w:val="center"/>
                </w:tcPr>
                <w:p w14:paraId="1FAFA946">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坐标</w:t>
                  </w:r>
                </w:p>
              </w:tc>
              <w:tc>
                <w:tcPr>
                  <w:tcW w:w="961" w:type="pct"/>
                  <w:tcBorders>
                    <w:tl2br w:val="nil"/>
                    <w:tr2bl w:val="nil"/>
                  </w:tcBorders>
                  <w:tcMar>
                    <w:top w:w="0" w:type="dxa"/>
                    <w:left w:w="0" w:type="dxa"/>
                    <w:bottom w:w="0" w:type="dxa"/>
                    <w:right w:w="0" w:type="dxa"/>
                  </w:tcMar>
                  <w:vAlign w:val="center"/>
                </w:tcPr>
                <w:p w14:paraId="30BDEC82">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监测项目</w:t>
                  </w:r>
                </w:p>
              </w:tc>
              <w:tc>
                <w:tcPr>
                  <w:tcW w:w="1413" w:type="pct"/>
                  <w:tcBorders>
                    <w:tl2br w:val="nil"/>
                    <w:tr2bl w:val="nil"/>
                  </w:tcBorders>
                  <w:tcMar>
                    <w:top w:w="0" w:type="dxa"/>
                    <w:left w:w="0" w:type="dxa"/>
                    <w:bottom w:w="0" w:type="dxa"/>
                    <w:right w:w="0" w:type="dxa"/>
                  </w:tcMar>
                  <w:vAlign w:val="center"/>
                </w:tcPr>
                <w:p w14:paraId="1561AA3C">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频率</w:t>
                  </w:r>
                </w:p>
              </w:tc>
              <w:tc>
                <w:tcPr>
                  <w:tcW w:w="905" w:type="pct"/>
                  <w:tcBorders>
                    <w:tl2br w:val="nil"/>
                    <w:tr2bl w:val="nil"/>
                  </w:tcBorders>
                  <w:tcMar>
                    <w:top w:w="0" w:type="dxa"/>
                    <w:left w:w="0" w:type="dxa"/>
                    <w:bottom w:w="0" w:type="dxa"/>
                    <w:right w:w="0" w:type="dxa"/>
                  </w:tcMar>
                  <w:vAlign w:val="center"/>
                </w:tcPr>
                <w:p w14:paraId="5B714319">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与本项目距离</w:t>
                  </w:r>
                </w:p>
              </w:tc>
            </w:tr>
            <w:tr w14:paraId="1480A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713" w:type="pct"/>
                  <w:tcBorders>
                    <w:tl2br w:val="nil"/>
                    <w:tr2bl w:val="nil"/>
                  </w:tcBorders>
                  <w:tcMar>
                    <w:top w:w="0" w:type="dxa"/>
                    <w:left w:w="0" w:type="dxa"/>
                    <w:bottom w:w="0" w:type="dxa"/>
                    <w:right w:w="0" w:type="dxa"/>
                  </w:tcMar>
                  <w:vAlign w:val="center"/>
                </w:tcPr>
                <w:p w14:paraId="59B757DE">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古县村</w:t>
                  </w:r>
                </w:p>
              </w:tc>
              <w:tc>
                <w:tcPr>
                  <w:tcW w:w="1006" w:type="pct"/>
                  <w:tcBorders>
                    <w:tl2br w:val="nil"/>
                    <w:tr2bl w:val="nil"/>
                  </w:tcBorders>
                  <w:tcMar>
                    <w:top w:w="0" w:type="dxa"/>
                    <w:left w:w="0" w:type="dxa"/>
                    <w:bottom w:w="0" w:type="dxa"/>
                    <w:right w:w="0" w:type="dxa"/>
                  </w:tcMar>
                  <w:vAlign w:val="center"/>
                </w:tcPr>
                <w:p w14:paraId="2F332A74">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E:117.825432°</w:t>
                  </w:r>
                </w:p>
                <w:p w14:paraId="5B05E831">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N:26.389794°</w:t>
                  </w:r>
                </w:p>
              </w:tc>
              <w:tc>
                <w:tcPr>
                  <w:tcW w:w="961" w:type="pct"/>
                  <w:tcBorders>
                    <w:tl2br w:val="nil"/>
                    <w:tr2bl w:val="nil"/>
                  </w:tcBorders>
                  <w:tcMar>
                    <w:top w:w="0" w:type="dxa"/>
                    <w:left w:w="0" w:type="dxa"/>
                    <w:bottom w:w="0" w:type="dxa"/>
                    <w:right w:w="0" w:type="dxa"/>
                  </w:tcMar>
                  <w:vAlign w:val="center"/>
                </w:tcPr>
                <w:p w14:paraId="504B3026">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日均值：TSP</w:t>
                  </w:r>
                </w:p>
              </w:tc>
              <w:tc>
                <w:tcPr>
                  <w:tcW w:w="1413" w:type="pct"/>
                  <w:tcBorders>
                    <w:tl2br w:val="nil"/>
                    <w:tr2bl w:val="nil"/>
                  </w:tcBorders>
                  <w:tcMar>
                    <w:top w:w="0" w:type="dxa"/>
                    <w:left w:w="0" w:type="dxa"/>
                    <w:bottom w:w="0" w:type="dxa"/>
                    <w:right w:w="0" w:type="dxa"/>
                  </w:tcMar>
                  <w:vAlign w:val="center"/>
                </w:tcPr>
                <w:p w14:paraId="2FD4BE80">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1次/天，连续采样3天</w:t>
                  </w:r>
                </w:p>
              </w:tc>
              <w:tc>
                <w:tcPr>
                  <w:tcW w:w="905" w:type="pct"/>
                  <w:tcBorders>
                    <w:tl2br w:val="nil"/>
                    <w:tr2bl w:val="nil"/>
                  </w:tcBorders>
                  <w:tcMar>
                    <w:top w:w="0" w:type="dxa"/>
                    <w:left w:w="0" w:type="dxa"/>
                    <w:bottom w:w="0" w:type="dxa"/>
                    <w:right w:w="0" w:type="dxa"/>
                  </w:tcMar>
                  <w:vAlign w:val="center"/>
                </w:tcPr>
                <w:p w14:paraId="73FF7E43">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109m</w:t>
                  </w:r>
                </w:p>
              </w:tc>
            </w:tr>
          </w:tbl>
          <w:p w14:paraId="7A72B7C1">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表3.1-5  监测结果</w:t>
            </w:r>
          </w:p>
          <w:tbl>
            <w:tblPr>
              <w:tblStyle w:val="34"/>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002"/>
              <w:gridCol w:w="1106"/>
              <w:gridCol w:w="2783"/>
              <w:gridCol w:w="1434"/>
              <w:gridCol w:w="1315"/>
              <w:gridCol w:w="993"/>
            </w:tblGrid>
            <w:tr w14:paraId="629AB2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80" w:type="pct"/>
                  <w:vMerge w:val="restart"/>
                  <w:tcBorders>
                    <w:tl2br w:val="nil"/>
                    <w:tr2bl w:val="nil"/>
                  </w:tcBorders>
                  <w:shd w:val="clear" w:color="auto" w:fill="auto"/>
                  <w:vAlign w:val="center"/>
                </w:tcPr>
                <w:p w14:paraId="536CAA72">
                  <w:pPr>
                    <w:widowControl/>
                    <w:adjustRightInd w:val="0"/>
                    <w:snapToGrid w:val="0"/>
                    <w:spacing w:line="280" w:lineRule="exact"/>
                    <w:jc w:val="center"/>
                    <w:textAlignment w:val="bottom"/>
                    <w:rPr>
                      <w:rFonts w:hint="default" w:ascii="Times New Roman" w:hAnsi="Times New Roman" w:cs="Times New Roman"/>
                      <w:color w:val="auto"/>
                    </w:rPr>
                  </w:pPr>
                  <w:r>
                    <w:rPr>
                      <w:rFonts w:hint="default" w:ascii="Times New Roman" w:hAnsi="Times New Roman" w:cs="Times New Roman"/>
                      <w:color w:val="auto"/>
                    </w:rPr>
                    <w:t>监测</w:t>
                  </w:r>
                </w:p>
                <w:p w14:paraId="418EFB00">
                  <w:pPr>
                    <w:widowControl/>
                    <w:adjustRightInd w:val="0"/>
                    <w:snapToGrid w:val="0"/>
                    <w:spacing w:line="280" w:lineRule="exact"/>
                    <w:jc w:val="center"/>
                    <w:textAlignment w:val="bottom"/>
                    <w:rPr>
                      <w:rFonts w:hint="default" w:ascii="Times New Roman" w:hAnsi="Times New Roman" w:cs="Times New Roman"/>
                      <w:color w:val="auto"/>
                    </w:rPr>
                  </w:pPr>
                  <w:r>
                    <w:rPr>
                      <w:rFonts w:hint="default" w:ascii="Times New Roman" w:hAnsi="Times New Roman" w:cs="Times New Roman"/>
                      <w:color w:val="auto"/>
                    </w:rPr>
                    <w:t>点位</w:t>
                  </w:r>
                </w:p>
              </w:tc>
              <w:tc>
                <w:tcPr>
                  <w:tcW w:w="640" w:type="pct"/>
                  <w:vMerge w:val="restart"/>
                  <w:tcBorders>
                    <w:tl2br w:val="nil"/>
                    <w:tr2bl w:val="nil"/>
                  </w:tcBorders>
                  <w:shd w:val="clear" w:color="auto" w:fill="auto"/>
                  <w:vAlign w:val="center"/>
                </w:tcPr>
                <w:p w14:paraId="05CA15F9">
                  <w:pPr>
                    <w:widowControl/>
                    <w:adjustRightInd w:val="0"/>
                    <w:snapToGrid w:val="0"/>
                    <w:spacing w:line="280" w:lineRule="exact"/>
                    <w:jc w:val="center"/>
                    <w:textAlignment w:val="bottom"/>
                    <w:rPr>
                      <w:rFonts w:hint="default" w:ascii="Times New Roman" w:hAnsi="Times New Roman" w:cs="Times New Roman"/>
                      <w:color w:val="auto"/>
                    </w:rPr>
                  </w:pPr>
                  <w:r>
                    <w:rPr>
                      <w:rFonts w:hint="default" w:ascii="Times New Roman" w:hAnsi="Times New Roman" w:cs="Times New Roman"/>
                      <w:color w:val="auto"/>
                    </w:rPr>
                    <w:t>检测</w:t>
                  </w:r>
                </w:p>
                <w:p w14:paraId="687AF38A">
                  <w:pPr>
                    <w:widowControl/>
                    <w:adjustRightInd w:val="0"/>
                    <w:snapToGrid w:val="0"/>
                    <w:spacing w:line="280" w:lineRule="exact"/>
                    <w:jc w:val="center"/>
                    <w:textAlignment w:val="bottom"/>
                    <w:rPr>
                      <w:rFonts w:hint="default" w:ascii="Times New Roman" w:hAnsi="Times New Roman" w:cs="Times New Roman"/>
                      <w:color w:val="auto"/>
                    </w:rPr>
                  </w:pPr>
                  <w:r>
                    <w:rPr>
                      <w:rFonts w:hint="default" w:ascii="Times New Roman" w:hAnsi="Times New Roman" w:cs="Times New Roman"/>
                      <w:color w:val="auto"/>
                    </w:rPr>
                    <w:t>项目</w:t>
                  </w:r>
                </w:p>
              </w:tc>
              <w:tc>
                <w:tcPr>
                  <w:tcW w:w="1611" w:type="pct"/>
                  <w:vMerge w:val="restart"/>
                  <w:tcBorders>
                    <w:tl2br w:val="nil"/>
                    <w:tr2bl w:val="nil"/>
                  </w:tcBorders>
                  <w:shd w:val="clear" w:color="auto" w:fill="auto"/>
                  <w:vAlign w:val="center"/>
                </w:tcPr>
                <w:p w14:paraId="2016959E">
                  <w:pPr>
                    <w:widowControl/>
                    <w:adjustRightInd w:val="0"/>
                    <w:snapToGrid w:val="0"/>
                    <w:spacing w:line="280" w:lineRule="exact"/>
                    <w:jc w:val="center"/>
                    <w:textAlignment w:val="bottom"/>
                    <w:rPr>
                      <w:rFonts w:hint="default" w:ascii="Times New Roman" w:hAnsi="Times New Roman" w:cs="Times New Roman"/>
                      <w:color w:val="auto"/>
                    </w:rPr>
                  </w:pPr>
                  <w:r>
                    <w:rPr>
                      <w:rFonts w:hint="default" w:ascii="Times New Roman" w:hAnsi="Times New Roman" w:cs="Times New Roman"/>
                      <w:color w:val="auto"/>
                    </w:rPr>
                    <w:t>采样日期</w:t>
                  </w:r>
                </w:p>
              </w:tc>
              <w:tc>
                <w:tcPr>
                  <w:tcW w:w="830" w:type="pct"/>
                  <w:tcBorders>
                    <w:tl2br w:val="nil"/>
                    <w:tr2bl w:val="nil"/>
                  </w:tcBorders>
                  <w:shd w:val="clear" w:color="auto" w:fill="auto"/>
                  <w:vAlign w:val="center"/>
                </w:tcPr>
                <w:p w14:paraId="0A99F1FC">
                  <w:pPr>
                    <w:widowControl/>
                    <w:adjustRightInd w:val="0"/>
                    <w:snapToGrid w:val="0"/>
                    <w:spacing w:line="280" w:lineRule="exact"/>
                    <w:jc w:val="center"/>
                    <w:textAlignment w:val="bottom"/>
                    <w:rPr>
                      <w:rFonts w:hint="default" w:ascii="Times New Roman" w:hAnsi="Times New Roman" w:cs="Times New Roman"/>
                      <w:color w:val="auto"/>
                    </w:rPr>
                  </w:pPr>
                  <w:r>
                    <w:rPr>
                      <w:rFonts w:hint="default" w:ascii="Times New Roman" w:hAnsi="Times New Roman" w:cs="Times New Roman"/>
                      <w:color w:val="auto"/>
                    </w:rPr>
                    <w:t>检测结果</w:t>
                  </w:r>
                </w:p>
              </w:tc>
              <w:tc>
                <w:tcPr>
                  <w:tcW w:w="761" w:type="pct"/>
                  <w:tcBorders>
                    <w:tl2br w:val="nil"/>
                    <w:tr2bl w:val="nil"/>
                  </w:tcBorders>
                  <w:shd w:val="clear" w:color="auto" w:fill="auto"/>
                  <w:vAlign w:val="center"/>
                </w:tcPr>
                <w:p w14:paraId="0CD58CE4">
                  <w:pPr>
                    <w:widowControl/>
                    <w:adjustRightInd w:val="0"/>
                    <w:snapToGrid w:val="0"/>
                    <w:spacing w:line="280" w:lineRule="exact"/>
                    <w:jc w:val="center"/>
                    <w:textAlignment w:val="bottom"/>
                    <w:rPr>
                      <w:rFonts w:hint="default" w:ascii="Times New Roman" w:hAnsi="Times New Roman" w:cs="Times New Roman"/>
                      <w:color w:val="auto"/>
                    </w:rPr>
                  </w:pPr>
                  <w:r>
                    <w:rPr>
                      <w:rFonts w:hint="default" w:ascii="Times New Roman" w:hAnsi="Times New Roman" w:cs="Times New Roman"/>
                      <w:color w:val="auto"/>
                    </w:rPr>
                    <w:t>评价标准</w:t>
                  </w:r>
                </w:p>
              </w:tc>
              <w:tc>
                <w:tcPr>
                  <w:tcW w:w="575" w:type="pct"/>
                  <w:vMerge w:val="restart"/>
                  <w:tcBorders>
                    <w:tl2br w:val="nil"/>
                    <w:tr2bl w:val="nil"/>
                  </w:tcBorders>
                  <w:shd w:val="clear" w:color="auto" w:fill="auto"/>
                  <w:vAlign w:val="center"/>
                </w:tcPr>
                <w:p w14:paraId="55E6C70B">
                  <w:pPr>
                    <w:widowControl/>
                    <w:adjustRightInd w:val="0"/>
                    <w:snapToGrid w:val="0"/>
                    <w:spacing w:line="280" w:lineRule="exact"/>
                    <w:jc w:val="center"/>
                    <w:textAlignment w:val="bottom"/>
                    <w:rPr>
                      <w:rFonts w:hint="default" w:ascii="Times New Roman" w:hAnsi="Times New Roman" w:cs="Times New Roman"/>
                      <w:color w:val="auto"/>
                    </w:rPr>
                  </w:pPr>
                  <w:r>
                    <w:rPr>
                      <w:rFonts w:hint="default" w:ascii="Times New Roman" w:hAnsi="Times New Roman" w:cs="Times New Roman"/>
                      <w:color w:val="auto"/>
                    </w:rPr>
                    <w:t>达标</w:t>
                  </w:r>
                </w:p>
                <w:p w14:paraId="7AD10DE2">
                  <w:pPr>
                    <w:widowControl/>
                    <w:adjustRightInd w:val="0"/>
                    <w:snapToGrid w:val="0"/>
                    <w:spacing w:line="280" w:lineRule="exact"/>
                    <w:jc w:val="center"/>
                    <w:textAlignment w:val="bottom"/>
                    <w:rPr>
                      <w:rFonts w:hint="default" w:ascii="Times New Roman" w:hAnsi="Times New Roman" w:cs="Times New Roman"/>
                      <w:color w:val="auto"/>
                    </w:rPr>
                  </w:pPr>
                  <w:r>
                    <w:rPr>
                      <w:rFonts w:hint="default" w:ascii="Times New Roman" w:hAnsi="Times New Roman" w:cs="Times New Roman"/>
                      <w:color w:val="auto"/>
                    </w:rPr>
                    <w:t>情况</w:t>
                  </w:r>
                </w:p>
              </w:tc>
            </w:tr>
            <w:tr w14:paraId="5DF4D4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80" w:type="pct"/>
                  <w:vMerge w:val="continue"/>
                  <w:tcBorders>
                    <w:tl2br w:val="nil"/>
                    <w:tr2bl w:val="nil"/>
                  </w:tcBorders>
                  <w:shd w:val="clear" w:color="auto" w:fill="auto"/>
                  <w:vAlign w:val="center"/>
                </w:tcPr>
                <w:p w14:paraId="201B093B">
                  <w:pPr>
                    <w:widowControl/>
                    <w:adjustRightInd w:val="0"/>
                    <w:snapToGrid w:val="0"/>
                    <w:spacing w:line="280" w:lineRule="exact"/>
                    <w:jc w:val="center"/>
                    <w:rPr>
                      <w:rFonts w:hint="default" w:ascii="Times New Roman" w:hAnsi="Times New Roman" w:cs="Times New Roman"/>
                      <w:color w:val="auto"/>
                    </w:rPr>
                  </w:pPr>
                </w:p>
              </w:tc>
              <w:tc>
                <w:tcPr>
                  <w:tcW w:w="640" w:type="pct"/>
                  <w:vMerge w:val="continue"/>
                  <w:tcBorders>
                    <w:tl2br w:val="nil"/>
                    <w:tr2bl w:val="nil"/>
                  </w:tcBorders>
                  <w:shd w:val="clear" w:color="auto" w:fill="auto"/>
                  <w:vAlign w:val="center"/>
                </w:tcPr>
                <w:p w14:paraId="21B987A7">
                  <w:pPr>
                    <w:widowControl/>
                    <w:adjustRightInd w:val="0"/>
                    <w:snapToGrid w:val="0"/>
                    <w:spacing w:line="280" w:lineRule="exact"/>
                    <w:jc w:val="center"/>
                    <w:rPr>
                      <w:rFonts w:hint="default" w:ascii="Times New Roman" w:hAnsi="Times New Roman" w:cs="Times New Roman"/>
                      <w:color w:val="auto"/>
                    </w:rPr>
                  </w:pPr>
                </w:p>
              </w:tc>
              <w:tc>
                <w:tcPr>
                  <w:tcW w:w="1611" w:type="pct"/>
                  <w:vMerge w:val="continue"/>
                  <w:tcBorders>
                    <w:tl2br w:val="nil"/>
                    <w:tr2bl w:val="nil"/>
                  </w:tcBorders>
                  <w:shd w:val="clear" w:color="auto" w:fill="auto"/>
                  <w:vAlign w:val="center"/>
                </w:tcPr>
                <w:p w14:paraId="711A5C15">
                  <w:pPr>
                    <w:widowControl/>
                    <w:adjustRightInd w:val="0"/>
                    <w:snapToGrid w:val="0"/>
                    <w:spacing w:line="280" w:lineRule="exact"/>
                    <w:jc w:val="center"/>
                    <w:rPr>
                      <w:rFonts w:hint="default" w:ascii="Times New Roman" w:hAnsi="Times New Roman" w:cs="Times New Roman"/>
                      <w:color w:val="auto"/>
                    </w:rPr>
                  </w:pPr>
                </w:p>
              </w:tc>
              <w:tc>
                <w:tcPr>
                  <w:tcW w:w="830" w:type="pct"/>
                  <w:tcBorders>
                    <w:tl2br w:val="nil"/>
                    <w:tr2bl w:val="nil"/>
                  </w:tcBorders>
                  <w:shd w:val="clear" w:color="auto" w:fill="auto"/>
                  <w:vAlign w:val="center"/>
                </w:tcPr>
                <w:p w14:paraId="6D3D9878">
                  <w:pPr>
                    <w:pStyle w:val="140"/>
                    <w:rPr>
                      <w:rFonts w:hint="default" w:ascii="Times New Roman" w:hAnsi="Times New Roman" w:cs="Times New Roman"/>
                      <w:color w:val="auto"/>
                    </w:rPr>
                  </w:pPr>
                  <w:r>
                    <w:rPr>
                      <w:rFonts w:hint="default" w:ascii="Times New Roman" w:hAnsi="Times New Roman" w:cs="Times New Roman"/>
                      <w:color w:val="auto"/>
                      <w:lang w:eastAsia="zh-CN"/>
                    </w:rPr>
                    <w:t>μg</w:t>
                  </w:r>
                  <w:r>
                    <w:rPr>
                      <w:rFonts w:hint="default" w:ascii="Times New Roman" w:hAnsi="Times New Roman" w:cs="Times New Roman"/>
                      <w:color w:val="auto"/>
                    </w:rPr>
                    <w:t>/m</w:t>
                  </w:r>
                  <w:r>
                    <w:rPr>
                      <w:rFonts w:hint="default" w:ascii="Times New Roman" w:hAnsi="Times New Roman" w:cs="Times New Roman"/>
                      <w:color w:val="auto"/>
                      <w:vertAlign w:val="superscript"/>
                    </w:rPr>
                    <w:t>3</w:t>
                  </w:r>
                </w:p>
              </w:tc>
              <w:tc>
                <w:tcPr>
                  <w:tcW w:w="761" w:type="pct"/>
                  <w:tcBorders>
                    <w:tl2br w:val="nil"/>
                    <w:tr2bl w:val="nil"/>
                  </w:tcBorders>
                  <w:shd w:val="clear" w:color="auto" w:fill="auto"/>
                  <w:vAlign w:val="center"/>
                </w:tcPr>
                <w:p w14:paraId="713B396C">
                  <w:pPr>
                    <w:widowControl/>
                    <w:adjustRightInd w:val="0"/>
                    <w:snapToGrid w:val="0"/>
                    <w:spacing w:line="280" w:lineRule="exact"/>
                    <w:jc w:val="center"/>
                    <w:textAlignment w:val="bottom"/>
                    <w:rPr>
                      <w:rFonts w:hint="default" w:ascii="Times New Roman" w:hAnsi="Times New Roman" w:cs="Times New Roman"/>
                      <w:color w:val="auto"/>
                    </w:rPr>
                  </w:pPr>
                  <w:r>
                    <w:rPr>
                      <w:rFonts w:hint="default" w:ascii="Times New Roman" w:hAnsi="Times New Roman" w:cs="Times New Roman"/>
                      <w:color w:val="auto"/>
                      <w:lang w:eastAsia="zh-CN"/>
                    </w:rPr>
                    <w:t>μg</w:t>
                  </w:r>
                  <w:r>
                    <w:rPr>
                      <w:rFonts w:hint="default" w:ascii="Times New Roman" w:hAnsi="Times New Roman" w:cs="Times New Roman"/>
                      <w:color w:val="auto"/>
                    </w:rPr>
                    <w:t>/m</w:t>
                  </w:r>
                  <w:r>
                    <w:rPr>
                      <w:rFonts w:hint="default" w:ascii="Times New Roman" w:hAnsi="Times New Roman" w:cs="Times New Roman"/>
                      <w:color w:val="auto"/>
                      <w:vertAlign w:val="superscript"/>
                    </w:rPr>
                    <w:t>3</w:t>
                  </w:r>
                </w:p>
              </w:tc>
              <w:tc>
                <w:tcPr>
                  <w:tcW w:w="575" w:type="pct"/>
                  <w:vMerge w:val="continue"/>
                  <w:tcBorders>
                    <w:tl2br w:val="nil"/>
                    <w:tr2bl w:val="nil"/>
                  </w:tcBorders>
                  <w:shd w:val="clear" w:color="auto" w:fill="auto"/>
                  <w:vAlign w:val="center"/>
                </w:tcPr>
                <w:p w14:paraId="69A50B8E">
                  <w:pPr>
                    <w:widowControl/>
                    <w:adjustRightInd w:val="0"/>
                    <w:snapToGrid w:val="0"/>
                    <w:spacing w:line="280" w:lineRule="exact"/>
                    <w:jc w:val="center"/>
                    <w:rPr>
                      <w:rFonts w:hint="default" w:ascii="Times New Roman" w:hAnsi="Times New Roman" w:cs="Times New Roman"/>
                      <w:color w:val="auto"/>
                    </w:rPr>
                  </w:pPr>
                </w:p>
              </w:tc>
            </w:tr>
            <w:tr w14:paraId="494B31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80" w:type="pct"/>
                  <w:vMerge w:val="restart"/>
                  <w:tcBorders>
                    <w:tl2br w:val="nil"/>
                    <w:tr2bl w:val="nil"/>
                  </w:tcBorders>
                  <w:shd w:val="clear" w:color="auto" w:fill="auto"/>
                  <w:vAlign w:val="center"/>
                </w:tcPr>
                <w:p w14:paraId="179A2F65">
                  <w:pPr>
                    <w:widowControl/>
                    <w:adjustRightInd w:val="0"/>
                    <w:snapToGrid w:val="0"/>
                    <w:spacing w:line="280" w:lineRule="exact"/>
                    <w:jc w:val="center"/>
                    <w:textAlignment w:val="bottom"/>
                    <w:rPr>
                      <w:rFonts w:hint="default" w:ascii="Times New Roman" w:hAnsi="Times New Roman" w:cs="Times New Roman"/>
                      <w:color w:val="auto"/>
                    </w:rPr>
                  </w:pPr>
                  <w:r>
                    <w:rPr>
                      <w:rFonts w:hint="default" w:ascii="Times New Roman" w:hAnsi="Times New Roman" w:cs="Times New Roman"/>
                      <w:color w:val="auto"/>
                    </w:rPr>
                    <w:t>古县村</w:t>
                  </w:r>
                </w:p>
              </w:tc>
              <w:tc>
                <w:tcPr>
                  <w:tcW w:w="640" w:type="pct"/>
                  <w:tcBorders>
                    <w:tl2br w:val="nil"/>
                    <w:tr2bl w:val="nil"/>
                  </w:tcBorders>
                  <w:shd w:val="clear" w:color="auto" w:fill="auto"/>
                  <w:vAlign w:val="center"/>
                </w:tcPr>
                <w:p w14:paraId="01B1F540">
                  <w:pPr>
                    <w:widowControl/>
                    <w:adjustRightInd w:val="0"/>
                    <w:snapToGrid w:val="0"/>
                    <w:spacing w:line="280" w:lineRule="exact"/>
                    <w:jc w:val="center"/>
                    <w:textAlignment w:val="bottom"/>
                    <w:rPr>
                      <w:rFonts w:hint="default" w:ascii="Times New Roman" w:hAnsi="Times New Roman" w:cs="Times New Roman"/>
                      <w:color w:val="auto"/>
                    </w:rPr>
                  </w:pPr>
                  <w:r>
                    <w:rPr>
                      <w:rFonts w:hint="default" w:ascii="Times New Roman" w:hAnsi="Times New Roman" w:cs="Times New Roman"/>
                      <w:color w:val="auto"/>
                    </w:rPr>
                    <w:t>TSP</w:t>
                  </w:r>
                </w:p>
              </w:tc>
              <w:tc>
                <w:tcPr>
                  <w:tcW w:w="1611" w:type="pct"/>
                  <w:tcBorders>
                    <w:tl2br w:val="nil"/>
                    <w:tr2bl w:val="nil"/>
                  </w:tcBorders>
                  <w:shd w:val="clear" w:color="auto" w:fill="auto"/>
                  <w:vAlign w:val="center"/>
                </w:tcPr>
                <w:p w14:paraId="4DBFA3E8">
                  <w:pPr>
                    <w:pStyle w:val="138"/>
                    <w:rPr>
                      <w:rFonts w:hint="default" w:ascii="Times New Roman" w:hAnsi="Times New Roman" w:cs="Times New Roman"/>
                      <w:color w:val="auto"/>
                    </w:rPr>
                  </w:pPr>
                  <w:r>
                    <w:rPr>
                      <w:rFonts w:hint="default" w:ascii="Times New Roman" w:hAnsi="Times New Roman" w:cs="Times New Roman"/>
                      <w:color w:val="auto"/>
                    </w:rPr>
                    <w:t>2025年9月24日—25日</w:t>
                  </w:r>
                </w:p>
              </w:tc>
              <w:tc>
                <w:tcPr>
                  <w:tcW w:w="830" w:type="pct"/>
                  <w:tcBorders>
                    <w:tl2br w:val="nil"/>
                    <w:tr2bl w:val="nil"/>
                  </w:tcBorders>
                  <w:shd w:val="clear" w:color="auto" w:fill="auto"/>
                  <w:vAlign w:val="center"/>
                </w:tcPr>
                <w:p w14:paraId="15D90D20">
                  <w:pPr>
                    <w:pStyle w:val="140"/>
                    <w:rPr>
                      <w:rFonts w:hint="default" w:ascii="Times New Roman" w:hAnsi="Times New Roman" w:eastAsia="宋体" w:cs="Times New Roman"/>
                      <w:color w:val="auto"/>
                      <w:lang w:val="en-US" w:eastAsia="zh-CN"/>
                    </w:rPr>
                  </w:pPr>
                  <w:r>
                    <w:rPr>
                      <w:rFonts w:hint="eastAsia" w:cs="Times New Roman"/>
                      <w:color w:val="auto"/>
                      <w:lang w:eastAsia="zh-CN"/>
                    </w:rPr>
                    <w:t>*</w:t>
                  </w:r>
                  <w:r>
                    <w:rPr>
                      <w:rFonts w:hint="eastAsia" w:cs="Times New Roman"/>
                      <w:color w:val="auto"/>
                      <w:lang w:val="en-US" w:eastAsia="zh-CN"/>
                    </w:rPr>
                    <w:t>**</w:t>
                  </w:r>
                </w:p>
              </w:tc>
              <w:tc>
                <w:tcPr>
                  <w:tcW w:w="761" w:type="pct"/>
                  <w:tcBorders>
                    <w:tl2br w:val="nil"/>
                    <w:tr2bl w:val="nil"/>
                  </w:tcBorders>
                  <w:shd w:val="clear" w:color="auto" w:fill="auto"/>
                  <w:vAlign w:val="center"/>
                </w:tcPr>
                <w:p w14:paraId="05CBF613">
                  <w:pPr>
                    <w:pStyle w:val="140"/>
                    <w:rPr>
                      <w:rFonts w:hint="default" w:ascii="Times New Roman" w:hAnsi="Times New Roman" w:cs="Times New Roman"/>
                      <w:color w:val="auto"/>
                    </w:rPr>
                  </w:pPr>
                  <w:r>
                    <w:rPr>
                      <w:rFonts w:hint="default" w:ascii="Times New Roman" w:hAnsi="Times New Roman" w:cs="Times New Roman"/>
                      <w:color w:val="auto"/>
                    </w:rPr>
                    <w:t>300</w:t>
                  </w:r>
                </w:p>
              </w:tc>
              <w:tc>
                <w:tcPr>
                  <w:tcW w:w="575" w:type="pct"/>
                  <w:tcBorders>
                    <w:tl2br w:val="nil"/>
                    <w:tr2bl w:val="nil"/>
                  </w:tcBorders>
                  <w:shd w:val="clear" w:color="auto" w:fill="auto"/>
                  <w:vAlign w:val="center"/>
                </w:tcPr>
                <w:p w14:paraId="248EE434">
                  <w:pPr>
                    <w:widowControl/>
                    <w:adjustRightInd w:val="0"/>
                    <w:snapToGrid w:val="0"/>
                    <w:spacing w:line="280" w:lineRule="exact"/>
                    <w:jc w:val="center"/>
                    <w:textAlignment w:val="bottom"/>
                    <w:rPr>
                      <w:rFonts w:hint="default" w:ascii="Times New Roman" w:hAnsi="Times New Roman" w:cs="Times New Roman"/>
                      <w:color w:val="auto"/>
                    </w:rPr>
                  </w:pPr>
                  <w:r>
                    <w:rPr>
                      <w:rFonts w:hint="default" w:ascii="Times New Roman" w:hAnsi="Times New Roman" w:cs="Times New Roman"/>
                      <w:color w:val="auto"/>
                    </w:rPr>
                    <w:t>达标</w:t>
                  </w:r>
                </w:p>
              </w:tc>
            </w:tr>
            <w:tr w14:paraId="1033B0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80" w:type="pct"/>
                  <w:vMerge w:val="continue"/>
                  <w:tcBorders>
                    <w:tl2br w:val="nil"/>
                    <w:tr2bl w:val="nil"/>
                  </w:tcBorders>
                  <w:shd w:val="clear" w:color="auto" w:fill="auto"/>
                  <w:vAlign w:val="center"/>
                </w:tcPr>
                <w:p w14:paraId="38EC3676">
                  <w:pPr>
                    <w:widowControl/>
                    <w:adjustRightInd w:val="0"/>
                    <w:snapToGrid w:val="0"/>
                    <w:spacing w:line="280" w:lineRule="exact"/>
                    <w:jc w:val="center"/>
                    <w:textAlignment w:val="bottom"/>
                    <w:rPr>
                      <w:rFonts w:hint="default" w:ascii="Times New Roman" w:hAnsi="Times New Roman" w:cs="Times New Roman"/>
                      <w:color w:val="auto"/>
                    </w:rPr>
                  </w:pPr>
                </w:p>
              </w:tc>
              <w:tc>
                <w:tcPr>
                  <w:tcW w:w="640" w:type="pct"/>
                  <w:tcBorders>
                    <w:tl2br w:val="nil"/>
                    <w:tr2bl w:val="nil"/>
                  </w:tcBorders>
                  <w:shd w:val="clear" w:color="auto" w:fill="auto"/>
                  <w:vAlign w:val="center"/>
                </w:tcPr>
                <w:p w14:paraId="4FE2DDC9">
                  <w:pPr>
                    <w:widowControl/>
                    <w:adjustRightInd w:val="0"/>
                    <w:snapToGrid w:val="0"/>
                    <w:spacing w:line="280" w:lineRule="exact"/>
                    <w:jc w:val="center"/>
                    <w:textAlignment w:val="bottom"/>
                    <w:rPr>
                      <w:rFonts w:hint="default" w:ascii="Times New Roman" w:hAnsi="Times New Roman" w:cs="Times New Roman"/>
                      <w:color w:val="auto"/>
                    </w:rPr>
                  </w:pPr>
                  <w:r>
                    <w:rPr>
                      <w:rFonts w:hint="default" w:ascii="Times New Roman" w:hAnsi="Times New Roman" w:cs="Times New Roman"/>
                      <w:color w:val="auto"/>
                    </w:rPr>
                    <w:t>TSP</w:t>
                  </w:r>
                </w:p>
              </w:tc>
              <w:tc>
                <w:tcPr>
                  <w:tcW w:w="1611" w:type="pct"/>
                  <w:tcBorders>
                    <w:tl2br w:val="nil"/>
                    <w:tr2bl w:val="nil"/>
                  </w:tcBorders>
                  <w:shd w:val="clear" w:color="auto" w:fill="auto"/>
                  <w:vAlign w:val="center"/>
                </w:tcPr>
                <w:p w14:paraId="5B4F49A3">
                  <w:pPr>
                    <w:pStyle w:val="138"/>
                    <w:rPr>
                      <w:rFonts w:hint="default" w:ascii="Times New Roman" w:hAnsi="Times New Roman" w:cs="Times New Roman"/>
                      <w:color w:val="auto"/>
                    </w:rPr>
                  </w:pPr>
                  <w:r>
                    <w:rPr>
                      <w:rFonts w:hint="default" w:ascii="Times New Roman" w:hAnsi="Times New Roman" w:cs="Times New Roman"/>
                      <w:color w:val="auto"/>
                    </w:rPr>
                    <w:t>2025年9月25日—26日</w:t>
                  </w:r>
                </w:p>
              </w:tc>
              <w:tc>
                <w:tcPr>
                  <w:tcW w:w="830" w:type="pct"/>
                  <w:tcBorders>
                    <w:tl2br w:val="nil"/>
                    <w:tr2bl w:val="nil"/>
                  </w:tcBorders>
                  <w:shd w:val="clear" w:color="auto" w:fill="auto"/>
                  <w:vAlign w:val="center"/>
                </w:tcPr>
                <w:p w14:paraId="0991262B">
                  <w:pPr>
                    <w:pStyle w:val="140"/>
                    <w:rPr>
                      <w:rFonts w:hint="default" w:ascii="Times New Roman" w:hAnsi="Times New Roman" w:eastAsia="宋体" w:cs="Times New Roman"/>
                      <w:color w:val="auto"/>
                      <w:lang w:val="en-US" w:eastAsia="zh-CN"/>
                    </w:rPr>
                  </w:pPr>
                  <w:r>
                    <w:rPr>
                      <w:rFonts w:hint="eastAsia" w:cs="Times New Roman"/>
                      <w:color w:val="auto"/>
                      <w:lang w:val="en-US" w:eastAsia="zh-CN"/>
                    </w:rPr>
                    <w:t>***</w:t>
                  </w:r>
                </w:p>
              </w:tc>
              <w:tc>
                <w:tcPr>
                  <w:tcW w:w="761" w:type="pct"/>
                  <w:tcBorders>
                    <w:tl2br w:val="nil"/>
                    <w:tr2bl w:val="nil"/>
                  </w:tcBorders>
                  <w:shd w:val="clear" w:color="auto" w:fill="auto"/>
                  <w:vAlign w:val="center"/>
                </w:tcPr>
                <w:p w14:paraId="4C966CC3">
                  <w:pPr>
                    <w:pStyle w:val="140"/>
                    <w:rPr>
                      <w:rFonts w:hint="default" w:ascii="Times New Roman" w:hAnsi="Times New Roman" w:cs="Times New Roman"/>
                      <w:color w:val="auto"/>
                    </w:rPr>
                  </w:pPr>
                  <w:r>
                    <w:rPr>
                      <w:rFonts w:hint="default" w:ascii="Times New Roman" w:hAnsi="Times New Roman" w:cs="Times New Roman"/>
                      <w:color w:val="auto"/>
                    </w:rPr>
                    <w:t>300</w:t>
                  </w:r>
                </w:p>
              </w:tc>
              <w:tc>
                <w:tcPr>
                  <w:tcW w:w="575" w:type="pct"/>
                  <w:tcBorders>
                    <w:tl2br w:val="nil"/>
                    <w:tr2bl w:val="nil"/>
                  </w:tcBorders>
                  <w:shd w:val="clear" w:color="auto" w:fill="auto"/>
                  <w:vAlign w:val="center"/>
                </w:tcPr>
                <w:p w14:paraId="7A579040">
                  <w:pPr>
                    <w:widowControl/>
                    <w:adjustRightInd w:val="0"/>
                    <w:snapToGrid w:val="0"/>
                    <w:spacing w:line="280" w:lineRule="exact"/>
                    <w:jc w:val="center"/>
                    <w:textAlignment w:val="bottom"/>
                    <w:rPr>
                      <w:rFonts w:hint="default" w:ascii="Times New Roman" w:hAnsi="Times New Roman" w:cs="Times New Roman"/>
                      <w:color w:val="auto"/>
                    </w:rPr>
                  </w:pPr>
                  <w:r>
                    <w:rPr>
                      <w:rFonts w:hint="default" w:ascii="Times New Roman" w:hAnsi="Times New Roman" w:cs="Times New Roman"/>
                      <w:color w:val="auto"/>
                    </w:rPr>
                    <w:t>达标</w:t>
                  </w:r>
                </w:p>
              </w:tc>
            </w:tr>
            <w:tr w14:paraId="0CAD65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80" w:type="pct"/>
                  <w:vMerge w:val="continue"/>
                  <w:tcBorders>
                    <w:tl2br w:val="nil"/>
                    <w:tr2bl w:val="nil"/>
                  </w:tcBorders>
                  <w:shd w:val="clear" w:color="auto" w:fill="auto"/>
                  <w:vAlign w:val="center"/>
                </w:tcPr>
                <w:p w14:paraId="598EC7CA">
                  <w:pPr>
                    <w:widowControl/>
                    <w:adjustRightInd w:val="0"/>
                    <w:snapToGrid w:val="0"/>
                    <w:spacing w:line="280" w:lineRule="exact"/>
                    <w:jc w:val="center"/>
                    <w:textAlignment w:val="bottom"/>
                    <w:rPr>
                      <w:rFonts w:hint="default" w:ascii="Times New Roman" w:hAnsi="Times New Roman" w:cs="Times New Roman"/>
                      <w:color w:val="auto"/>
                    </w:rPr>
                  </w:pPr>
                </w:p>
              </w:tc>
              <w:tc>
                <w:tcPr>
                  <w:tcW w:w="640" w:type="pct"/>
                  <w:tcBorders>
                    <w:tl2br w:val="nil"/>
                    <w:tr2bl w:val="nil"/>
                  </w:tcBorders>
                  <w:shd w:val="clear" w:color="auto" w:fill="auto"/>
                  <w:vAlign w:val="center"/>
                </w:tcPr>
                <w:p w14:paraId="3F64E44C">
                  <w:pPr>
                    <w:widowControl/>
                    <w:adjustRightInd w:val="0"/>
                    <w:snapToGrid w:val="0"/>
                    <w:spacing w:line="280" w:lineRule="exact"/>
                    <w:jc w:val="center"/>
                    <w:textAlignment w:val="bottom"/>
                    <w:rPr>
                      <w:rFonts w:hint="default" w:ascii="Times New Roman" w:hAnsi="Times New Roman" w:cs="Times New Roman"/>
                      <w:color w:val="auto"/>
                    </w:rPr>
                  </w:pPr>
                  <w:r>
                    <w:rPr>
                      <w:rFonts w:hint="default" w:ascii="Times New Roman" w:hAnsi="Times New Roman" w:cs="Times New Roman"/>
                      <w:color w:val="auto"/>
                    </w:rPr>
                    <w:t>TSP</w:t>
                  </w:r>
                </w:p>
              </w:tc>
              <w:tc>
                <w:tcPr>
                  <w:tcW w:w="1611" w:type="pct"/>
                  <w:tcBorders>
                    <w:tl2br w:val="nil"/>
                    <w:tr2bl w:val="nil"/>
                  </w:tcBorders>
                  <w:shd w:val="clear" w:color="auto" w:fill="auto"/>
                  <w:vAlign w:val="center"/>
                </w:tcPr>
                <w:p w14:paraId="082B553A">
                  <w:pPr>
                    <w:pStyle w:val="138"/>
                    <w:rPr>
                      <w:rFonts w:hint="default" w:ascii="Times New Roman" w:hAnsi="Times New Roman" w:cs="Times New Roman"/>
                      <w:color w:val="auto"/>
                    </w:rPr>
                  </w:pPr>
                  <w:r>
                    <w:rPr>
                      <w:rFonts w:hint="default" w:ascii="Times New Roman" w:hAnsi="Times New Roman" w:cs="Times New Roman"/>
                      <w:color w:val="auto"/>
                    </w:rPr>
                    <w:t>2025年9月26日—27日</w:t>
                  </w:r>
                </w:p>
              </w:tc>
              <w:tc>
                <w:tcPr>
                  <w:tcW w:w="830" w:type="pct"/>
                  <w:tcBorders>
                    <w:tl2br w:val="nil"/>
                    <w:tr2bl w:val="nil"/>
                  </w:tcBorders>
                  <w:shd w:val="clear" w:color="auto" w:fill="auto"/>
                  <w:vAlign w:val="center"/>
                </w:tcPr>
                <w:p w14:paraId="226913F7">
                  <w:pPr>
                    <w:pStyle w:val="140"/>
                    <w:rPr>
                      <w:rFonts w:hint="default" w:ascii="Times New Roman" w:hAnsi="Times New Roman" w:eastAsia="宋体" w:cs="Times New Roman"/>
                      <w:color w:val="auto"/>
                      <w:lang w:val="en-US" w:eastAsia="zh-CN"/>
                    </w:rPr>
                  </w:pPr>
                  <w:r>
                    <w:rPr>
                      <w:rFonts w:hint="eastAsia" w:cs="Times New Roman"/>
                      <w:color w:val="auto"/>
                      <w:lang w:val="en-US" w:eastAsia="zh-CN"/>
                    </w:rPr>
                    <w:t>***</w:t>
                  </w:r>
                </w:p>
              </w:tc>
              <w:tc>
                <w:tcPr>
                  <w:tcW w:w="761" w:type="pct"/>
                  <w:tcBorders>
                    <w:tl2br w:val="nil"/>
                    <w:tr2bl w:val="nil"/>
                  </w:tcBorders>
                  <w:shd w:val="clear" w:color="auto" w:fill="auto"/>
                  <w:vAlign w:val="center"/>
                </w:tcPr>
                <w:p w14:paraId="7177D649">
                  <w:pPr>
                    <w:pStyle w:val="140"/>
                    <w:rPr>
                      <w:rFonts w:hint="default" w:ascii="Times New Roman" w:hAnsi="Times New Roman" w:cs="Times New Roman"/>
                      <w:color w:val="auto"/>
                    </w:rPr>
                  </w:pPr>
                  <w:r>
                    <w:rPr>
                      <w:rFonts w:hint="default" w:ascii="Times New Roman" w:hAnsi="Times New Roman" w:cs="Times New Roman"/>
                      <w:color w:val="auto"/>
                    </w:rPr>
                    <w:t>300</w:t>
                  </w:r>
                </w:p>
              </w:tc>
              <w:tc>
                <w:tcPr>
                  <w:tcW w:w="575" w:type="pct"/>
                  <w:tcBorders>
                    <w:tl2br w:val="nil"/>
                    <w:tr2bl w:val="nil"/>
                  </w:tcBorders>
                  <w:shd w:val="clear" w:color="auto" w:fill="auto"/>
                  <w:vAlign w:val="center"/>
                </w:tcPr>
                <w:p w14:paraId="502ADF76">
                  <w:pPr>
                    <w:widowControl/>
                    <w:adjustRightInd w:val="0"/>
                    <w:snapToGrid w:val="0"/>
                    <w:spacing w:line="280" w:lineRule="exact"/>
                    <w:jc w:val="center"/>
                    <w:textAlignment w:val="bottom"/>
                    <w:rPr>
                      <w:rFonts w:hint="default" w:ascii="Times New Roman" w:hAnsi="Times New Roman" w:cs="Times New Roman"/>
                      <w:color w:val="auto"/>
                    </w:rPr>
                  </w:pPr>
                  <w:r>
                    <w:rPr>
                      <w:rFonts w:hint="default" w:ascii="Times New Roman" w:hAnsi="Times New Roman" w:cs="Times New Roman"/>
                      <w:color w:val="auto"/>
                    </w:rPr>
                    <w:t>达标</w:t>
                  </w:r>
                </w:p>
              </w:tc>
            </w:tr>
          </w:tbl>
          <w:p w14:paraId="06D15CB3">
            <w:pPr>
              <w:pStyle w:val="83"/>
              <w:keepNext w:val="0"/>
              <w:keepLines w:val="0"/>
              <w:pageBreakBefore w:val="0"/>
              <w:widowControl w:val="0"/>
              <w:kinsoku/>
              <w:wordWrap/>
              <w:overflowPunct/>
              <w:topLinePunct w:val="0"/>
              <w:autoSpaceDE/>
              <w:autoSpaceDN/>
              <w:bidi w:val="0"/>
              <w:adjustRightInd w:val="0"/>
              <w:snapToGrid w:val="0"/>
              <w:spacing w:before="304" w:beforeLines="80"/>
              <w:textAlignment w:val="auto"/>
              <w:rPr>
                <w:rFonts w:hint="default" w:ascii="Times New Roman" w:hAnsi="Times New Roman" w:cs="Times New Roman"/>
                <w:color w:val="auto"/>
                <w:sz w:val="24"/>
                <w:lang w:val="en-US"/>
              </w:rPr>
            </w:pPr>
            <w:r>
              <w:rPr>
                <w:rFonts w:hint="default" w:ascii="Times New Roman" w:hAnsi="Times New Roman" w:cs="Times New Roman"/>
                <w:color w:val="auto"/>
                <w:sz w:val="24"/>
                <w:lang w:val="en-US"/>
              </w:rPr>
              <w:t>由表3.1-5可知，特征因子TSP日均值浓度小于《环境空气质量标准》（GB 3095-2026）的二级标准</w:t>
            </w:r>
            <w:r>
              <w:rPr>
                <w:rStyle w:val="141"/>
                <w:rFonts w:hint="default" w:ascii="Times New Roman" w:hAnsi="Times New Roman" w:cs="Times New Roman"/>
                <w:color w:val="auto"/>
                <w:lang w:val="en-US"/>
              </w:rPr>
              <w:t>，项目所在区域属于环境空气质量达标区</w:t>
            </w:r>
            <w:r>
              <w:rPr>
                <w:rFonts w:hint="default" w:ascii="Times New Roman" w:hAnsi="Times New Roman" w:cs="Times New Roman"/>
                <w:color w:val="auto"/>
                <w:sz w:val="24"/>
                <w:lang w:val="en-US"/>
              </w:rPr>
              <w:t>。</w:t>
            </w:r>
          </w:p>
          <w:p w14:paraId="2C2AF223">
            <w:pPr>
              <w:pStyle w:val="83"/>
              <w:adjustRightInd w:val="0"/>
              <w:snapToGrid w:val="0"/>
              <w:spacing w:before="189" w:beforeLines="50"/>
              <w:rPr>
                <w:rFonts w:hint="default" w:ascii="Times New Roman" w:hAnsi="Times New Roman" w:cs="Times New Roman"/>
                <w:color w:val="auto"/>
                <w:sz w:val="24"/>
                <w:lang w:val="en-US"/>
              </w:rPr>
            </w:pPr>
          </w:p>
          <w:p w14:paraId="39561E85">
            <w:pPr>
              <w:pStyle w:val="83"/>
              <w:adjustRightInd w:val="0"/>
              <w:snapToGrid w:val="0"/>
              <w:spacing w:before="189" w:beforeLines="50"/>
              <w:rPr>
                <w:rFonts w:hint="default" w:ascii="Times New Roman" w:hAnsi="Times New Roman" w:cs="Times New Roman"/>
                <w:color w:val="auto"/>
                <w:sz w:val="24"/>
                <w:lang w:val="en-US"/>
              </w:rPr>
            </w:pPr>
          </w:p>
          <w:p w14:paraId="3C9A7028">
            <w:pPr>
              <w:bidi w:val="0"/>
              <w:rPr>
                <w:rFonts w:hint="default"/>
                <w:color w:val="auto"/>
                <w:lang w:val="en-US"/>
              </w:rPr>
            </w:pPr>
          </w:p>
          <w:p w14:paraId="512685E1">
            <w:pPr>
              <w:pStyle w:val="83"/>
              <w:adjustRightInd w:val="0"/>
              <w:snapToGrid w:val="0"/>
              <w:spacing w:before="189" w:beforeLines="50"/>
              <w:rPr>
                <w:rFonts w:hint="default" w:ascii="Times New Roman" w:hAnsi="Times New Roman" w:cs="Times New Roman"/>
                <w:color w:val="auto"/>
                <w:sz w:val="24"/>
                <w:lang w:val="en-US"/>
              </w:rPr>
            </w:pPr>
          </w:p>
          <w:p w14:paraId="479303FA">
            <w:pPr>
              <w:pStyle w:val="83"/>
              <w:adjustRightInd w:val="0"/>
              <w:snapToGrid w:val="0"/>
              <w:spacing w:before="189" w:beforeLines="50"/>
              <w:rPr>
                <w:rFonts w:hint="default" w:ascii="Times New Roman" w:hAnsi="Times New Roman" w:cs="Times New Roman"/>
                <w:color w:val="auto"/>
                <w:sz w:val="24"/>
                <w:lang w:val="en-US"/>
              </w:rPr>
            </w:pPr>
          </w:p>
          <w:p w14:paraId="54E7B797">
            <w:pPr>
              <w:pStyle w:val="83"/>
              <w:adjustRightInd w:val="0"/>
              <w:snapToGrid w:val="0"/>
              <w:spacing w:before="189" w:beforeLines="50"/>
              <w:rPr>
                <w:rFonts w:hint="default" w:ascii="Times New Roman" w:hAnsi="Times New Roman" w:cs="Times New Roman"/>
                <w:color w:val="auto"/>
                <w:sz w:val="24"/>
                <w:lang w:val="en-US"/>
              </w:rPr>
            </w:pPr>
          </w:p>
          <w:p w14:paraId="23EF1B24">
            <w:pPr>
              <w:pStyle w:val="83"/>
              <w:adjustRightInd w:val="0"/>
              <w:snapToGrid w:val="0"/>
              <w:spacing w:before="189" w:beforeLines="50"/>
              <w:rPr>
                <w:rFonts w:hint="default" w:ascii="Times New Roman" w:hAnsi="Times New Roman" w:cs="Times New Roman"/>
                <w:color w:val="auto"/>
                <w:sz w:val="24"/>
                <w:lang w:val="en-US"/>
              </w:rPr>
            </w:pPr>
          </w:p>
          <w:p w14:paraId="10869C5C">
            <w:pPr>
              <w:pStyle w:val="83"/>
              <w:adjustRightInd w:val="0"/>
              <w:snapToGrid w:val="0"/>
              <w:ind w:firstLine="0" w:firstLineChars="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sz w:val="21"/>
              </w:rPr>
              <mc:AlternateContent>
                <mc:Choice Requires="wps">
                  <w:drawing>
                    <wp:anchor distT="0" distB="0" distL="114300" distR="114300" simplePos="0" relativeHeight="251670528" behindDoc="0" locked="0" layoutInCell="1" allowOverlap="1">
                      <wp:simplePos x="0" y="0"/>
                      <wp:positionH relativeFrom="column">
                        <wp:posOffset>4140200</wp:posOffset>
                      </wp:positionH>
                      <wp:positionV relativeFrom="paragraph">
                        <wp:posOffset>3921125</wp:posOffset>
                      </wp:positionV>
                      <wp:extent cx="153670" cy="149860"/>
                      <wp:effectExtent l="0" t="0" r="17780" b="2540"/>
                      <wp:wrapNone/>
                      <wp:docPr id="64" name="椭圆 64"/>
                      <wp:cNvGraphicFramePr/>
                      <a:graphic xmlns:a="http://schemas.openxmlformats.org/drawingml/2006/main">
                        <a:graphicData uri="http://schemas.microsoft.com/office/word/2010/wordprocessingShape">
                          <wps:wsp>
                            <wps:cNvSpPr/>
                            <wps:spPr>
                              <a:xfrm>
                                <a:off x="0" y="0"/>
                                <a:ext cx="153670" cy="14986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26pt;margin-top:308.75pt;height:11.8pt;width:12.1pt;z-index:251670528;v-text-anchor:middle;mso-width-relative:page;mso-height-relative:page;" fillcolor="#FF0000" filled="t" stroked="f" coordsize="21600,21600" o:gfxdata="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SwAR7NoAAAALAQAADwAAAAAAAAABACAAAAAiAAAAZHJzL2Rvd25yZXYueG1sUEsBAhQA&#10;FAAAAAgAh07iQKqGBjViAgAAuAQAAA4AAAAAAAAAAQAgAAAAKQEAAGRycy9lMm9Eb2MueG1sUEsF&#10;BgAAAAAGAAYAWQEAAP0FAAAAAA==&#10;">
                      <v:fill on="t" focussize="0,0"/>
                      <v:stroke on="f" weight="2pt"/>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9504" behindDoc="0" locked="0" layoutInCell="1" allowOverlap="1">
                      <wp:simplePos x="0" y="0"/>
                      <wp:positionH relativeFrom="column">
                        <wp:posOffset>4253230</wp:posOffset>
                      </wp:positionH>
                      <wp:positionV relativeFrom="paragraph">
                        <wp:posOffset>3575050</wp:posOffset>
                      </wp:positionV>
                      <wp:extent cx="1197610" cy="666750"/>
                      <wp:effectExtent l="0" t="0" r="0" b="0"/>
                      <wp:wrapNone/>
                      <wp:docPr id="63" name="文本框 63"/>
                      <wp:cNvGraphicFramePr/>
                      <a:graphic xmlns:a="http://schemas.openxmlformats.org/drawingml/2006/main">
                        <a:graphicData uri="http://schemas.microsoft.com/office/word/2010/wordprocessingShape">
                          <wps:wsp>
                            <wps:cNvSpPr txBox="1"/>
                            <wps:spPr>
                              <a:xfrm>
                                <a:off x="5422900" y="4701540"/>
                                <a:ext cx="1197610" cy="666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F3D3DC">
                                  <w:pPr>
                                    <w:rPr>
                                      <w:rFonts w:hint="eastAsia"/>
                                      <w:color w:val="CCE8CF" w:themeColor="background1"/>
                                      <w:sz w:val="22"/>
                                      <w:szCs w:val="28"/>
                                      <w:lang w:val="en-US" w:eastAsia="zh-CN"/>
                                      <w14:textFill>
                                        <w14:solidFill>
                                          <w14:schemeClr w14:val="bg1"/>
                                        </w14:solidFill>
                                      </w14:textFill>
                                    </w:rPr>
                                  </w:pPr>
                                  <w:r>
                                    <w:rPr>
                                      <w:rFonts w:hint="eastAsia"/>
                                      <w:color w:val="CCE8CF" w:themeColor="background1"/>
                                      <w:sz w:val="22"/>
                                      <w:szCs w:val="28"/>
                                      <w:lang w:val="en-US" w:eastAsia="zh-CN"/>
                                      <w14:textFill>
                                        <w14:solidFill>
                                          <w14:schemeClr w14:val="bg1"/>
                                        </w14:solidFill>
                                      </w14:textFill>
                                    </w:rPr>
                                    <w:t>图例</w:t>
                                  </w:r>
                                </w:p>
                                <w:p w14:paraId="5800F3F9">
                                  <w:pPr>
                                    <w:bidi w:val="0"/>
                                    <w:rPr>
                                      <w:rFonts w:hint="default"/>
                                      <w:color w:val="CCE8CF" w:themeColor="background1"/>
                                      <w:sz w:val="22"/>
                                      <w:szCs w:val="28"/>
                                      <w:lang w:val="en-US" w:eastAsia="zh-CN"/>
                                      <w14:textFill>
                                        <w14:solidFill>
                                          <w14:schemeClr w14:val="bg1"/>
                                        </w14:solidFill>
                                      </w14:textFill>
                                    </w:rPr>
                                  </w:pPr>
                                  <w:r>
                                    <w:rPr>
                                      <w:rFonts w:hint="eastAsia"/>
                                      <w:color w:val="CCE8CF" w:themeColor="background1"/>
                                      <w:sz w:val="22"/>
                                      <w:szCs w:val="28"/>
                                      <w:lang w:val="en-US" w:eastAsia="zh-CN"/>
                                      <w14:textFill>
                                        <w14:solidFill>
                                          <w14:schemeClr w14:val="bg1"/>
                                        </w14:solidFill>
                                      </w14:textFill>
                                    </w:rPr>
                                    <w:t>环境空气监测点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4.9pt;margin-top:281.5pt;height:52.5pt;width:94.3pt;z-index:251669504;mso-width-relative:page;mso-height-relative:page;" filled="f" stroked="f" coordsize="21600,21600" o:gfxdata="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qwOHKNsAAAALAQAADwAAAAAAAAAB&#10;ACAAAAAiAAAAZHJzL2Rvd25yZXYueG1sUEsBAhQAFAAAAAgAh07iQMaiU6ZGAgAAdAQAAA4AAAAA&#10;AAAAAQAgAAAAKgEAAGRycy9lMm9Eb2MueG1sUEsFBgAAAAAGAAYAWQEAAOIFAAAAAA==&#10;">
                      <v:fill on="f" focussize="0,0"/>
                      <v:stroke on="f" weight="0.5pt"/>
                      <v:imagedata o:title=""/>
                      <o:lock v:ext="edit" aspectratio="f"/>
                      <v:textbox>
                        <w:txbxContent>
                          <w:p w14:paraId="5AF3D3DC">
                            <w:pPr>
                              <w:rPr>
                                <w:rFonts w:hint="eastAsia"/>
                                <w:color w:val="CCE8CF" w:themeColor="background1"/>
                                <w:sz w:val="22"/>
                                <w:szCs w:val="28"/>
                                <w:lang w:val="en-US" w:eastAsia="zh-CN"/>
                                <w14:textFill>
                                  <w14:solidFill>
                                    <w14:schemeClr w14:val="bg1"/>
                                  </w14:solidFill>
                                </w14:textFill>
                              </w:rPr>
                            </w:pPr>
                            <w:r>
                              <w:rPr>
                                <w:rFonts w:hint="eastAsia"/>
                                <w:color w:val="CCE8CF" w:themeColor="background1"/>
                                <w:sz w:val="22"/>
                                <w:szCs w:val="28"/>
                                <w:lang w:val="en-US" w:eastAsia="zh-CN"/>
                                <w14:textFill>
                                  <w14:solidFill>
                                    <w14:schemeClr w14:val="bg1"/>
                                  </w14:solidFill>
                                </w14:textFill>
                              </w:rPr>
                              <w:t>图例</w:t>
                            </w:r>
                          </w:p>
                          <w:p w14:paraId="5800F3F9">
                            <w:pPr>
                              <w:bidi w:val="0"/>
                              <w:rPr>
                                <w:rFonts w:hint="default"/>
                                <w:color w:val="CCE8CF" w:themeColor="background1"/>
                                <w:sz w:val="22"/>
                                <w:szCs w:val="28"/>
                                <w:lang w:val="en-US" w:eastAsia="zh-CN"/>
                                <w14:textFill>
                                  <w14:solidFill>
                                    <w14:schemeClr w14:val="bg1"/>
                                  </w14:solidFill>
                                </w14:textFill>
                              </w:rPr>
                            </w:pPr>
                            <w:r>
                              <w:rPr>
                                <w:rFonts w:hint="eastAsia"/>
                                <w:color w:val="CCE8CF" w:themeColor="background1"/>
                                <w:sz w:val="22"/>
                                <w:szCs w:val="28"/>
                                <w:lang w:val="en-US" w:eastAsia="zh-CN"/>
                                <w14:textFill>
                                  <w14:solidFill>
                                    <w14:schemeClr w14:val="bg1"/>
                                  </w14:solidFill>
                                </w14:textFill>
                              </w:rPr>
                              <w:t>环境空气监测点</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8480" behindDoc="0" locked="0" layoutInCell="1" allowOverlap="1">
                      <wp:simplePos x="0" y="0"/>
                      <wp:positionH relativeFrom="column">
                        <wp:posOffset>395605</wp:posOffset>
                      </wp:positionH>
                      <wp:positionV relativeFrom="paragraph">
                        <wp:posOffset>1586865</wp:posOffset>
                      </wp:positionV>
                      <wp:extent cx="4540250" cy="2357120"/>
                      <wp:effectExtent l="12700" t="12700" r="19050" b="30480"/>
                      <wp:wrapNone/>
                      <wp:docPr id="58" name="任意多边形 58"/>
                      <wp:cNvGraphicFramePr/>
                      <a:graphic xmlns:a="http://schemas.openxmlformats.org/drawingml/2006/main">
                        <a:graphicData uri="http://schemas.microsoft.com/office/word/2010/wordprocessingShape">
                          <wps:wsp>
                            <wps:cNvSpPr/>
                            <wps:spPr>
                              <a:xfrm>
                                <a:off x="1565275" y="2499360"/>
                                <a:ext cx="4540250" cy="2357120"/>
                              </a:xfrm>
                              <a:custGeom>
                                <a:avLst/>
                                <a:gdLst>
                                  <a:gd name="connisteX0" fmla="*/ 2492375 w 4540250"/>
                                  <a:gd name="connsiteY0" fmla="*/ 63500 h 2357120"/>
                                  <a:gd name="connisteX1" fmla="*/ 3937000 w 4540250"/>
                                  <a:gd name="connsiteY1" fmla="*/ 721995 h 2357120"/>
                                  <a:gd name="connisteX2" fmla="*/ 4358005 w 4540250"/>
                                  <a:gd name="connsiteY2" fmla="*/ 1031875 h 2357120"/>
                                  <a:gd name="connisteX3" fmla="*/ 4469130 w 4540250"/>
                                  <a:gd name="connsiteY3" fmla="*/ 1174750 h 2357120"/>
                                  <a:gd name="connisteX4" fmla="*/ 4532630 w 4540250"/>
                                  <a:gd name="connsiteY4" fmla="*/ 1293495 h 2357120"/>
                                  <a:gd name="connisteX5" fmla="*/ 4540250 w 4540250"/>
                                  <a:gd name="connsiteY5" fmla="*/ 1404620 h 2357120"/>
                                  <a:gd name="connisteX6" fmla="*/ 4397375 w 4540250"/>
                                  <a:gd name="connsiteY6" fmla="*/ 1706245 h 2357120"/>
                                  <a:gd name="connisteX7" fmla="*/ 4215130 w 4540250"/>
                                  <a:gd name="connsiteY7" fmla="*/ 1857375 h 2357120"/>
                                  <a:gd name="connisteX8" fmla="*/ 4024630 w 4540250"/>
                                  <a:gd name="connsiteY8" fmla="*/ 2023745 h 2357120"/>
                                  <a:gd name="connisteX9" fmla="*/ 3667125 w 4540250"/>
                                  <a:gd name="connsiteY9" fmla="*/ 2214245 h 2357120"/>
                                  <a:gd name="connisteX10" fmla="*/ 3286125 w 4540250"/>
                                  <a:gd name="connsiteY10" fmla="*/ 2317750 h 2357120"/>
                                  <a:gd name="connisteX11" fmla="*/ 2786380 w 4540250"/>
                                  <a:gd name="connsiteY11" fmla="*/ 2357120 h 2357120"/>
                                  <a:gd name="connisteX12" fmla="*/ 2222500 w 4540250"/>
                                  <a:gd name="connsiteY12" fmla="*/ 2309495 h 2357120"/>
                                  <a:gd name="connisteX13" fmla="*/ 1881505 w 4540250"/>
                                  <a:gd name="connsiteY13" fmla="*/ 2198370 h 2357120"/>
                                  <a:gd name="connisteX14" fmla="*/ 1595755 w 4540250"/>
                                  <a:gd name="connsiteY14" fmla="*/ 2118995 h 2357120"/>
                                  <a:gd name="connisteX15" fmla="*/ 1270000 w 4540250"/>
                                  <a:gd name="connsiteY15" fmla="*/ 1991995 h 2357120"/>
                                  <a:gd name="connisteX16" fmla="*/ 0 w 4540250"/>
                                  <a:gd name="connsiteY16" fmla="*/ 1397000 h 2357120"/>
                                  <a:gd name="connisteX17" fmla="*/ 8255 w 4540250"/>
                                  <a:gd name="connsiteY17" fmla="*/ 1182370 h 2357120"/>
                                  <a:gd name="connisteX18" fmla="*/ 142875 w 4540250"/>
                                  <a:gd name="connsiteY18" fmla="*/ 762000 h 2357120"/>
                                  <a:gd name="connisteX19" fmla="*/ 174625 w 4540250"/>
                                  <a:gd name="connsiteY19" fmla="*/ 523875 h 2357120"/>
                                  <a:gd name="connisteX20" fmla="*/ 238125 w 4540250"/>
                                  <a:gd name="connsiteY20" fmla="*/ 476250 h 2357120"/>
                                  <a:gd name="connisteX21" fmla="*/ 460375 w 4540250"/>
                                  <a:gd name="connsiteY21" fmla="*/ 483870 h 2357120"/>
                                  <a:gd name="connisteX22" fmla="*/ 690880 w 4540250"/>
                                  <a:gd name="connsiteY22" fmla="*/ 483870 h 2357120"/>
                                  <a:gd name="connisteX23" fmla="*/ 897255 w 4540250"/>
                                  <a:gd name="connsiteY23" fmla="*/ 467995 h 2357120"/>
                                  <a:gd name="connisteX24" fmla="*/ 1127125 w 4540250"/>
                                  <a:gd name="connsiteY24" fmla="*/ 460375 h 2357120"/>
                                  <a:gd name="connisteX25" fmla="*/ 1365250 w 4540250"/>
                                  <a:gd name="connsiteY25" fmla="*/ 420370 h 2357120"/>
                                  <a:gd name="connisteX26" fmla="*/ 1643380 w 4540250"/>
                                  <a:gd name="connsiteY26" fmla="*/ 356870 h 2357120"/>
                                  <a:gd name="connisteX27" fmla="*/ 1920875 w 4540250"/>
                                  <a:gd name="connsiteY27" fmla="*/ 261620 h 2357120"/>
                                  <a:gd name="connisteX28" fmla="*/ 2087880 w 4540250"/>
                                  <a:gd name="connsiteY28" fmla="*/ 166370 h 2357120"/>
                                  <a:gd name="connisteX29" fmla="*/ 2301875 w 4540250"/>
                                  <a:gd name="connsiteY29" fmla="*/ 0 h 2357120"/>
                                  <a:gd name="connisteX30" fmla="*/ 2492375 w 4540250"/>
                                  <a:gd name="connsiteY30" fmla="*/ 63500 h 235712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Lst>
                                <a:rect l="l" t="t" r="r" b="b"/>
                                <a:pathLst>
                                  <a:path w="4540250" h="2357120">
                                    <a:moveTo>
                                      <a:pt x="2492375" y="63500"/>
                                    </a:moveTo>
                                    <a:lnTo>
                                      <a:pt x="3937000" y="721995"/>
                                    </a:lnTo>
                                    <a:lnTo>
                                      <a:pt x="4358005" y="1031875"/>
                                    </a:lnTo>
                                    <a:lnTo>
                                      <a:pt x="4469130" y="1174750"/>
                                    </a:lnTo>
                                    <a:lnTo>
                                      <a:pt x="4532630" y="1293495"/>
                                    </a:lnTo>
                                    <a:lnTo>
                                      <a:pt x="4540250" y="1404620"/>
                                    </a:lnTo>
                                    <a:lnTo>
                                      <a:pt x="4397375" y="1706245"/>
                                    </a:lnTo>
                                    <a:lnTo>
                                      <a:pt x="4215130" y="1857375"/>
                                    </a:lnTo>
                                    <a:lnTo>
                                      <a:pt x="4024630" y="2023745"/>
                                    </a:lnTo>
                                    <a:lnTo>
                                      <a:pt x="3667125" y="2214245"/>
                                    </a:lnTo>
                                    <a:lnTo>
                                      <a:pt x="3286125" y="2317750"/>
                                    </a:lnTo>
                                    <a:lnTo>
                                      <a:pt x="2786380" y="2357120"/>
                                    </a:lnTo>
                                    <a:lnTo>
                                      <a:pt x="2222500" y="2309495"/>
                                    </a:lnTo>
                                    <a:lnTo>
                                      <a:pt x="1881505" y="2198370"/>
                                    </a:lnTo>
                                    <a:lnTo>
                                      <a:pt x="1595755" y="2118995"/>
                                    </a:lnTo>
                                    <a:lnTo>
                                      <a:pt x="1270000" y="1991995"/>
                                    </a:lnTo>
                                    <a:lnTo>
                                      <a:pt x="0" y="1397000"/>
                                    </a:lnTo>
                                    <a:lnTo>
                                      <a:pt x="8255" y="1182370"/>
                                    </a:lnTo>
                                    <a:lnTo>
                                      <a:pt x="142875" y="762000"/>
                                    </a:lnTo>
                                    <a:lnTo>
                                      <a:pt x="174625" y="523875"/>
                                    </a:lnTo>
                                    <a:lnTo>
                                      <a:pt x="238125" y="476250"/>
                                    </a:lnTo>
                                    <a:lnTo>
                                      <a:pt x="460375" y="483870"/>
                                    </a:lnTo>
                                    <a:lnTo>
                                      <a:pt x="690880" y="483870"/>
                                    </a:lnTo>
                                    <a:lnTo>
                                      <a:pt x="897255" y="467995"/>
                                    </a:lnTo>
                                    <a:lnTo>
                                      <a:pt x="1127125" y="460375"/>
                                    </a:lnTo>
                                    <a:lnTo>
                                      <a:pt x="1365250" y="420370"/>
                                    </a:lnTo>
                                    <a:lnTo>
                                      <a:pt x="1643380" y="356870"/>
                                    </a:lnTo>
                                    <a:lnTo>
                                      <a:pt x="1920875" y="261620"/>
                                    </a:lnTo>
                                    <a:lnTo>
                                      <a:pt x="2087880" y="166370"/>
                                    </a:lnTo>
                                    <a:lnTo>
                                      <a:pt x="2301875" y="0"/>
                                    </a:lnTo>
                                    <a:lnTo>
                                      <a:pt x="2492375" y="63500"/>
                                    </a:lnTo>
                                    <a:close/>
                                  </a:path>
                                </a:pathLst>
                              </a:cu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1.15pt;margin-top:124.95pt;height:185.6pt;width:357.5pt;z-index:251668480;mso-width-relative:page;mso-height-relative:page;" filled="f" stroked="t" coordsize="4540250,2357120" o:gfxdata="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" path="m2492375,63500l3937000,721995,4358005,1031875,4469130,1174750,4532630,1293495,4540250,1404620,4397375,1706245,4215130,1857375,4024630,2023745,3667125,2214245,3286125,2317750,2786380,2357120,2222500,2309495,1881505,2198370,1595755,2118995,1270000,1991995,0,1397000,8255,1182370,142875,762000,174625,523875,238125,476250,460375,483870,690880,483870,897255,467995,1127125,460375,1365250,420370,1643380,356870,1920875,261620,2087880,166370,2301875,0,2492375,63500xe">
                      <v:path o:connectlocs="2492375,63500;3937000,721995;4358005,1031875;4469130,1174750;4532630,1293495;4540250,1404620;4397375,1706245;4215130,1857375;4024630,2023745;3667125,2214245;3286125,2317750;2786380,2357120;2222500,2309495;1881505,2198370;1595755,2118995;1270000,1991995;0,1397000;8255,1182370;142875,762000;174625,523875;238125,476250;460375,483870;690880,483870;897255,467995;1127125,460375;1365250,420370;1643380,356870;1920875,261620;2087880,166370;2301875,0;2492375,63500" o:connectangles="0,0,0,0,0,0,0,0,0,0,0,0,0,0,0,0,0,0,0,0,0,0,0,0,0,0,0,0,0,0,0"/>
                      <v:fill on="f" focussize="0,0"/>
                      <v:stroke weight="2pt" color="#FFC000 [3204]" joinstyle="round"/>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7456" behindDoc="0" locked="0" layoutInCell="1" allowOverlap="1">
                      <wp:simplePos x="0" y="0"/>
                      <wp:positionH relativeFrom="column">
                        <wp:posOffset>407670</wp:posOffset>
                      </wp:positionH>
                      <wp:positionV relativeFrom="paragraph">
                        <wp:posOffset>3220720</wp:posOffset>
                      </wp:positionV>
                      <wp:extent cx="168910" cy="167005"/>
                      <wp:effectExtent l="0" t="0" r="2540" b="4445"/>
                      <wp:wrapNone/>
                      <wp:docPr id="53" name="椭圆 53"/>
                      <wp:cNvGraphicFramePr/>
                      <a:graphic xmlns:a="http://schemas.openxmlformats.org/drawingml/2006/main">
                        <a:graphicData uri="http://schemas.microsoft.com/office/word/2010/wordprocessingShape">
                          <wps:wsp>
                            <wps:cNvSpPr/>
                            <wps:spPr>
                              <a:xfrm>
                                <a:off x="1577340" y="4133215"/>
                                <a:ext cx="168910" cy="16700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2.1pt;margin-top:253.6pt;height:13.15pt;width:13.3pt;z-index:251667456;v-text-anchor:middle;mso-width-relative:page;mso-height-relative:page;" fillcolor="#FF0000" filled="t" stroked="f" coordsize="21600,21600" o:gfxdata="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0I0Sn2QAAAAkBAAAPAAAAAAAAAAEAIAAAACIAAABkcnMvZG93bnJl&#10;di54bWxQSwECFAAUAAAACACHTuJAP3XdSW4CAADEBAAADgAAAAAAAAABACAAAAAoAQAAZHJzL2Uy&#10;b0RvYy54bWxQSwUGAAAAAAYABgBZAQAACAYAAAAA&#10;">
                      <v:fill on="t" focussize="0,0"/>
                      <v:stroke on="f" weight="2pt"/>
                      <v:imagedata o:title=""/>
                      <o:lock v:ext="edit" aspectratio="f"/>
                    </v:shape>
                  </w:pict>
                </mc:Fallback>
              </mc:AlternateContent>
            </w:r>
            <w:r>
              <w:rPr>
                <w:rFonts w:hint="default" w:ascii="Times New Roman" w:hAnsi="Times New Roman" w:eastAsia="宋体" w:cs="Times New Roman"/>
                <w:color w:val="auto"/>
                <w:lang w:val="en-US" w:eastAsia="zh-CN"/>
              </w:rPr>
              <w:drawing>
                <wp:inline distT="0" distB="0" distL="114300" distR="114300">
                  <wp:extent cx="5485765" cy="4398645"/>
                  <wp:effectExtent l="0" t="0" r="635" b="1905"/>
                  <wp:docPr id="52" name="图片 52" descr="cef74381-c63d-4cf4-91b7-cd0c8fe32f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cef74381-c63d-4cf4-91b7-cd0c8fe32fe2"/>
                          <pic:cNvPicPr>
                            <a:picLocks noChangeAspect="1"/>
                          </pic:cNvPicPr>
                        </pic:nvPicPr>
                        <pic:blipFill>
                          <a:blip r:embed="rId20"/>
                          <a:stretch>
                            <a:fillRect/>
                          </a:stretch>
                        </pic:blipFill>
                        <pic:spPr>
                          <a:xfrm>
                            <a:off x="0" y="0"/>
                            <a:ext cx="5485765" cy="4398645"/>
                          </a:xfrm>
                          <a:prstGeom prst="rect">
                            <a:avLst/>
                          </a:prstGeom>
                        </pic:spPr>
                      </pic:pic>
                    </a:graphicData>
                  </a:graphic>
                </wp:inline>
              </w:drawing>
            </w:r>
          </w:p>
          <w:p w14:paraId="7EEF3D80">
            <w:pPr>
              <w:pStyle w:val="122"/>
              <w:snapToGrid w:val="0"/>
              <w:spacing w:before="113" w:beforeLines="30" w:after="113" w:afterLines="30"/>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图3.1-1  监测点位图</w:t>
            </w:r>
          </w:p>
          <w:p w14:paraId="70D63DA4">
            <w:pPr>
              <w:pStyle w:val="5"/>
              <w:spacing w:before="189" w:after="189" w:afterLines="50" w:afterAutospacing="0" w:line="240" w:lineRule="auto"/>
              <w:rPr>
                <w:rFonts w:hint="default" w:ascii="Times New Roman" w:hAnsi="Times New Roman" w:cs="Times New Roman"/>
                <w:color w:val="auto"/>
              </w:rPr>
            </w:pPr>
            <w:r>
              <w:rPr>
                <w:rFonts w:hint="default" w:ascii="Times New Roman" w:hAnsi="Times New Roman" w:cs="Times New Roman"/>
                <w:color w:val="auto"/>
              </w:rPr>
              <w:t>3.1.2地表水环境质量</w:t>
            </w:r>
          </w:p>
          <w:p w14:paraId="246084E5">
            <w:pPr>
              <w:pStyle w:val="103"/>
              <w:rPr>
                <w:rFonts w:hint="default" w:ascii="Times New Roman" w:hAnsi="Times New Roman" w:cs="Times New Roman"/>
                <w:color w:val="auto"/>
              </w:rPr>
            </w:pPr>
            <w:r>
              <w:rPr>
                <w:rFonts w:hint="default" w:ascii="Times New Roman" w:hAnsi="Times New Roman" w:cs="Times New Roman"/>
                <w:snapToGrid w:val="0"/>
                <w:color w:val="auto"/>
                <w:sz w:val="24"/>
              </w:rPr>
              <w:t>项目周边地表水体为沙溪，水质执行《地表水环境质量标准》（GB3838-2002)Ⅱ类标准。见表3.1-6</w:t>
            </w:r>
            <w:r>
              <w:rPr>
                <w:rFonts w:hint="default" w:ascii="Times New Roman" w:hAnsi="Times New Roman" w:cs="Times New Roman"/>
                <w:color w:val="auto"/>
              </w:rPr>
              <w:t>。</w:t>
            </w:r>
          </w:p>
          <w:p w14:paraId="17CC4DA8">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 xml:space="preserve">表3.1-6 </w:t>
            </w:r>
            <w:r>
              <w:rPr>
                <w:rFonts w:hint="eastAsia" w:eastAsia="黑体" w:cs="Times New Roman"/>
                <w:b w:val="0"/>
                <w:bCs/>
                <w:color w:val="auto"/>
                <w:lang w:val="en-US" w:eastAsia="zh-CN"/>
              </w:rPr>
              <w:t xml:space="preserve"> </w:t>
            </w:r>
            <w:r>
              <w:rPr>
                <w:rFonts w:hint="default" w:ascii="Times New Roman" w:hAnsi="Times New Roman" w:eastAsia="黑体" w:cs="Times New Roman"/>
                <w:b w:val="0"/>
                <w:bCs/>
                <w:color w:val="auto"/>
              </w:rPr>
              <w:t>《地表水环境质量标准》（GB3838-2002）（摘录）</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26"/>
              <w:gridCol w:w="3280"/>
              <w:gridCol w:w="2016"/>
              <w:gridCol w:w="2111"/>
            </w:tblGrid>
            <w:tr w14:paraId="14D5D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710" w:type="pct"/>
                  <w:tcBorders>
                    <w:tl2br w:val="nil"/>
                    <w:tr2bl w:val="nil"/>
                  </w:tcBorders>
                  <w:vAlign w:val="center"/>
                </w:tcPr>
                <w:p w14:paraId="6E8A3275">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序号</w:t>
                  </w:r>
                </w:p>
              </w:tc>
              <w:tc>
                <w:tcPr>
                  <w:tcW w:w="1899" w:type="pct"/>
                  <w:tcBorders>
                    <w:tl2br w:val="nil"/>
                    <w:tr2bl w:val="nil"/>
                  </w:tcBorders>
                  <w:vAlign w:val="center"/>
                </w:tcPr>
                <w:p w14:paraId="0C361B57">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污染物名称</w:t>
                  </w:r>
                </w:p>
              </w:tc>
              <w:tc>
                <w:tcPr>
                  <w:tcW w:w="1167" w:type="pct"/>
                  <w:tcBorders>
                    <w:tl2br w:val="nil"/>
                    <w:tr2bl w:val="nil"/>
                  </w:tcBorders>
                  <w:vAlign w:val="center"/>
                </w:tcPr>
                <w:p w14:paraId="7B2AFAC8">
                  <w:pPr>
                    <w:pStyle w:val="145"/>
                    <w:rPr>
                      <w:rFonts w:hint="default" w:ascii="Times New Roman" w:hAnsi="Times New Roman" w:cs="Times New Roman"/>
                      <w:snapToGrid w:val="0"/>
                      <w:color w:val="auto"/>
                      <w:szCs w:val="21"/>
                    </w:rPr>
                  </w:pPr>
                  <w:r>
                    <w:rPr>
                      <w:rFonts w:hint="default" w:ascii="Times New Roman" w:hAnsi="Times New Roman" w:cs="Times New Roman"/>
                      <w:color w:val="auto"/>
                      <w:szCs w:val="21"/>
                    </w:rPr>
                    <w:t>Ⅱ</w:t>
                  </w:r>
                  <w:r>
                    <w:rPr>
                      <w:rFonts w:hint="default" w:ascii="Times New Roman" w:hAnsi="Times New Roman" w:cs="Times New Roman"/>
                      <w:snapToGrid w:val="0"/>
                      <w:color w:val="auto"/>
                      <w:szCs w:val="21"/>
                    </w:rPr>
                    <w:t>类标准限值</w:t>
                  </w:r>
                </w:p>
              </w:tc>
              <w:tc>
                <w:tcPr>
                  <w:tcW w:w="1222" w:type="pct"/>
                  <w:tcBorders>
                    <w:tl2br w:val="nil"/>
                    <w:tr2bl w:val="nil"/>
                  </w:tcBorders>
                  <w:vAlign w:val="center"/>
                </w:tcPr>
                <w:p w14:paraId="28F6A1EE">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单位</w:t>
                  </w:r>
                </w:p>
              </w:tc>
            </w:tr>
            <w:tr w14:paraId="5F39B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710" w:type="pct"/>
                  <w:tcBorders>
                    <w:tl2br w:val="nil"/>
                    <w:tr2bl w:val="nil"/>
                  </w:tcBorders>
                  <w:vAlign w:val="center"/>
                </w:tcPr>
                <w:p w14:paraId="4CA8E8FB">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1</w:t>
                  </w:r>
                </w:p>
              </w:tc>
              <w:tc>
                <w:tcPr>
                  <w:tcW w:w="1899" w:type="pct"/>
                  <w:tcBorders>
                    <w:tl2br w:val="nil"/>
                    <w:tr2bl w:val="nil"/>
                  </w:tcBorders>
                  <w:vAlign w:val="center"/>
                </w:tcPr>
                <w:p w14:paraId="5E98920A">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pH</w:t>
                  </w:r>
                </w:p>
              </w:tc>
              <w:tc>
                <w:tcPr>
                  <w:tcW w:w="1167" w:type="pct"/>
                  <w:tcBorders>
                    <w:tl2br w:val="nil"/>
                    <w:tr2bl w:val="nil"/>
                  </w:tcBorders>
                  <w:vAlign w:val="center"/>
                </w:tcPr>
                <w:p w14:paraId="69AAC036">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6~9</w:t>
                  </w:r>
                </w:p>
              </w:tc>
              <w:tc>
                <w:tcPr>
                  <w:tcW w:w="1222" w:type="pct"/>
                  <w:tcBorders>
                    <w:tl2br w:val="nil"/>
                    <w:tr2bl w:val="nil"/>
                  </w:tcBorders>
                  <w:vAlign w:val="center"/>
                </w:tcPr>
                <w:p w14:paraId="571788C6">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无量纲</w:t>
                  </w:r>
                </w:p>
              </w:tc>
            </w:tr>
            <w:tr w14:paraId="79DCF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710" w:type="pct"/>
                  <w:tcBorders>
                    <w:tl2br w:val="nil"/>
                    <w:tr2bl w:val="nil"/>
                  </w:tcBorders>
                  <w:vAlign w:val="center"/>
                </w:tcPr>
                <w:p w14:paraId="4E1CDE13">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2</w:t>
                  </w:r>
                </w:p>
              </w:tc>
              <w:tc>
                <w:tcPr>
                  <w:tcW w:w="1899" w:type="pct"/>
                  <w:tcBorders>
                    <w:tl2br w:val="nil"/>
                    <w:tr2bl w:val="nil"/>
                  </w:tcBorders>
                  <w:vAlign w:val="center"/>
                </w:tcPr>
                <w:p w14:paraId="1A11976F">
                  <w:pPr>
                    <w:pStyle w:val="145"/>
                    <w:rPr>
                      <w:rFonts w:hint="default" w:ascii="Times New Roman" w:hAnsi="Times New Roman" w:cs="Times New Roman"/>
                      <w:snapToGrid w:val="0"/>
                      <w:color w:val="auto"/>
                      <w:szCs w:val="21"/>
                    </w:rPr>
                  </w:pPr>
                  <w:r>
                    <w:rPr>
                      <w:rFonts w:hint="default" w:ascii="Times New Roman" w:hAnsi="Times New Roman" w:cs="Times New Roman"/>
                      <w:color w:val="auto"/>
                      <w:szCs w:val="21"/>
                    </w:rPr>
                    <w:t>溶解氧</w:t>
                  </w:r>
                  <w:r>
                    <w:rPr>
                      <w:rFonts w:hint="default" w:ascii="Times New Roman" w:hAnsi="Times New Roman" w:cs="Times New Roman"/>
                      <w:snapToGrid w:val="0"/>
                      <w:color w:val="auto"/>
                      <w:szCs w:val="21"/>
                    </w:rPr>
                    <w:t>（DO）</w:t>
                  </w:r>
                </w:p>
              </w:tc>
              <w:tc>
                <w:tcPr>
                  <w:tcW w:w="1167" w:type="pct"/>
                  <w:tcBorders>
                    <w:tl2br w:val="nil"/>
                    <w:tr2bl w:val="nil"/>
                  </w:tcBorders>
                  <w:vAlign w:val="center"/>
                </w:tcPr>
                <w:p w14:paraId="6F7A4D21">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≥6</w:t>
                  </w:r>
                </w:p>
              </w:tc>
              <w:tc>
                <w:tcPr>
                  <w:tcW w:w="1222" w:type="pct"/>
                  <w:tcBorders>
                    <w:tl2br w:val="nil"/>
                    <w:tr2bl w:val="nil"/>
                  </w:tcBorders>
                  <w:vAlign w:val="center"/>
                </w:tcPr>
                <w:p w14:paraId="17D853AD">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mg/L</w:t>
                  </w:r>
                </w:p>
              </w:tc>
            </w:tr>
            <w:tr w14:paraId="5A9AE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710" w:type="pct"/>
                  <w:tcBorders>
                    <w:tl2br w:val="nil"/>
                    <w:tr2bl w:val="nil"/>
                  </w:tcBorders>
                  <w:vAlign w:val="center"/>
                </w:tcPr>
                <w:p w14:paraId="294002B4">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3</w:t>
                  </w:r>
                </w:p>
              </w:tc>
              <w:tc>
                <w:tcPr>
                  <w:tcW w:w="1899" w:type="pct"/>
                  <w:tcBorders>
                    <w:tl2br w:val="nil"/>
                    <w:tr2bl w:val="nil"/>
                  </w:tcBorders>
                  <w:vAlign w:val="center"/>
                </w:tcPr>
                <w:p w14:paraId="4F130F12">
                  <w:pPr>
                    <w:pStyle w:val="145"/>
                    <w:rPr>
                      <w:rFonts w:hint="default" w:ascii="Times New Roman" w:hAnsi="Times New Roman" w:cs="Times New Roman"/>
                      <w:snapToGrid w:val="0"/>
                      <w:color w:val="auto"/>
                      <w:szCs w:val="21"/>
                    </w:rPr>
                  </w:pPr>
                  <w:r>
                    <w:rPr>
                      <w:rFonts w:hint="default" w:ascii="Times New Roman" w:hAnsi="Times New Roman" w:cs="Times New Roman"/>
                      <w:color w:val="auto"/>
                      <w:szCs w:val="21"/>
                    </w:rPr>
                    <w:t>高锰酸盐指数</w:t>
                  </w:r>
                </w:p>
              </w:tc>
              <w:tc>
                <w:tcPr>
                  <w:tcW w:w="1167" w:type="pct"/>
                  <w:tcBorders>
                    <w:tl2br w:val="nil"/>
                    <w:tr2bl w:val="nil"/>
                  </w:tcBorders>
                  <w:vAlign w:val="center"/>
                </w:tcPr>
                <w:p w14:paraId="262B0EBE">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≤4</w:t>
                  </w:r>
                </w:p>
              </w:tc>
              <w:tc>
                <w:tcPr>
                  <w:tcW w:w="1222" w:type="pct"/>
                  <w:tcBorders>
                    <w:tl2br w:val="nil"/>
                    <w:tr2bl w:val="nil"/>
                  </w:tcBorders>
                  <w:vAlign w:val="center"/>
                </w:tcPr>
                <w:p w14:paraId="4DBE6104">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mg/L</w:t>
                  </w:r>
                </w:p>
              </w:tc>
            </w:tr>
            <w:tr w14:paraId="65FC2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710" w:type="pct"/>
                  <w:tcBorders>
                    <w:tl2br w:val="nil"/>
                    <w:tr2bl w:val="nil"/>
                  </w:tcBorders>
                  <w:vAlign w:val="center"/>
                </w:tcPr>
                <w:p w14:paraId="2B6B4B51">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4</w:t>
                  </w:r>
                </w:p>
              </w:tc>
              <w:tc>
                <w:tcPr>
                  <w:tcW w:w="1899" w:type="pct"/>
                  <w:tcBorders>
                    <w:tl2br w:val="nil"/>
                    <w:tr2bl w:val="nil"/>
                  </w:tcBorders>
                  <w:vAlign w:val="center"/>
                </w:tcPr>
                <w:p w14:paraId="5601769F">
                  <w:pPr>
                    <w:pStyle w:val="145"/>
                    <w:rPr>
                      <w:rFonts w:hint="default" w:ascii="Times New Roman" w:hAnsi="Times New Roman" w:cs="Times New Roman"/>
                      <w:color w:val="auto"/>
                      <w:szCs w:val="21"/>
                    </w:rPr>
                  </w:pPr>
                  <w:r>
                    <w:rPr>
                      <w:rFonts w:hint="default" w:ascii="Times New Roman" w:hAnsi="Times New Roman" w:cs="Times New Roman"/>
                      <w:color w:val="auto"/>
                      <w:szCs w:val="21"/>
                    </w:rPr>
                    <w:t>五日生化需氧量（BOD</w:t>
                  </w:r>
                  <w:r>
                    <w:rPr>
                      <w:rFonts w:hint="default" w:ascii="Times New Roman" w:hAnsi="Times New Roman" w:cs="Times New Roman"/>
                      <w:color w:val="auto"/>
                      <w:szCs w:val="21"/>
                      <w:vertAlign w:val="subscript"/>
                    </w:rPr>
                    <w:t>5</w:t>
                  </w:r>
                  <w:r>
                    <w:rPr>
                      <w:rFonts w:hint="default" w:ascii="Times New Roman" w:hAnsi="Times New Roman" w:cs="Times New Roman"/>
                      <w:color w:val="auto"/>
                      <w:szCs w:val="21"/>
                    </w:rPr>
                    <w:t>）</w:t>
                  </w:r>
                </w:p>
              </w:tc>
              <w:tc>
                <w:tcPr>
                  <w:tcW w:w="1167" w:type="pct"/>
                  <w:tcBorders>
                    <w:tl2br w:val="nil"/>
                    <w:tr2bl w:val="nil"/>
                  </w:tcBorders>
                  <w:vAlign w:val="center"/>
                </w:tcPr>
                <w:p w14:paraId="15368758">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≤3</w:t>
                  </w:r>
                </w:p>
              </w:tc>
              <w:tc>
                <w:tcPr>
                  <w:tcW w:w="1222" w:type="pct"/>
                  <w:tcBorders>
                    <w:tl2br w:val="nil"/>
                    <w:tr2bl w:val="nil"/>
                  </w:tcBorders>
                  <w:vAlign w:val="center"/>
                </w:tcPr>
                <w:p w14:paraId="6C089FD1">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mg/L</w:t>
                  </w:r>
                </w:p>
              </w:tc>
            </w:tr>
            <w:tr w14:paraId="37E77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710" w:type="pct"/>
                  <w:tcBorders>
                    <w:tl2br w:val="nil"/>
                    <w:tr2bl w:val="nil"/>
                  </w:tcBorders>
                  <w:vAlign w:val="center"/>
                </w:tcPr>
                <w:p w14:paraId="59475429">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5</w:t>
                  </w:r>
                </w:p>
              </w:tc>
              <w:tc>
                <w:tcPr>
                  <w:tcW w:w="1899" w:type="pct"/>
                  <w:tcBorders>
                    <w:tl2br w:val="nil"/>
                    <w:tr2bl w:val="nil"/>
                  </w:tcBorders>
                  <w:vAlign w:val="center"/>
                </w:tcPr>
                <w:p w14:paraId="20BED34D">
                  <w:pPr>
                    <w:pStyle w:val="145"/>
                    <w:rPr>
                      <w:rFonts w:hint="default" w:ascii="Times New Roman" w:hAnsi="Times New Roman" w:cs="Times New Roman"/>
                      <w:color w:val="auto"/>
                      <w:szCs w:val="21"/>
                    </w:rPr>
                  </w:pPr>
                  <w:r>
                    <w:rPr>
                      <w:rFonts w:hint="default" w:ascii="Times New Roman" w:hAnsi="Times New Roman" w:cs="Times New Roman"/>
                      <w:color w:val="auto"/>
                      <w:szCs w:val="21"/>
                    </w:rPr>
                    <w:t>化学需氧量（COD）</w:t>
                  </w:r>
                </w:p>
              </w:tc>
              <w:tc>
                <w:tcPr>
                  <w:tcW w:w="1167" w:type="pct"/>
                  <w:tcBorders>
                    <w:tl2br w:val="nil"/>
                    <w:tr2bl w:val="nil"/>
                  </w:tcBorders>
                  <w:vAlign w:val="center"/>
                </w:tcPr>
                <w:p w14:paraId="423B06DE">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≤15</w:t>
                  </w:r>
                </w:p>
              </w:tc>
              <w:tc>
                <w:tcPr>
                  <w:tcW w:w="1222" w:type="pct"/>
                  <w:tcBorders>
                    <w:tl2br w:val="nil"/>
                    <w:tr2bl w:val="nil"/>
                  </w:tcBorders>
                  <w:vAlign w:val="center"/>
                </w:tcPr>
                <w:p w14:paraId="4B9B6934">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mg/L</w:t>
                  </w:r>
                </w:p>
              </w:tc>
            </w:tr>
            <w:tr w14:paraId="53E54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710" w:type="pct"/>
                  <w:tcBorders>
                    <w:tl2br w:val="nil"/>
                    <w:tr2bl w:val="nil"/>
                  </w:tcBorders>
                  <w:vAlign w:val="center"/>
                </w:tcPr>
                <w:p w14:paraId="446FCE47">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6</w:t>
                  </w:r>
                </w:p>
              </w:tc>
              <w:tc>
                <w:tcPr>
                  <w:tcW w:w="1899" w:type="pct"/>
                  <w:tcBorders>
                    <w:tl2br w:val="nil"/>
                    <w:tr2bl w:val="nil"/>
                  </w:tcBorders>
                  <w:vAlign w:val="center"/>
                </w:tcPr>
                <w:p w14:paraId="1E4F1454">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氨氮（NH</w:t>
                  </w:r>
                  <w:r>
                    <w:rPr>
                      <w:rFonts w:hint="default" w:ascii="Times New Roman" w:hAnsi="Times New Roman" w:cs="Times New Roman"/>
                      <w:snapToGrid w:val="0"/>
                      <w:color w:val="auto"/>
                      <w:szCs w:val="21"/>
                      <w:vertAlign w:val="subscript"/>
                    </w:rPr>
                    <w:t>3</w:t>
                  </w:r>
                  <w:r>
                    <w:rPr>
                      <w:rFonts w:hint="default" w:ascii="Times New Roman" w:hAnsi="Times New Roman" w:cs="Times New Roman"/>
                      <w:snapToGrid w:val="0"/>
                      <w:color w:val="auto"/>
                      <w:szCs w:val="21"/>
                    </w:rPr>
                    <w:t>-N）</w:t>
                  </w:r>
                </w:p>
              </w:tc>
              <w:tc>
                <w:tcPr>
                  <w:tcW w:w="1167" w:type="pct"/>
                  <w:tcBorders>
                    <w:tl2br w:val="nil"/>
                    <w:tr2bl w:val="nil"/>
                  </w:tcBorders>
                  <w:vAlign w:val="center"/>
                </w:tcPr>
                <w:p w14:paraId="635C6F34">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≤0.5</w:t>
                  </w:r>
                </w:p>
              </w:tc>
              <w:tc>
                <w:tcPr>
                  <w:tcW w:w="1222" w:type="pct"/>
                  <w:tcBorders>
                    <w:tl2br w:val="nil"/>
                    <w:tr2bl w:val="nil"/>
                  </w:tcBorders>
                  <w:vAlign w:val="center"/>
                </w:tcPr>
                <w:p w14:paraId="0D33C575">
                  <w:pPr>
                    <w:pStyle w:val="145"/>
                    <w:rPr>
                      <w:rFonts w:hint="default" w:ascii="Times New Roman" w:hAnsi="Times New Roman" w:cs="Times New Roman"/>
                      <w:color w:val="auto"/>
                      <w:szCs w:val="21"/>
                    </w:rPr>
                  </w:pPr>
                  <w:r>
                    <w:rPr>
                      <w:rFonts w:hint="default" w:ascii="Times New Roman" w:hAnsi="Times New Roman" w:cs="Times New Roman"/>
                      <w:snapToGrid w:val="0"/>
                      <w:color w:val="auto"/>
                      <w:szCs w:val="21"/>
                    </w:rPr>
                    <w:t>mg/L</w:t>
                  </w:r>
                </w:p>
              </w:tc>
            </w:tr>
            <w:tr w14:paraId="38E2D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710" w:type="pct"/>
                  <w:tcBorders>
                    <w:tl2br w:val="nil"/>
                    <w:tr2bl w:val="nil"/>
                  </w:tcBorders>
                  <w:vAlign w:val="center"/>
                </w:tcPr>
                <w:p w14:paraId="7A795FA2">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7</w:t>
                  </w:r>
                </w:p>
              </w:tc>
              <w:tc>
                <w:tcPr>
                  <w:tcW w:w="1899" w:type="pct"/>
                  <w:tcBorders>
                    <w:tl2br w:val="nil"/>
                    <w:tr2bl w:val="nil"/>
                  </w:tcBorders>
                  <w:vAlign w:val="center"/>
                </w:tcPr>
                <w:p w14:paraId="686EFD80">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总磷（TP）</w:t>
                  </w:r>
                </w:p>
              </w:tc>
              <w:tc>
                <w:tcPr>
                  <w:tcW w:w="1167" w:type="pct"/>
                  <w:tcBorders>
                    <w:tl2br w:val="nil"/>
                    <w:tr2bl w:val="nil"/>
                  </w:tcBorders>
                  <w:vAlign w:val="center"/>
                </w:tcPr>
                <w:p w14:paraId="04CDF95C">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≤0.1</w:t>
                  </w:r>
                </w:p>
              </w:tc>
              <w:tc>
                <w:tcPr>
                  <w:tcW w:w="1222" w:type="pct"/>
                  <w:tcBorders>
                    <w:tl2br w:val="nil"/>
                    <w:tr2bl w:val="nil"/>
                  </w:tcBorders>
                  <w:vAlign w:val="center"/>
                </w:tcPr>
                <w:p w14:paraId="35754CE7">
                  <w:pPr>
                    <w:pStyle w:val="145"/>
                    <w:rPr>
                      <w:rFonts w:hint="default" w:ascii="Times New Roman" w:hAnsi="Times New Roman" w:cs="Times New Roman"/>
                      <w:color w:val="auto"/>
                      <w:szCs w:val="21"/>
                    </w:rPr>
                  </w:pPr>
                  <w:r>
                    <w:rPr>
                      <w:rFonts w:hint="default" w:ascii="Times New Roman" w:hAnsi="Times New Roman" w:cs="Times New Roman"/>
                      <w:snapToGrid w:val="0"/>
                      <w:color w:val="auto"/>
                      <w:szCs w:val="21"/>
                    </w:rPr>
                    <w:t>mg/L</w:t>
                  </w:r>
                </w:p>
              </w:tc>
            </w:tr>
            <w:tr w14:paraId="77949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710" w:type="pct"/>
                  <w:tcBorders>
                    <w:tl2br w:val="nil"/>
                    <w:tr2bl w:val="nil"/>
                  </w:tcBorders>
                  <w:vAlign w:val="center"/>
                </w:tcPr>
                <w:p w14:paraId="0D568C9E">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8</w:t>
                  </w:r>
                </w:p>
              </w:tc>
              <w:tc>
                <w:tcPr>
                  <w:tcW w:w="1899" w:type="pct"/>
                  <w:tcBorders>
                    <w:tl2br w:val="nil"/>
                    <w:tr2bl w:val="nil"/>
                  </w:tcBorders>
                  <w:vAlign w:val="center"/>
                </w:tcPr>
                <w:p w14:paraId="45ECF8B9">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石油类</w:t>
                  </w:r>
                </w:p>
              </w:tc>
              <w:tc>
                <w:tcPr>
                  <w:tcW w:w="1167" w:type="pct"/>
                  <w:tcBorders>
                    <w:tl2br w:val="nil"/>
                    <w:tr2bl w:val="nil"/>
                  </w:tcBorders>
                  <w:vAlign w:val="center"/>
                </w:tcPr>
                <w:p w14:paraId="1FED965C">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≤0.05</w:t>
                  </w:r>
                </w:p>
              </w:tc>
              <w:tc>
                <w:tcPr>
                  <w:tcW w:w="1222" w:type="pct"/>
                  <w:tcBorders>
                    <w:tl2br w:val="nil"/>
                    <w:tr2bl w:val="nil"/>
                  </w:tcBorders>
                  <w:vAlign w:val="center"/>
                </w:tcPr>
                <w:p w14:paraId="55F49E48">
                  <w:pPr>
                    <w:pStyle w:val="145"/>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mg/L</w:t>
                  </w:r>
                </w:p>
              </w:tc>
            </w:tr>
          </w:tbl>
          <w:p w14:paraId="4A8F463A">
            <w:pPr>
              <w:pStyle w:val="103"/>
              <w:keepNext w:val="0"/>
              <w:keepLines w:val="0"/>
              <w:pageBreakBefore w:val="0"/>
              <w:widowControl w:val="0"/>
              <w:kinsoku/>
              <w:wordWrap/>
              <w:overflowPunct/>
              <w:topLinePunct w:val="0"/>
              <w:autoSpaceDE/>
              <w:autoSpaceDN/>
              <w:bidi w:val="0"/>
              <w:adjustRightInd w:val="0"/>
              <w:snapToGrid w:val="0"/>
              <w:spacing w:before="190" w:beforeLines="50"/>
              <w:textAlignment w:val="auto"/>
              <w:rPr>
                <w:rFonts w:hint="default" w:ascii="Times New Roman" w:hAnsi="Times New Roman" w:cs="Times New Roman"/>
                <w:snapToGrid w:val="0"/>
                <w:color w:val="auto"/>
                <w:sz w:val="24"/>
              </w:rPr>
            </w:pPr>
            <w:r>
              <w:rPr>
                <w:rFonts w:hint="default" w:ascii="Times New Roman" w:hAnsi="Times New Roman" w:cs="Times New Roman"/>
                <w:snapToGrid w:val="0"/>
                <w:color w:val="auto"/>
                <w:sz w:val="24"/>
              </w:rPr>
              <w:t>根据三明市生态环境局2025年6月5日发布的《2024年三明市生态环境状况公报》。2024年全市主要流域55个国（省）控断⾯各项监测指标年均值Ⅰ〜Ⅲ类⽔质⽐例为100%，其中Ⅰ〜Ⅱ类断⾯⽔质⽐例为94.5%，同⽐提⾼5.4个百分点。可认为项目区段水质现状较好，可满足《地表水环境质量标准》（GB3838-2002）Ⅱ类水质标准，区域地表水环境质量现状较好。</w:t>
            </w:r>
          </w:p>
          <w:p w14:paraId="56639484">
            <w:pPr>
              <w:pStyle w:val="5"/>
              <w:keepNext w:val="0"/>
              <w:keepLines w:val="0"/>
              <w:pageBreakBefore w:val="0"/>
              <w:widowControl w:val="0"/>
              <w:kinsoku/>
              <w:wordWrap/>
              <w:overflowPunct/>
              <w:topLinePunct w:val="0"/>
              <w:autoSpaceDE/>
              <w:autoSpaceDN/>
              <w:bidi w:val="0"/>
              <w:adjustRightInd w:val="0"/>
              <w:snapToGrid w:val="0"/>
              <w:spacing w:before="115" w:beforeLines="30" w:after="189" w:afterLines="50" w:afterAutospacing="0" w:line="240" w:lineRule="auto"/>
              <w:textAlignment w:val="auto"/>
              <w:rPr>
                <w:rFonts w:hint="default" w:ascii="Times New Roman" w:hAnsi="Times New Roman" w:cs="Times New Roman"/>
                <w:color w:val="auto"/>
              </w:rPr>
            </w:pPr>
            <w:r>
              <w:rPr>
                <w:rFonts w:hint="default" w:ascii="Times New Roman" w:hAnsi="Times New Roman" w:cs="Times New Roman"/>
                <w:color w:val="auto"/>
              </w:rPr>
              <w:t>3.1.3声环境</w:t>
            </w:r>
          </w:p>
          <w:p w14:paraId="23EC9EB1">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根据《建设项目环境影响报告表编制技术指南（污染影响类）（试行）》：厂界外周边50米范围内存在声环境保护目标的建设项目，应监测保护目标声环境质量现状并评价达标情况。</w:t>
            </w:r>
          </w:p>
          <w:p w14:paraId="0E4521EE">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kern w:val="2"/>
                <w:szCs w:val="24"/>
              </w:rPr>
              <w:t>本项目位于沙县金古经济开发区北片区福建省明光新型材料有限公司厂区内，位于3类声功能区，厂界声环境执行《声环境质量标准》（GB3096-2008）3类标准。项目用地红线外50m范围内无噪声敏感点分布，因此，项目不开展声环境质量现状监测。</w:t>
            </w:r>
          </w:p>
          <w:p w14:paraId="776BEEB1">
            <w:pPr>
              <w:pStyle w:val="129"/>
              <w:keepNext w:val="0"/>
              <w:keepLines w:val="0"/>
              <w:pageBreakBefore w:val="0"/>
              <w:widowControl w:val="0"/>
              <w:kinsoku/>
              <w:wordWrap/>
              <w:overflowPunct/>
              <w:topLinePunct w:val="0"/>
              <w:autoSpaceDE/>
              <w:autoSpaceDN/>
              <w:bidi w:val="0"/>
              <w:adjustRightInd/>
              <w:snapToGrid w:val="0"/>
              <w:spacing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表3.1-7  《声环境质量标准》(GB3096-2008)</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8"/>
              <w:gridCol w:w="4605"/>
              <w:gridCol w:w="1525"/>
              <w:gridCol w:w="1475"/>
            </w:tblGrid>
            <w:tr w14:paraId="37C01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5" w:type="pct"/>
                  <w:vMerge w:val="restart"/>
                  <w:tcBorders>
                    <w:tl2br w:val="nil"/>
                    <w:tr2bl w:val="nil"/>
                  </w:tcBorders>
                  <w:vAlign w:val="center"/>
                </w:tcPr>
                <w:p w14:paraId="04EB7DF0">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功能区</w:t>
                  </w:r>
                </w:p>
              </w:tc>
              <w:tc>
                <w:tcPr>
                  <w:tcW w:w="2666" w:type="pct"/>
                  <w:vMerge w:val="restart"/>
                  <w:tcBorders>
                    <w:tl2br w:val="nil"/>
                    <w:tr2bl w:val="nil"/>
                  </w:tcBorders>
                  <w:vAlign w:val="center"/>
                </w:tcPr>
                <w:p w14:paraId="24A3117A">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适用区域</w:t>
                  </w:r>
                </w:p>
              </w:tc>
              <w:tc>
                <w:tcPr>
                  <w:tcW w:w="1737" w:type="pct"/>
                  <w:gridSpan w:val="2"/>
                  <w:tcBorders>
                    <w:tl2br w:val="nil"/>
                    <w:tr2bl w:val="nil"/>
                  </w:tcBorders>
                  <w:vAlign w:val="center"/>
                </w:tcPr>
                <w:p w14:paraId="2723C7C6">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等效声级Leq（dB（A））</w:t>
                  </w:r>
                </w:p>
              </w:tc>
            </w:tr>
            <w:tr w14:paraId="468F2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5" w:type="pct"/>
                  <w:vMerge w:val="continue"/>
                  <w:tcBorders>
                    <w:tl2br w:val="nil"/>
                    <w:tr2bl w:val="nil"/>
                  </w:tcBorders>
                  <w:vAlign w:val="center"/>
                </w:tcPr>
                <w:p w14:paraId="2CB96893">
                  <w:pPr>
                    <w:adjustRightInd w:val="0"/>
                    <w:snapToGrid w:val="0"/>
                    <w:jc w:val="center"/>
                    <w:rPr>
                      <w:rFonts w:hint="default" w:ascii="Times New Roman" w:hAnsi="Times New Roman" w:cs="Times New Roman"/>
                      <w:color w:val="auto"/>
                    </w:rPr>
                  </w:pPr>
                </w:p>
              </w:tc>
              <w:tc>
                <w:tcPr>
                  <w:tcW w:w="2666" w:type="pct"/>
                  <w:vMerge w:val="continue"/>
                  <w:tcBorders>
                    <w:tl2br w:val="nil"/>
                    <w:tr2bl w:val="nil"/>
                  </w:tcBorders>
                  <w:vAlign w:val="center"/>
                </w:tcPr>
                <w:p w14:paraId="70DEFEBE">
                  <w:pPr>
                    <w:adjustRightInd w:val="0"/>
                    <w:snapToGrid w:val="0"/>
                    <w:jc w:val="center"/>
                    <w:rPr>
                      <w:rFonts w:hint="default" w:ascii="Times New Roman" w:hAnsi="Times New Roman" w:cs="Times New Roman"/>
                      <w:color w:val="auto"/>
                    </w:rPr>
                  </w:pPr>
                </w:p>
              </w:tc>
              <w:tc>
                <w:tcPr>
                  <w:tcW w:w="883" w:type="pct"/>
                  <w:tcBorders>
                    <w:tl2br w:val="nil"/>
                    <w:tr2bl w:val="nil"/>
                  </w:tcBorders>
                  <w:vAlign w:val="center"/>
                </w:tcPr>
                <w:p w14:paraId="74398609">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昼 间</w:t>
                  </w:r>
                </w:p>
              </w:tc>
              <w:tc>
                <w:tcPr>
                  <w:tcW w:w="853" w:type="pct"/>
                  <w:tcBorders>
                    <w:tl2br w:val="nil"/>
                    <w:tr2bl w:val="nil"/>
                  </w:tcBorders>
                  <w:vAlign w:val="center"/>
                </w:tcPr>
                <w:p w14:paraId="1AEA37DC">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夜 间</w:t>
                  </w:r>
                </w:p>
              </w:tc>
            </w:tr>
            <w:tr w14:paraId="69523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595" w:type="pct"/>
                  <w:tcBorders>
                    <w:tl2br w:val="nil"/>
                    <w:tr2bl w:val="nil"/>
                  </w:tcBorders>
                  <w:vAlign w:val="center"/>
                </w:tcPr>
                <w:p w14:paraId="498E32FC">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2类</w:t>
                  </w:r>
                </w:p>
              </w:tc>
              <w:tc>
                <w:tcPr>
                  <w:tcW w:w="2666" w:type="pct"/>
                  <w:tcBorders>
                    <w:tl2br w:val="nil"/>
                    <w:tr2bl w:val="nil"/>
                  </w:tcBorders>
                  <w:vAlign w:val="center"/>
                </w:tcPr>
                <w:p w14:paraId="6A53A4DB">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指以商业金融、集市贸易为主要功能，或者居住、商业、工业混杂，需要维护住宅安静的区域</w:t>
                  </w:r>
                </w:p>
              </w:tc>
              <w:tc>
                <w:tcPr>
                  <w:tcW w:w="883" w:type="pct"/>
                  <w:tcBorders>
                    <w:tl2br w:val="nil"/>
                    <w:tr2bl w:val="nil"/>
                  </w:tcBorders>
                  <w:vAlign w:val="center"/>
                </w:tcPr>
                <w:p w14:paraId="5598E400">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60</w:t>
                  </w:r>
                </w:p>
              </w:tc>
              <w:tc>
                <w:tcPr>
                  <w:tcW w:w="853" w:type="pct"/>
                  <w:tcBorders>
                    <w:tl2br w:val="nil"/>
                    <w:tr2bl w:val="nil"/>
                  </w:tcBorders>
                  <w:vAlign w:val="center"/>
                </w:tcPr>
                <w:p w14:paraId="4CDC9567">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50</w:t>
                  </w:r>
                </w:p>
              </w:tc>
            </w:tr>
            <w:tr w14:paraId="4BE06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1" w:hRule="atLeast"/>
                <w:jc w:val="center"/>
              </w:trPr>
              <w:tc>
                <w:tcPr>
                  <w:tcW w:w="595" w:type="pct"/>
                  <w:tcBorders>
                    <w:tl2br w:val="nil"/>
                    <w:tr2bl w:val="nil"/>
                  </w:tcBorders>
                  <w:vAlign w:val="center"/>
                </w:tcPr>
                <w:p w14:paraId="1227D7CA">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3类</w:t>
                  </w:r>
                </w:p>
              </w:tc>
              <w:tc>
                <w:tcPr>
                  <w:tcW w:w="2666" w:type="pct"/>
                  <w:tcBorders>
                    <w:tl2br w:val="nil"/>
                    <w:tr2bl w:val="nil"/>
                  </w:tcBorders>
                  <w:vAlign w:val="center"/>
                </w:tcPr>
                <w:p w14:paraId="17995647">
                  <w:pPr>
                    <w:adjustRightInd w:val="0"/>
                    <w:snapToGrid w:val="0"/>
                    <w:rPr>
                      <w:rFonts w:hint="default" w:ascii="Times New Roman" w:hAnsi="Times New Roman" w:cs="Times New Roman"/>
                      <w:color w:val="auto"/>
                    </w:rPr>
                  </w:pPr>
                  <w:r>
                    <w:rPr>
                      <w:rFonts w:hint="default" w:ascii="Times New Roman" w:hAnsi="Times New Roman" w:cs="Times New Roman"/>
                      <w:color w:val="auto"/>
                    </w:rPr>
                    <w:t>指以工业生产、仓储物流为主要功能，需要防止工业噪声对周围环境产生严重影响的区域。</w:t>
                  </w:r>
                </w:p>
              </w:tc>
              <w:tc>
                <w:tcPr>
                  <w:tcW w:w="883" w:type="pct"/>
                  <w:tcBorders>
                    <w:tl2br w:val="nil"/>
                    <w:tr2bl w:val="nil"/>
                  </w:tcBorders>
                  <w:vAlign w:val="center"/>
                </w:tcPr>
                <w:p w14:paraId="156D0F67">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65</w:t>
                  </w:r>
                </w:p>
              </w:tc>
              <w:tc>
                <w:tcPr>
                  <w:tcW w:w="853" w:type="pct"/>
                  <w:tcBorders>
                    <w:tl2br w:val="nil"/>
                    <w:tr2bl w:val="nil"/>
                  </w:tcBorders>
                  <w:vAlign w:val="center"/>
                </w:tcPr>
                <w:p w14:paraId="2B77938E">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55</w:t>
                  </w:r>
                </w:p>
              </w:tc>
            </w:tr>
          </w:tbl>
          <w:p w14:paraId="32DD7C6B">
            <w:pPr>
              <w:bidi w:val="0"/>
              <w:rPr>
                <w:rFonts w:hint="default" w:ascii="Times New Roman" w:hAnsi="Times New Roman" w:cs="Times New Roman"/>
                <w:color w:val="auto"/>
              </w:rPr>
            </w:pPr>
            <w:r>
              <w:rPr>
                <w:rFonts w:hint="default"/>
                <w:color w:val="auto"/>
              </w:rPr>
              <mc:AlternateContent>
                <mc:Choice Requires="wps">
                  <w:drawing>
                    <wp:anchor distT="0" distB="0" distL="114300" distR="114300" simplePos="0" relativeHeight="251664384" behindDoc="0" locked="0" layoutInCell="1" allowOverlap="1">
                      <wp:simplePos x="0" y="0"/>
                      <wp:positionH relativeFrom="column">
                        <wp:posOffset>574040</wp:posOffset>
                      </wp:positionH>
                      <wp:positionV relativeFrom="paragraph">
                        <wp:posOffset>2295525</wp:posOffset>
                      </wp:positionV>
                      <wp:extent cx="1012825" cy="360045"/>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1012825" cy="3600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196DFB"/>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2pt;margin-top:180.75pt;height:28.35pt;width:79.75pt;z-index:251664384;mso-width-relative:page;mso-height-relative:page;" filled="f" stroked="f" coordsize="21600,21600" o:gfxdata="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S/RZDcAAAACgEAAA8AAAAAAAAAAQAgAAAAIgAA&#10;AGRycy9kb3ducmV2LnhtbFBLAQIUABQAAAAIAIdO4kBF4ISaPQIAAGoEAAAOAAAAAAAAAAEAIAAA&#10;ACsBAABkcnMvZTJvRG9jLnhtbFBLBQYAAAAABgAGAFkBAADaBQAAAAA=&#10;">
                      <v:fill on="f" focussize="0,0"/>
                      <v:stroke on="f" weight="0.5pt"/>
                      <v:imagedata o:title=""/>
                      <o:lock v:ext="edit" aspectratio="f"/>
                      <v:textbox>
                        <w:txbxContent>
                          <w:p w14:paraId="18196DFB"/>
                        </w:txbxContent>
                      </v:textbox>
                    </v:shape>
                  </w:pict>
                </mc:Fallback>
              </mc:AlternateContent>
            </w:r>
          </w:p>
        </w:tc>
      </w:tr>
      <w:tr w14:paraId="63D6DB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23" w:hRule="atLeast"/>
          <w:jc w:val="center"/>
        </w:trPr>
        <w:tc>
          <w:tcPr>
            <w:tcW w:w="229" w:type="pct"/>
            <w:vAlign w:val="center"/>
          </w:tcPr>
          <w:p w14:paraId="76B79775">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环境</w:t>
            </w:r>
          </w:p>
          <w:p w14:paraId="0405F21A">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保护</w:t>
            </w:r>
          </w:p>
          <w:p w14:paraId="0607512F">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目标</w:t>
            </w:r>
          </w:p>
        </w:tc>
        <w:tc>
          <w:tcPr>
            <w:tcW w:w="4770" w:type="pct"/>
          </w:tcPr>
          <w:p w14:paraId="2C1A87AA">
            <w:pPr>
              <w:pStyle w:val="4"/>
              <w:spacing w:before="264" w:beforeLines="70" w:after="264" w:afterLines="70"/>
              <w:rPr>
                <w:rFonts w:hint="default" w:ascii="Times New Roman" w:hAnsi="Times New Roman" w:cs="Times New Roman"/>
                <w:snapToGrid/>
                <w:color w:val="auto"/>
                <w:szCs w:val="30"/>
              </w:rPr>
            </w:pPr>
            <w:bookmarkStart w:id="145" w:name="_Toc23677"/>
            <w:bookmarkStart w:id="146" w:name="_Toc22168"/>
            <w:bookmarkStart w:id="147" w:name="_Toc13115"/>
            <w:bookmarkStart w:id="148" w:name="_Toc23954"/>
            <w:bookmarkStart w:id="149" w:name="_Toc14762"/>
            <w:bookmarkStart w:id="150" w:name="_Toc7737"/>
            <w:bookmarkStart w:id="151" w:name="_Toc854"/>
            <w:bookmarkStart w:id="152" w:name="_Toc26897"/>
            <w:r>
              <w:rPr>
                <w:rFonts w:hint="default" w:ascii="Times New Roman" w:hAnsi="Times New Roman" w:cs="Times New Roman"/>
                <w:snapToGrid/>
                <w:color w:val="auto"/>
                <w:szCs w:val="30"/>
              </w:rPr>
              <w:t>3.2主要环境保护目标</w:t>
            </w:r>
            <w:bookmarkEnd w:id="145"/>
            <w:bookmarkEnd w:id="146"/>
            <w:bookmarkEnd w:id="147"/>
            <w:bookmarkEnd w:id="148"/>
            <w:bookmarkEnd w:id="149"/>
            <w:bookmarkEnd w:id="150"/>
            <w:bookmarkEnd w:id="151"/>
            <w:bookmarkEnd w:id="152"/>
          </w:p>
          <w:p w14:paraId="310043DC">
            <w:pPr>
              <w:pStyle w:val="103"/>
              <w:rPr>
                <w:rFonts w:hint="default" w:ascii="Times New Roman" w:hAnsi="Times New Roman" w:cs="Times New Roman"/>
                <w:color w:val="auto"/>
                <w:sz w:val="24"/>
              </w:rPr>
            </w:pPr>
            <w:r>
              <w:rPr>
                <w:rFonts w:hint="default" w:ascii="Times New Roman" w:hAnsi="Times New Roman" w:cs="Times New Roman"/>
                <w:color w:val="auto"/>
                <w:sz w:val="24"/>
              </w:rPr>
              <w:t>本项目位于福建省三明市沙县节能南路198号，根据《建设项目环境影响报告表编制技术指南（污染影响类）》环境保护目标调查范围，各环境要素涉及的保护目标包括：</w:t>
            </w:r>
          </w:p>
          <w:p w14:paraId="36529080">
            <w:pPr>
              <w:pStyle w:val="103"/>
              <w:rPr>
                <w:rFonts w:hint="default" w:ascii="Times New Roman" w:hAnsi="Times New Roman" w:cs="Times New Roman"/>
                <w:color w:val="auto"/>
                <w:sz w:val="24"/>
              </w:rPr>
            </w:pPr>
            <w:r>
              <w:rPr>
                <w:rFonts w:hint="default" w:ascii="Times New Roman" w:hAnsi="Times New Roman" w:cs="Times New Roman"/>
                <w:color w:val="auto"/>
                <w:sz w:val="24"/>
              </w:rPr>
              <w:t>⑴大气环境：厂界外500米范围内无自然保护区、风景名胜区、文化区等保护目标，离本项目最近环境敏感点为南侧109m的古县村。</w:t>
            </w:r>
          </w:p>
          <w:p w14:paraId="50AE63AF">
            <w:pPr>
              <w:pStyle w:val="103"/>
              <w:rPr>
                <w:rFonts w:hint="default" w:ascii="Times New Roman" w:hAnsi="Times New Roman" w:cs="Times New Roman"/>
                <w:color w:val="auto"/>
                <w:sz w:val="24"/>
              </w:rPr>
            </w:pPr>
            <w:r>
              <w:rPr>
                <w:rFonts w:hint="default" w:ascii="Times New Roman" w:hAnsi="Times New Roman" w:cs="Times New Roman"/>
                <w:color w:val="auto"/>
                <w:sz w:val="24"/>
              </w:rPr>
              <w:t>⑵声环境：厂界外50米范围无居民住宅及其他敏感目标。</w:t>
            </w:r>
          </w:p>
          <w:p w14:paraId="62A827BF">
            <w:pPr>
              <w:pStyle w:val="103"/>
              <w:rPr>
                <w:rFonts w:hint="default" w:ascii="Times New Roman" w:hAnsi="Times New Roman" w:cs="Times New Roman"/>
                <w:color w:val="auto"/>
                <w:sz w:val="24"/>
              </w:rPr>
            </w:pPr>
            <w:r>
              <w:rPr>
                <w:rFonts w:hint="default" w:ascii="Times New Roman" w:hAnsi="Times New Roman" w:cs="Times New Roman"/>
                <w:color w:val="auto"/>
                <w:sz w:val="24"/>
              </w:rPr>
              <w:t>⑶地下水环境：厂界外500米范围内不涉及地下水集中式饮用水水源和热水、矿泉水、温泉等特殊地下水资源。</w:t>
            </w:r>
          </w:p>
          <w:p w14:paraId="07D32DC4">
            <w:pPr>
              <w:pStyle w:val="103"/>
              <w:rPr>
                <w:rFonts w:hint="default" w:ascii="Times New Roman" w:hAnsi="Times New Roman" w:cs="Times New Roman"/>
                <w:color w:val="auto"/>
                <w:sz w:val="24"/>
              </w:rPr>
            </w:pPr>
            <w:r>
              <w:rPr>
                <w:rFonts w:hint="default" w:ascii="Times New Roman" w:hAnsi="Times New Roman" w:cs="Times New Roman"/>
                <w:color w:val="auto"/>
                <w:sz w:val="24"/>
              </w:rPr>
              <w:t>⑷生态环境：本项目位于工业区，在现有厂区红线范围进行建设，无新增用地。不属于产业园区外建设项目新增用地。</w:t>
            </w:r>
          </w:p>
          <w:p w14:paraId="464179B5">
            <w:pPr>
              <w:pStyle w:val="103"/>
              <w:keepNext w:val="0"/>
              <w:keepLines w:val="0"/>
              <w:pageBreakBefore w:val="0"/>
              <w:widowControl w:val="0"/>
              <w:kinsoku/>
              <w:wordWrap/>
              <w:overflowPunct/>
              <w:topLinePunct w:val="0"/>
              <w:autoSpaceDE/>
              <w:autoSpaceDN/>
              <w:bidi w:val="0"/>
              <w:adjustRightInd w:val="0"/>
              <w:snapToGrid w:val="0"/>
              <w:spacing w:before="115" w:beforeLines="30"/>
              <w:textAlignment w:val="auto"/>
              <w:rPr>
                <w:rFonts w:hint="default" w:ascii="Times New Roman" w:hAnsi="Times New Roman" w:cs="Times New Roman"/>
                <w:color w:val="auto"/>
                <w:sz w:val="24"/>
              </w:rPr>
            </w:pPr>
            <w:r>
              <w:rPr>
                <w:rFonts w:hint="default" w:ascii="Times New Roman" w:hAnsi="Times New Roman" w:cs="Times New Roman"/>
                <w:color w:val="auto"/>
                <w:sz w:val="24"/>
              </w:rPr>
              <w:t>项目周边环境保护目标情况见表3.2-1。</w:t>
            </w:r>
            <w:r>
              <w:rPr>
                <w:rFonts w:hint="default" w:ascii="Times New Roman" w:hAnsi="Times New Roman" w:cs="Times New Roman"/>
                <w:color w:val="auto"/>
                <w:kern w:val="0"/>
                <w:sz w:val="24"/>
              </w:rPr>
              <w:t>周边环境现状见附图</w:t>
            </w:r>
            <w:r>
              <w:rPr>
                <w:rFonts w:hint="default" w:ascii="Times New Roman" w:hAnsi="Times New Roman" w:cs="Times New Roman"/>
                <w:color w:val="auto"/>
                <w:kern w:val="0"/>
                <w:sz w:val="24"/>
                <w:lang w:val="en-US" w:eastAsia="zh-CN"/>
              </w:rPr>
              <w:t>九</w:t>
            </w:r>
            <w:r>
              <w:rPr>
                <w:rFonts w:hint="default" w:ascii="Times New Roman" w:hAnsi="Times New Roman" w:cs="Times New Roman"/>
                <w:color w:val="auto"/>
                <w:kern w:val="0"/>
                <w:sz w:val="24"/>
              </w:rPr>
              <w:t>，</w:t>
            </w:r>
            <w:r>
              <w:rPr>
                <w:rFonts w:hint="default" w:ascii="Times New Roman" w:hAnsi="Times New Roman" w:cs="Times New Roman"/>
                <w:color w:val="auto"/>
                <w:sz w:val="24"/>
              </w:rPr>
              <w:t>项目周边敏感目标见附图</w:t>
            </w:r>
            <w:r>
              <w:rPr>
                <w:rFonts w:hint="default" w:ascii="Times New Roman" w:hAnsi="Times New Roman" w:cs="Times New Roman"/>
                <w:color w:val="auto"/>
                <w:sz w:val="24"/>
                <w:lang w:val="en-US" w:eastAsia="zh-CN"/>
              </w:rPr>
              <w:t>十</w:t>
            </w:r>
            <w:r>
              <w:rPr>
                <w:rFonts w:hint="default" w:ascii="Times New Roman" w:hAnsi="Times New Roman" w:cs="Times New Roman"/>
                <w:color w:val="auto"/>
                <w:sz w:val="24"/>
              </w:rPr>
              <w:t>。</w:t>
            </w:r>
          </w:p>
          <w:p w14:paraId="18BF27DD">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表3.2-1  环境保护目标一览表</w:t>
            </w:r>
          </w:p>
          <w:tbl>
            <w:tblPr>
              <w:tblStyle w:val="34"/>
              <w:tblW w:w="4998"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365"/>
              <w:gridCol w:w="1204"/>
              <w:gridCol w:w="806"/>
              <w:gridCol w:w="1013"/>
              <w:gridCol w:w="1466"/>
              <w:gridCol w:w="2769"/>
            </w:tblGrid>
            <w:tr w14:paraId="6E471C1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63" w:hRule="atLeast"/>
                <w:jc w:val="center"/>
              </w:trPr>
              <w:tc>
                <w:tcPr>
                  <w:tcW w:w="792" w:type="pct"/>
                  <w:tcBorders>
                    <w:tl2br w:val="nil"/>
                    <w:tr2bl w:val="nil"/>
                  </w:tcBorders>
                  <w:vAlign w:val="center"/>
                </w:tcPr>
                <w:p w14:paraId="5A839177">
                  <w:pPr>
                    <w:pStyle w:val="145"/>
                    <w:rPr>
                      <w:rFonts w:hint="default" w:ascii="Times New Roman" w:hAnsi="Times New Roman" w:cs="Times New Roman"/>
                      <w:color w:val="auto"/>
                    </w:rPr>
                  </w:pPr>
                  <w:r>
                    <w:rPr>
                      <w:rFonts w:hint="default" w:ascii="Times New Roman" w:hAnsi="Times New Roman" w:cs="Times New Roman"/>
                      <w:color w:val="auto"/>
                    </w:rPr>
                    <w:t>环境要素</w:t>
                  </w:r>
                </w:p>
              </w:tc>
              <w:tc>
                <w:tcPr>
                  <w:tcW w:w="698" w:type="pct"/>
                  <w:tcBorders>
                    <w:tl2br w:val="nil"/>
                    <w:tr2bl w:val="nil"/>
                  </w:tcBorders>
                  <w:vAlign w:val="center"/>
                </w:tcPr>
                <w:p w14:paraId="1F2E23FE">
                  <w:pPr>
                    <w:pStyle w:val="145"/>
                    <w:rPr>
                      <w:rFonts w:hint="default" w:ascii="Times New Roman" w:hAnsi="Times New Roman" w:cs="Times New Roman"/>
                      <w:color w:val="auto"/>
                    </w:rPr>
                  </w:pPr>
                  <w:r>
                    <w:rPr>
                      <w:rFonts w:hint="default" w:ascii="Times New Roman" w:hAnsi="Times New Roman" w:cs="Times New Roman"/>
                      <w:color w:val="auto"/>
                    </w:rPr>
                    <w:t>保护目标</w:t>
                  </w:r>
                </w:p>
              </w:tc>
              <w:tc>
                <w:tcPr>
                  <w:tcW w:w="467" w:type="pct"/>
                  <w:tcBorders>
                    <w:tl2br w:val="nil"/>
                    <w:tr2bl w:val="nil"/>
                  </w:tcBorders>
                  <w:vAlign w:val="center"/>
                </w:tcPr>
                <w:p w14:paraId="58786EAB">
                  <w:pPr>
                    <w:pStyle w:val="145"/>
                    <w:rPr>
                      <w:rFonts w:hint="default" w:ascii="Times New Roman" w:hAnsi="Times New Roman" w:cs="Times New Roman"/>
                      <w:color w:val="auto"/>
                    </w:rPr>
                  </w:pPr>
                  <w:r>
                    <w:rPr>
                      <w:rFonts w:hint="default" w:ascii="Times New Roman" w:hAnsi="Times New Roman" w:cs="Times New Roman"/>
                      <w:color w:val="auto"/>
                    </w:rPr>
                    <w:t>方位</w:t>
                  </w:r>
                </w:p>
              </w:tc>
              <w:tc>
                <w:tcPr>
                  <w:tcW w:w="587" w:type="pct"/>
                  <w:tcBorders>
                    <w:tl2br w:val="nil"/>
                    <w:tr2bl w:val="nil"/>
                  </w:tcBorders>
                  <w:vAlign w:val="center"/>
                </w:tcPr>
                <w:p w14:paraId="3E1DF00C">
                  <w:pPr>
                    <w:pStyle w:val="145"/>
                    <w:rPr>
                      <w:rFonts w:hint="default" w:ascii="Times New Roman" w:hAnsi="Times New Roman" w:cs="Times New Roman"/>
                      <w:color w:val="auto"/>
                    </w:rPr>
                  </w:pPr>
                  <w:r>
                    <w:rPr>
                      <w:rFonts w:hint="default" w:ascii="Times New Roman" w:hAnsi="Times New Roman" w:cs="Times New Roman"/>
                      <w:color w:val="auto"/>
                    </w:rPr>
                    <w:t>距离</w:t>
                  </w:r>
                </w:p>
              </w:tc>
              <w:tc>
                <w:tcPr>
                  <w:tcW w:w="850" w:type="pct"/>
                  <w:tcBorders>
                    <w:tl2br w:val="nil"/>
                    <w:tr2bl w:val="nil"/>
                  </w:tcBorders>
                  <w:vAlign w:val="center"/>
                </w:tcPr>
                <w:p w14:paraId="767570CF">
                  <w:pPr>
                    <w:pStyle w:val="145"/>
                    <w:rPr>
                      <w:rFonts w:hint="default" w:ascii="Times New Roman" w:hAnsi="Times New Roman" w:cs="Times New Roman"/>
                      <w:color w:val="auto"/>
                    </w:rPr>
                  </w:pPr>
                  <w:r>
                    <w:rPr>
                      <w:rFonts w:hint="default" w:ascii="Times New Roman" w:hAnsi="Times New Roman" w:cs="Times New Roman"/>
                      <w:color w:val="auto"/>
                    </w:rPr>
                    <w:t>环境特征</w:t>
                  </w:r>
                </w:p>
              </w:tc>
              <w:tc>
                <w:tcPr>
                  <w:tcW w:w="1603" w:type="pct"/>
                  <w:tcBorders>
                    <w:tl2br w:val="nil"/>
                    <w:tr2bl w:val="nil"/>
                  </w:tcBorders>
                  <w:vAlign w:val="center"/>
                </w:tcPr>
                <w:p w14:paraId="1CB96D4D">
                  <w:pPr>
                    <w:pStyle w:val="145"/>
                    <w:rPr>
                      <w:rFonts w:hint="default" w:ascii="Times New Roman" w:hAnsi="Times New Roman" w:cs="Times New Roman"/>
                      <w:color w:val="auto"/>
                    </w:rPr>
                  </w:pPr>
                  <w:r>
                    <w:rPr>
                      <w:rFonts w:hint="default" w:ascii="Times New Roman" w:hAnsi="Times New Roman" w:cs="Times New Roman"/>
                      <w:color w:val="auto"/>
                    </w:rPr>
                    <w:t>保护级别</w:t>
                  </w:r>
                </w:p>
              </w:tc>
            </w:tr>
            <w:tr w14:paraId="57AAE14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63" w:hRule="atLeast"/>
                <w:jc w:val="center"/>
              </w:trPr>
              <w:tc>
                <w:tcPr>
                  <w:tcW w:w="792" w:type="pct"/>
                  <w:tcBorders>
                    <w:tl2br w:val="nil"/>
                    <w:tr2bl w:val="nil"/>
                  </w:tcBorders>
                  <w:vAlign w:val="center"/>
                </w:tcPr>
                <w:p w14:paraId="2C5E0E04">
                  <w:pPr>
                    <w:pStyle w:val="145"/>
                    <w:rPr>
                      <w:rFonts w:hint="default" w:ascii="Times New Roman" w:hAnsi="Times New Roman" w:cs="Times New Roman"/>
                      <w:color w:val="auto"/>
                    </w:rPr>
                  </w:pPr>
                  <w:r>
                    <w:rPr>
                      <w:rFonts w:hint="default" w:ascii="Times New Roman" w:hAnsi="Times New Roman" w:cs="Times New Roman"/>
                      <w:color w:val="auto"/>
                    </w:rPr>
                    <w:t>大气环境、风险</w:t>
                  </w:r>
                </w:p>
              </w:tc>
              <w:tc>
                <w:tcPr>
                  <w:tcW w:w="698" w:type="pct"/>
                  <w:tcBorders>
                    <w:tl2br w:val="nil"/>
                    <w:tr2bl w:val="nil"/>
                  </w:tcBorders>
                  <w:vAlign w:val="center"/>
                </w:tcPr>
                <w:p w14:paraId="46BF30DA">
                  <w:pPr>
                    <w:pStyle w:val="145"/>
                    <w:rPr>
                      <w:rFonts w:hint="default" w:ascii="Times New Roman" w:hAnsi="Times New Roman" w:cs="Times New Roman"/>
                      <w:color w:val="auto"/>
                    </w:rPr>
                  </w:pPr>
                  <w:r>
                    <w:rPr>
                      <w:rFonts w:hint="default" w:ascii="Times New Roman" w:hAnsi="Times New Roman" w:cs="Times New Roman"/>
                      <w:color w:val="auto"/>
                    </w:rPr>
                    <w:t>古县村</w:t>
                  </w:r>
                </w:p>
              </w:tc>
              <w:tc>
                <w:tcPr>
                  <w:tcW w:w="467" w:type="pct"/>
                  <w:tcBorders>
                    <w:tl2br w:val="nil"/>
                    <w:tr2bl w:val="nil"/>
                  </w:tcBorders>
                  <w:vAlign w:val="center"/>
                </w:tcPr>
                <w:p w14:paraId="4CF40C66">
                  <w:pPr>
                    <w:pStyle w:val="145"/>
                    <w:rPr>
                      <w:rFonts w:hint="default" w:ascii="Times New Roman" w:hAnsi="Times New Roman" w:cs="Times New Roman"/>
                      <w:color w:val="auto"/>
                    </w:rPr>
                  </w:pPr>
                  <w:r>
                    <w:rPr>
                      <w:rFonts w:hint="default" w:ascii="Times New Roman" w:hAnsi="Times New Roman" w:cs="Times New Roman"/>
                      <w:color w:val="auto"/>
                    </w:rPr>
                    <w:t>南侧</w:t>
                  </w:r>
                </w:p>
              </w:tc>
              <w:tc>
                <w:tcPr>
                  <w:tcW w:w="587" w:type="pct"/>
                  <w:tcBorders>
                    <w:tl2br w:val="nil"/>
                    <w:tr2bl w:val="nil"/>
                  </w:tcBorders>
                  <w:vAlign w:val="center"/>
                </w:tcPr>
                <w:p w14:paraId="77CAE9F1">
                  <w:pPr>
                    <w:pStyle w:val="145"/>
                    <w:rPr>
                      <w:rFonts w:hint="default" w:ascii="Times New Roman" w:hAnsi="Times New Roman" w:cs="Times New Roman"/>
                      <w:color w:val="auto"/>
                    </w:rPr>
                  </w:pPr>
                  <w:r>
                    <w:rPr>
                      <w:rFonts w:hint="default" w:ascii="Times New Roman" w:hAnsi="Times New Roman" w:cs="Times New Roman"/>
                      <w:color w:val="auto"/>
                    </w:rPr>
                    <w:t>109m</w:t>
                  </w:r>
                </w:p>
              </w:tc>
              <w:tc>
                <w:tcPr>
                  <w:tcW w:w="850" w:type="pct"/>
                  <w:tcBorders>
                    <w:tl2br w:val="nil"/>
                    <w:tr2bl w:val="nil"/>
                  </w:tcBorders>
                  <w:vAlign w:val="center"/>
                </w:tcPr>
                <w:p w14:paraId="73F84A47">
                  <w:pPr>
                    <w:pStyle w:val="145"/>
                    <w:rPr>
                      <w:rFonts w:hint="default" w:ascii="Times New Roman" w:hAnsi="Times New Roman" w:cs="Times New Roman"/>
                      <w:color w:val="auto"/>
                    </w:rPr>
                  </w:pPr>
                  <w:r>
                    <w:rPr>
                      <w:rFonts w:hint="default" w:ascii="Times New Roman" w:hAnsi="Times New Roman" w:cs="Times New Roman"/>
                      <w:color w:val="auto"/>
                    </w:rPr>
                    <w:t>居民，558人</w:t>
                  </w:r>
                </w:p>
              </w:tc>
              <w:tc>
                <w:tcPr>
                  <w:tcW w:w="1603" w:type="pct"/>
                  <w:tcBorders>
                    <w:tl2br w:val="nil"/>
                    <w:tr2bl w:val="nil"/>
                  </w:tcBorders>
                  <w:vAlign w:val="center"/>
                </w:tcPr>
                <w:p w14:paraId="3583AB80">
                  <w:pPr>
                    <w:pStyle w:val="145"/>
                    <w:rPr>
                      <w:rFonts w:hint="default" w:ascii="Times New Roman" w:hAnsi="Times New Roman" w:cs="Times New Roman"/>
                      <w:color w:val="auto"/>
                    </w:rPr>
                  </w:pPr>
                  <w:r>
                    <w:rPr>
                      <w:rFonts w:hint="default" w:ascii="Times New Roman" w:hAnsi="Times New Roman" w:cs="Times New Roman"/>
                      <w:color w:val="auto"/>
                    </w:rPr>
                    <w:t>《环境空气质量标准》（GB3095-2026）二级标准</w:t>
                  </w:r>
                </w:p>
              </w:tc>
            </w:tr>
            <w:tr w14:paraId="07CD293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63" w:hRule="atLeast"/>
                <w:jc w:val="center"/>
              </w:trPr>
              <w:tc>
                <w:tcPr>
                  <w:tcW w:w="792" w:type="pct"/>
                  <w:tcBorders>
                    <w:tl2br w:val="nil"/>
                    <w:tr2bl w:val="nil"/>
                  </w:tcBorders>
                  <w:vAlign w:val="center"/>
                </w:tcPr>
                <w:p w14:paraId="2E55689E">
                  <w:pPr>
                    <w:pStyle w:val="145"/>
                    <w:rPr>
                      <w:rFonts w:hint="default" w:ascii="Times New Roman" w:hAnsi="Times New Roman" w:cs="Times New Roman"/>
                      <w:color w:val="auto"/>
                    </w:rPr>
                  </w:pPr>
                  <w:r>
                    <w:rPr>
                      <w:rFonts w:hint="default" w:ascii="Times New Roman" w:hAnsi="Times New Roman" w:cs="Times New Roman"/>
                      <w:color w:val="auto"/>
                    </w:rPr>
                    <w:t>声环境</w:t>
                  </w:r>
                </w:p>
              </w:tc>
              <w:tc>
                <w:tcPr>
                  <w:tcW w:w="4207" w:type="pct"/>
                  <w:gridSpan w:val="5"/>
                  <w:tcBorders>
                    <w:tl2br w:val="nil"/>
                    <w:tr2bl w:val="nil"/>
                  </w:tcBorders>
                  <w:vAlign w:val="center"/>
                </w:tcPr>
                <w:p w14:paraId="1E31D33D">
                  <w:pPr>
                    <w:pStyle w:val="145"/>
                    <w:rPr>
                      <w:rFonts w:hint="default" w:ascii="Times New Roman" w:hAnsi="Times New Roman" w:cs="Times New Roman"/>
                      <w:color w:val="auto"/>
                    </w:rPr>
                  </w:pPr>
                  <w:r>
                    <w:rPr>
                      <w:rFonts w:hint="default" w:ascii="Times New Roman" w:hAnsi="Times New Roman" w:cs="Times New Roman"/>
                      <w:color w:val="auto"/>
                    </w:rPr>
                    <w:t>厂界外50m范围内不存在声环境保护目标</w:t>
                  </w:r>
                </w:p>
              </w:tc>
            </w:tr>
            <w:tr w14:paraId="59ECF54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63" w:hRule="atLeast"/>
                <w:jc w:val="center"/>
              </w:trPr>
              <w:tc>
                <w:tcPr>
                  <w:tcW w:w="792" w:type="pct"/>
                  <w:tcBorders>
                    <w:tl2br w:val="nil"/>
                    <w:tr2bl w:val="nil"/>
                  </w:tcBorders>
                  <w:vAlign w:val="center"/>
                </w:tcPr>
                <w:p w14:paraId="35F9F55E">
                  <w:pPr>
                    <w:pStyle w:val="130"/>
                    <w:rPr>
                      <w:rFonts w:hint="default" w:ascii="Times New Roman" w:hAnsi="Times New Roman" w:cs="Times New Roman"/>
                      <w:color w:val="auto"/>
                    </w:rPr>
                  </w:pPr>
                  <w:r>
                    <w:rPr>
                      <w:rFonts w:hint="default" w:ascii="Times New Roman" w:hAnsi="Times New Roman" w:cs="Times New Roman"/>
                      <w:color w:val="auto"/>
                    </w:rPr>
                    <w:t>地表水</w:t>
                  </w:r>
                </w:p>
              </w:tc>
              <w:tc>
                <w:tcPr>
                  <w:tcW w:w="698" w:type="pct"/>
                  <w:tcBorders>
                    <w:tl2br w:val="nil"/>
                    <w:tr2bl w:val="nil"/>
                  </w:tcBorders>
                  <w:vAlign w:val="center"/>
                </w:tcPr>
                <w:p w14:paraId="7A7789F4">
                  <w:pPr>
                    <w:pStyle w:val="130"/>
                    <w:rPr>
                      <w:rFonts w:hint="default" w:ascii="Times New Roman" w:hAnsi="Times New Roman" w:cs="Times New Roman"/>
                      <w:color w:val="auto"/>
                    </w:rPr>
                  </w:pPr>
                  <w:r>
                    <w:rPr>
                      <w:rFonts w:hint="default" w:ascii="Times New Roman" w:hAnsi="Times New Roman" w:cs="Times New Roman"/>
                      <w:color w:val="auto"/>
                    </w:rPr>
                    <w:t>沙溪</w:t>
                  </w:r>
                </w:p>
              </w:tc>
              <w:tc>
                <w:tcPr>
                  <w:tcW w:w="467" w:type="pct"/>
                  <w:tcBorders>
                    <w:tl2br w:val="nil"/>
                    <w:tr2bl w:val="nil"/>
                  </w:tcBorders>
                  <w:vAlign w:val="center"/>
                </w:tcPr>
                <w:p w14:paraId="32D43F9D">
                  <w:pPr>
                    <w:pStyle w:val="130"/>
                    <w:rPr>
                      <w:rFonts w:hint="default" w:ascii="Times New Roman" w:hAnsi="Times New Roman" w:cs="Times New Roman"/>
                      <w:color w:val="auto"/>
                    </w:rPr>
                  </w:pPr>
                  <w:r>
                    <w:rPr>
                      <w:rFonts w:hint="default" w:ascii="Times New Roman" w:hAnsi="Times New Roman" w:cs="Times New Roman"/>
                      <w:color w:val="auto"/>
                    </w:rPr>
                    <w:t>南侧</w:t>
                  </w:r>
                </w:p>
              </w:tc>
              <w:tc>
                <w:tcPr>
                  <w:tcW w:w="587" w:type="pct"/>
                  <w:tcBorders>
                    <w:tl2br w:val="nil"/>
                    <w:tr2bl w:val="nil"/>
                  </w:tcBorders>
                  <w:vAlign w:val="center"/>
                </w:tcPr>
                <w:p w14:paraId="71CC55B1">
                  <w:pPr>
                    <w:pStyle w:val="130"/>
                    <w:rPr>
                      <w:rFonts w:hint="default" w:ascii="Times New Roman" w:hAnsi="Times New Roman" w:cs="Times New Roman"/>
                      <w:color w:val="auto"/>
                    </w:rPr>
                  </w:pPr>
                  <w:r>
                    <w:rPr>
                      <w:rFonts w:hint="default" w:ascii="Times New Roman" w:hAnsi="Times New Roman" w:cs="Times New Roman"/>
                      <w:color w:val="auto"/>
                    </w:rPr>
                    <w:t>275m</w:t>
                  </w:r>
                </w:p>
              </w:tc>
              <w:tc>
                <w:tcPr>
                  <w:tcW w:w="850" w:type="pct"/>
                  <w:tcBorders>
                    <w:tl2br w:val="nil"/>
                    <w:tr2bl w:val="nil"/>
                  </w:tcBorders>
                  <w:vAlign w:val="center"/>
                </w:tcPr>
                <w:p w14:paraId="71D2AC3D">
                  <w:pPr>
                    <w:pStyle w:val="130"/>
                    <w:rPr>
                      <w:rFonts w:hint="default" w:ascii="Times New Roman" w:hAnsi="Times New Roman" w:cs="Times New Roman"/>
                      <w:color w:val="auto"/>
                    </w:rPr>
                  </w:pPr>
                  <w:r>
                    <w:rPr>
                      <w:rFonts w:hint="default" w:ascii="Times New Roman" w:hAnsi="Times New Roman" w:cs="Times New Roman"/>
                      <w:color w:val="auto"/>
                    </w:rPr>
                    <w:t>河流</w:t>
                  </w:r>
                </w:p>
              </w:tc>
              <w:tc>
                <w:tcPr>
                  <w:tcW w:w="1603" w:type="pct"/>
                  <w:tcBorders>
                    <w:tl2br w:val="nil"/>
                    <w:tr2bl w:val="nil"/>
                  </w:tcBorders>
                  <w:vAlign w:val="center"/>
                </w:tcPr>
                <w:p w14:paraId="6A05F7AB">
                  <w:pPr>
                    <w:pStyle w:val="145"/>
                    <w:rPr>
                      <w:rFonts w:hint="default" w:ascii="Times New Roman" w:hAnsi="Times New Roman" w:cs="Times New Roman"/>
                      <w:color w:val="auto"/>
                    </w:rPr>
                  </w:pPr>
                  <w:r>
                    <w:rPr>
                      <w:rFonts w:hint="default" w:ascii="Times New Roman" w:hAnsi="Times New Roman" w:cs="Times New Roman"/>
                      <w:color w:val="auto"/>
                    </w:rPr>
                    <w:t>《地表水环境质量标准》（GB3838-2002）中Ⅱ类标准</w:t>
                  </w:r>
                </w:p>
              </w:tc>
            </w:tr>
            <w:tr w14:paraId="03392E1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655" w:hRule="atLeast"/>
                <w:jc w:val="center"/>
              </w:trPr>
              <w:tc>
                <w:tcPr>
                  <w:tcW w:w="792" w:type="pct"/>
                  <w:tcBorders>
                    <w:tl2br w:val="nil"/>
                    <w:tr2bl w:val="nil"/>
                  </w:tcBorders>
                  <w:vAlign w:val="center"/>
                </w:tcPr>
                <w:p w14:paraId="42CD01B5">
                  <w:pPr>
                    <w:pStyle w:val="145"/>
                    <w:rPr>
                      <w:rFonts w:hint="default" w:ascii="Times New Roman" w:hAnsi="Times New Roman" w:cs="Times New Roman"/>
                      <w:color w:val="auto"/>
                    </w:rPr>
                  </w:pPr>
                  <w:r>
                    <w:rPr>
                      <w:rFonts w:hint="default" w:ascii="Times New Roman" w:hAnsi="Times New Roman" w:cs="Times New Roman"/>
                      <w:color w:val="auto"/>
                    </w:rPr>
                    <w:t>地下水环境</w:t>
                  </w:r>
                </w:p>
              </w:tc>
              <w:tc>
                <w:tcPr>
                  <w:tcW w:w="4207" w:type="pct"/>
                  <w:gridSpan w:val="5"/>
                  <w:tcBorders>
                    <w:tl2br w:val="nil"/>
                    <w:tr2bl w:val="nil"/>
                  </w:tcBorders>
                  <w:vAlign w:val="center"/>
                </w:tcPr>
                <w:p w14:paraId="1CA31372">
                  <w:pPr>
                    <w:pStyle w:val="145"/>
                    <w:jc w:val="both"/>
                    <w:rPr>
                      <w:rFonts w:hint="default" w:ascii="Times New Roman" w:hAnsi="Times New Roman" w:cs="Times New Roman"/>
                      <w:color w:val="auto"/>
                    </w:rPr>
                  </w:pPr>
                  <w:r>
                    <w:rPr>
                      <w:rFonts w:hint="default" w:ascii="Times New Roman" w:hAnsi="Times New Roman" w:cs="Times New Roman"/>
                      <w:color w:val="auto"/>
                    </w:rPr>
                    <w:t>厂界外500米范围内无地下水集中式饮用水水源和热水、矿泉水、泉水等特殊地下水资源</w:t>
                  </w:r>
                </w:p>
              </w:tc>
            </w:tr>
            <w:tr w14:paraId="7DBC794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675" w:hRule="atLeast"/>
                <w:jc w:val="center"/>
              </w:trPr>
              <w:tc>
                <w:tcPr>
                  <w:tcW w:w="792" w:type="pct"/>
                  <w:tcBorders>
                    <w:tl2br w:val="nil"/>
                    <w:tr2bl w:val="nil"/>
                  </w:tcBorders>
                  <w:vAlign w:val="center"/>
                </w:tcPr>
                <w:p w14:paraId="6E1DADA4">
                  <w:pPr>
                    <w:pStyle w:val="145"/>
                    <w:rPr>
                      <w:rFonts w:hint="default" w:ascii="Times New Roman" w:hAnsi="Times New Roman" w:cs="Times New Roman"/>
                      <w:color w:val="auto"/>
                    </w:rPr>
                  </w:pPr>
                  <w:r>
                    <w:rPr>
                      <w:rFonts w:hint="default" w:ascii="Times New Roman" w:hAnsi="Times New Roman" w:cs="Times New Roman"/>
                      <w:color w:val="auto"/>
                    </w:rPr>
                    <w:t>生态环境</w:t>
                  </w:r>
                </w:p>
              </w:tc>
              <w:tc>
                <w:tcPr>
                  <w:tcW w:w="4207" w:type="pct"/>
                  <w:gridSpan w:val="5"/>
                  <w:tcBorders>
                    <w:tl2br w:val="nil"/>
                    <w:tr2bl w:val="nil"/>
                  </w:tcBorders>
                  <w:vAlign w:val="center"/>
                </w:tcPr>
                <w:p w14:paraId="5B34BC73">
                  <w:pPr>
                    <w:pStyle w:val="145"/>
                    <w:jc w:val="both"/>
                    <w:rPr>
                      <w:rFonts w:hint="default" w:ascii="Times New Roman" w:hAnsi="Times New Roman" w:cs="Times New Roman"/>
                      <w:color w:val="auto"/>
                    </w:rPr>
                  </w:pPr>
                  <w:r>
                    <w:rPr>
                      <w:rFonts w:hint="default" w:ascii="Times New Roman" w:hAnsi="Times New Roman" w:cs="Times New Roman"/>
                      <w:color w:val="auto"/>
                    </w:rPr>
                    <w:t>本项目位于福建省三明市沙县节能南路198号，无新增用地</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通过</w:t>
                  </w:r>
                  <w:r>
                    <w:rPr>
                      <w:rFonts w:hint="default" w:ascii="Times New Roman" w:hAnsi="Times New Roman" w:cs="Times New Roman"/>
                      <w:color w:val="auto"/>
                    </w:rPr>
                    <w:t>利用现有仓库</w:t>
                  </w:r>
                  <w:r>
                    <w:rPr>
                      <w:rFonts w:hint="default" w:ascii="Times New Roman" w:hAnsi="Times New Roman" w:cs="Times New Roman"/>
                      <w:color w:val="auto"/>
                      <w:lang w:val="en-US" w:eastAsia="zh-CN"/>
                    </w:rPr>
                    <w:t>进行</w:t>
                  </w:r>
                  <w:r>
                    <w:rPr>
                      <w:rFonts w:hint="default" w:ascii="Times New Roman" w:hAnsi="Times New Roman" w:cs="Times New Roman"/>
                      <w:color w:val="auto"/>
                    </w:rPr>
                    <w:t>改造。不属于产业园区外建设项目新增用地</w:t>
                  </w:r>
                </w:p>
              </w:tc>
            </w:tr>
          </w:tbl>
          <w:p w14:paraId="31CC38CC">
            <w:pPr>
              <w:keepNext w:val="0"/>
              <w:keepLines w:val="0"/>
              <w:pageBreakBefore w:val="0"/>
              <w:widowControl w:val="0"/>
              <w:kinsoku/>
              <w:wordWrap/>
              <w:overflowPunct/>
              <w:topLinePunct w:val="0"/>
              <w:autoSpaceDE/>
              <w:autoSpaceDN/>
              <w:bidi w:val="0"/>
              <w:adjustRightInd/>
              <w:snapToGrid w:val="0"/>
              <w:textAlignment w:val="auto"/>
              <w:rPr>
                <w:rFonts w:hint="default"/>
                <w:color w:val="auto"/>
              </w:rPr>
            </w:pPr>
          </w:p>
          <w:p w14:paraId="71147CE6">
            <w:pPr>
              <w:pStyle w:val="6"/>
              <w:keepNext/>
              <w:keepLines/>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rPr>
            </w:pPr>
          </w:p>
        </w:tc>
      </w:tr>
      <w:tr w14:paraId="29AC32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1" w:hRule="atLeast"/>
          <w:jc w:val="center"/>
        </w:trPr>
        <w:tc>
          <w:tcPr>
            <w:tcW w:w="229" w:type="pct"/>
            <w:tcMar>
              <w:left w:w="28" w:type="dxa"/>
              <w:right w:w="28" w:type="dxa"/>
            </w:tcMar>
            <w:vAlign w:val="center"/>
          </w:tcPr>
          <w:p w14:paraId="143E24FB">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污染</w:t>
            </w:r>
          </w:p>
          <w:p w14:paraId="2162BF45">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物排</w:t>
            </w:r>
          </w:p>
          <w:p w14:paraId="0D2B6673">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放控</w:t>
            </w:r>
          </w:p>
          <w:p w14:paraId="0DE3B421">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制标</w:t>
            </w:r>
          </w:p>
          <w:p w14:paraId="48703B69">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准</w:t>
            </w:r>
          </w:p>
        </w:tc>
        <w:tc>
          <w:tcPr>
            <w:tcW w:w="4770" w:type="pct"/>
            <w:vAlign w:val="center"/>
          </w:tcPr>
          <w:p w14:paraId="31FF8DDA">
            <w:pPr>
              <w:pStyle w:val="4"/>
              <w:keepNext/>
              <w:keepLines w:val="0"/>
              <w:pageBreakBefore w:val="0"/>
              <w:widowControl w:val="0"/>
              <w:kinsoku/>
              <w:wordWrap/>
              <w:overflowPunct/>
              <w:topLinePunct w:val="0"/>
              <w:autoSpaceDE/>
              <w:autoSpaceDN/>
              <w:bidi w:val="0"/>
              <w:adjustRightInd w:val="0"/>
              <w:snapToGrid w:val="0"/>
              <w:spacing w:before="190" w:beforeLines="50" w:after="264" w:afterLines="70"/>
              <w:textAlignment w:val="auto"/>
              <w:rPr>
                <w:rFonts w:hint="default" w:ascii="Times New Roman" w:hAnsi="Times New Roman" w:cs="Times New Roman"/>
                <w:snapToGrid/>
                <w:color w:val="auto"/>
                <w:szCs w:val="30"/>
              </w:rPr>
            </w:pPr>
            <w:bookmarkStart w:id="153" w:name="_Toc5972"/>
            <w:bookmarkStart w:id="154" w:name="_Toc18338"/>
            <w:bookmarkStart w:id="155" w:name="_Toc18759"/>
            <w:bookmarkStart w:id="156" w:name="_Toc16136"/>
            <w:bookmarkStart w:id="157" w:name="_Toc26919"/>
            <w:bookmarkStart w:id="158" w:name="_Toc16244"/>
            <w:bookmarkStart w:id="159" w:name="_Toc7125"/>
            <w:bookmarkStart w:id="160" w:name="_Toc22366"/>
            <w:r>
              <w:rPr>
                <w:rFonts w:hint="default" w:ascii="Times New Roman" w:hAnsi="Times New Roman" w:cs="Times New Roman"/>
                <w:snapToGrid/>
                <w:color w:val="auto"/>
                <w:szCs w:val="30"/>
              </w:rPr>
              <w:t>3.3污染物排放标准</w:t>
            </w:r>
            <w:bookmarkEnd w:id="153"/>
            <w:bookmarkEnd w:id="154"/>
            <w:bookmarkEnd w:id="155"/>
            <w:bookmarkEnd w:id="156"/>
            <w:bookmarkEnd w:id="157"/>
            <w:bookmarkEnd w:id="158"/>
            <w:bookmarkEnd w:id="159"/>
          </w:p>
          <w:p w14:paraId="788BEF76">
            <w:pPr>
              <w:pStyle w:val="5"/>
              <w:spacing w:before="189" w:after="189" w:afterLines="50" w:afterAutospacing="0" w:line="240" w:lineRule="auto"/>
              <w:rPr>
                <w:rFonts w:hint="default" w:ascii="Times New Roman" w:hAnsi="Times New Roman" w:cs="Times New Roman"/>
                <w:color w:val="auto"/>
              </w:rPr>
            </w:pPr>
            <w:r>
              <w:rPr>
                <w:rFonts w:hint="default" w:ascii="Times New Roman" w:hAnsi="Times New Roman" w:cs="Times New Roman"/>
                <w:color w:val="auto"/>
              </w:rPr>
              <w:t>3.3.1废气</w:t>
            </w:r>
          </w:p>
          <w:p w14:paraId="76CA7ADD">
            <w:pPr>
              <w:adjustRightInd w:val="0"/>
              <w:snapToGrid w:val="0"/>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sz w:val="24"/>
              </w:rPr>
              <w:t>拟建项目</w:t>
            </w:r>
            <w:r>
              <w:rPr>
                <w:rFonts w:hint="default" w:ascii="Times New Roman" w:hAnsi="Times New Roman" w:cs="Times New Roman"/>
                <w:bCs/>
                <w:color w:val="auto"/>
                <w:sz w:val="24"/>
              </w:rPr>
              <w:t>剥壳除锈、打磨工序</w:t>
            </w:r>
            <w:r>
              <w:rPr>
                <w:rFonts w:hint="default" w:ascii="Times New Roman" w:hAnsi="Times New Roman" w:cs="Times New Roman"/>
                <w:color w:val="auto"/>
                <w:kern w:val="0"/>
                <w:sz w:val="24"/>
              </w:rPr>
              <w:t>产生颗粒物，拟经</w:t>
            </w:r>
            <w:r>
              <w:rPr>
                <w:rFonts w:hint="default" w:ascii="Times New Roman" w:hAnsi="Times New Roman" w:cs="Times New Roman"/>
                <w:color w:val="auto"/>
                <w:kern w:val="0"/>
                <w:sz w:val="24"/>
                <w:lang w:val="en-US" w:eastAsia="zh-CN"/>
              </w:rPr>
              <w:t>滤筒</w:t>
            </w:r>
            <w:r>
              <w:rPr>
                <w:rFonts w:hint="default" w:ascii="Times New Roman" w:hAnsi="Times New Roman" w:cs="Times New Roman"/>
                <w:color w:val="auto"/>
                <w:kern w:val="0"/>
                <w:sz w:val="24"/>
              </w:rPr>
              <w:t>除尘器处理后达标排放，执行《大气污染物综合排放标准》（GB16297-1996）表 2 标准</w:t>
            </w:r>
            <w:r>
              <w:rPr>
                <w:rFonts w:hint="default" w:ascii="Times New Roman" w:hAnsi="Times New Roman" w:cs="Times New Roman"/>
                <w:color w:val="auto"/>
                <w:sz w:val="24"/>
              </w:rPr>
              <w:t>；表面处理工艺产生的</w:t>
            </w:r>
            <w:r>
              <w:rPr>
                <w:rFonts w:hint="default" w:ascii="Times New Roman" w:hAnsi="Times New Roman" w:cs="Times New Roman"/>
                <w:color w:val="auto"/>
                <w:kern w:val="0"/>
                <w:sz w:val="24"/>
              </w:rPr>
              <w:t>酸雾（</w:t>
            </w:r>
            <w:r>
              <w:rPr>
                <w:rFonts w:hint="default" w:ascii="Times New Roman" w:hAnsi="Times New Roman" w:cs="Times New Roman"/>
                <w:color w:val="auto"/>
                <w:sz w:val="24"/>
              </w:rPr>
              <w:t>氯化氢）</w:t>
            </w:r>
            <w:r>
              <w:rPr>
                <w:rFonts w:hint="default" w:ascii="Times New Roman" w:hAnsi="Times New Roman" w:cs="Times New Roman"/>
                <w:color w:val="auto"/>
                <w:kern w:val="0"/>
                <w:sz w:val="24"/>
              </w:rPr>
              <w:t>有组织排放参照《电镀污染物排放标准》（GB 21900-2008）表5标准限值</w:t>
            </w:r>
            <w:r>
              <w:rPr>
                <w:rFonts w:hint="default" w:ascii="Times New Roman" w:hAnsi="Times New Roman" w:cs="Times New Roman"/>
                <w:color w:val="auto"/>
                <w:sz w:val="24"/>
              </w:rPr>
              <w:t>；</w:t>
            </w:r>
            <w:r>
              <w:rPr>
                <w:rFonts w:hint="default" w:ascii="Times New Roman" w:hAnsi="Times New Roman" w:cs="Times New Roman"/>
                <w:color w:val="auto"/>
                <w:kern w:val="0"/>
                <w:sz w:val="24"/>
              </w:rPr>
              <w:t>燃天然气</w:t>
            </w:r>
            <w:r>
              <w:rPr>
                <w:rFonts w:hint="default" w:ascii="Times New Roman" w:hAnsi="Times New Roman" w:cs="Times New Roman"/>
                <w:color w:val="auto"/>
                <w:kern w:val="0"/>
                <w:sz w:val="24"/>
                <w:lang w:val="en-US" w:eastAsia="zh-CN"/>
              </w:rPr>
              <w:t>蒸汽发生器</w:t>
            </w:r>
            <w:r>
              <w:rPr>
                <w:rFonts w:hint="default" w:ascii="Times New Roman" w:hAnsi="Times New Roman" w:cs="Times New Roman"/>
                <w:color w:val="auto"/>
                <w:kern w:val="0"/>
                <w:sz w:val="24"/>
              </w:rPr>
              <w:t>为</w:t>
            </w:r>
            <w:r>
              <w:rPr>
                <w:rFonts w:hint="default" w:ascii="Times New Roman" w:hAnsi="Times New Roman" w:cs="Times New Roman"/>
                <w:color w:val="auto"/>
                <w:sz w:val="24"/>
              </w:rPr>
              <w:t>表面处理</w:t>
            </w:r>
            <w:r>
              <w:rPr>
                <w:rFonts w:hint="default" w:ascii="Times New Roman" w:hAnsi="Times New Roman" w:cs="Times New Roman"/>
                <w:color w:val="auto"/>
                <w:kern w:val="0"/>
                <w:sz w:val="24"/>
              </w:rPr>
              <w:t>工序供热，三明市仅两区（三元区和梅列区）为大气污染物特别排放限值重点控制区，本项目位于三明市沙县，因此燃</w:t>
            </w:r>
            <w:r>
              <w:rPr>
                <w:rFonts w:hint="default" w:ascii="Times New Roman" w:hAnsi="Times New Roman" w:cs="Times New Roman"/>
                <w:color w:val="auto"/>
                <w:kern w:val="0"/>
                <w:sz w:val="24"/>
                <w:lang w:val="en-US" w:eastAsia="zh-CN"/>
              </w:rPr>
              <w:t>天然气</w:t>
            </w:r>
            <w:r>
              <w:rPr>
                <w:rFonts w:hint="default" w:ascii="Times New Roman" w:hAnsi="Times New Roman" w:cs="Times New Roman"/>
                <w:color w:val="auto"/>
                <w:kern w:val="0"/>
                <w:sz w:val="24"/>
              </w:rPr>
              <w:t>废气排放</w:t>
            </w:r>
            <w:r>
              <w:rPr>
                <w:rFonts w:hint="default" w:ascii="Times New Roman" w:hAnsi="Times New Roman" w:cs="Times New Roman"/>
                <w:color w:val="auto"/>
                <w:kern w:val="0"/>
                <w:sz w:val="24"/>
                <w:lang w:val="en-US" w:eastAsia="zh-CN"/>
              </w:rPr>
              <w:t>参照</w:t>
            </w:r>
            <w:r>
              <w:rPr>
                <w:rFonts w:hint="default" w:ascii="Times New Roman" w:hAnsi="Times New Roman" w:cs="Times New Roman"/>
                <w:color w:val="auto"/>
                <w:kern w:val="0"/>
                <w:sz w:val="24"/>
              </w:rPr>
              <w:t>执行《锅炉大气污染物排放标准》（GB13271-2014）表2中燃气锅炉大气污染物排放限值标准，</w:t>
            </w:r>
            <w:r>
              <w:rPr>
                <w:rFonts w:hint="default" w:ascii="Times New Roman" w:hAnsi="Times New Roman" w:cs="Times New Roman"/>
                <w:color w:val="auto"/>
                <w:sz w:val="24"/>
              </w:rPr>
              <w:t>详见表3.3-1。</w:t>
            </w:r>
          </w:p>
          <w:p w14:paraId="672CA123">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厂界无组织颗粒物、HCl执行《大气污染物综合排放标准》（GB16297-1996）表2无组织排放监控浓度限值，详见表3.3-2。</w:t>
            </w:r>
          </w:p>
          <w:p w14:paraId="3C71E5E1">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表3.3-1  有组织废气排放标准  单位mg/m</w:t>
            </w:r>
            <w:r>
              <w:rPr>
                <w:rFonts w:hint="default" w:ascii="Times New Roman" w:hAnsi="Times New Roman" w:eastAsia="黑体" w:cs="Times New Roman"/>
                <w:b w:val="0"/>
                <w:bCs/>
                <w:color w:val="auto"/>
                <w:vertAlign w:val="superscript"/>
              </w:rPr>
              <w:t>3</w:t>
            </w:r>
          </w:p>
          <w:tbl>
            <w:tblPr>
              <w:tblStyle w:val="34"/>
              <w:tblW w:w="502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528"/>
              <w:gridCol w:w="1188"/>
              <w:gridCol w:w="886"/>
              <w:gridCol w:w="951"/>
              <w:gridCol w:w="1022"/>
              <w:gridCol w:w="3096"/>
            </w:tblGrid>
            <w:tr w14:paraId="60E247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81" w:type="pct"/>
                  <w:tcBorders>
                    <w:tl2br w:val="nil"/>
                    <w:tr2bl w:val="nil"/>
                  </w:tcBorders>
                  <w:shd w:val="clear" w:color="auto" w:fill="auto"/>
                  <w:vAlign w:val="center"/>
                </w:tcPr>
                <w:p w14:paraId="3DFB98F8">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生产工艺</w:t>
                  </w:r>
                </w:p>
                <w:p w14:paraId="12B2614C">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或设施</w:t>
                  </w:r>
                </w:p>
              </w:tc>
              <w:tc>
                <w:tcPr>
                  <w:tcW w:w="685" w:type="pct"/>
                  <w:tcBorders>
                    <w:tl2br w:val="nil"/>
                    <w:tr2bl w:val="nil"/>
                  </w:tcBorders>
                  <w:shd w:val="clear" w:color="auto" w:fill="auto"/>
                  <w:vAlign w:val="center"/>
                </w:tcPr>
                <w:p w14:paraId="73381864">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污染物</w:t>
                  </w:r>
                </w:p>
              </w:tc>
              <w:tc>
                <w:tcPr>
                  <w:tcW w:w="511" w:type="pct"/>
                  <w:tcBorders>
                    <w:tl2br w:val="nil"/>
                    <w:tr2bl w:val="nil"/>
                  </w:tcBorders>
                  <w:shd w:val="clear" w:color="auto" w:fill="auto"/>
                  <w:vAlign w:val="center"/>
                </w:tcPr>
                <w:p w14:paraId="1C247459">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排气筒</w:t>
                  </w:r>
                  <w:r>
                    <w:rPr>
                      <w:rFonts w:hint="default" w:ascii="Times New Roman" w:hAnsi="Times New Roman" w:cs="Times New Roman"/>
                      <w:color w:val="auto"/>
                    </w:rPr>
                    <w:br w:type="textWrapping"/>
                  </w:r>
                  <w:r>
                    <w:rPr>
                      <w:rFonts w:hint="default" w:ascii="Times New Roman" w:hAnsi="Times New Roman" w:cs="Times New Roman"/>
                      <w:color w:val="auto"/>
                    </w:rPr>
                    <w:t>高度m</w:t>
                  </w:r>
                </w:p>
              </w:tc>
              <w:tc>
                <w:tcPr>
                  <w:tcW w:w="548" w:type="pct"/>
                  <w:tcBorders>
                    <w:tl2br w:val="nil"/>
                    <w:tr2bl w:val="nil"/>
                  </w:tcBorders>
                  <w:shd w:val="clear" w:color="auto" w:fill="auto"/>
                  <w:vAlign w:val="center"/>
                </w:tcPr>
                <w:p w14:paraId="777EDD2B">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限值</w:t>
                  </w:r>
                  <w:r>
                    <w:rPr>
                      <w:rFonts w:hint="default" w:ascii="Times New Roman" w:hAnsi="Times New Roman" w:cs="Times New Roman"/>
                      <w:color w:val="auto"/>
                    </w:rPr>
                    <w:br w:type="textWrapping"/>
                  </w:r>
                  <w:r>
                    <w:rPr>
                      <w:rFonts w:hint="default" w:ascii="Times New Roman" w:hAnsi="Times New Roman" w:cs="Times New Roman"/>
                      <w:color w:val="auto"/>
                    </w:rPr>
                    <w:t>mg/m³</w:t>
                  </w:r>
                </w:p>
              </w:tc>
              <w:tc>
                <w:tcPr>
                  <w:tcW w:w="589" w:type="pct"/>
                  <w:tcBorders>
                    <w:tl2br w:val="nil"/>
                    <w:tr2bl w:val="nil"/>
                  </w:tcBorders>
                  <w:shd w:val="clear" w:color="auto" w:fill="auto"/>
                  <w:vAlign w:val="center"/>
                </w:tcPr>
                <w:p w14:paraId="2ACCAF4D">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排放速率kg/h</w:t>
                  </w:r>
                </w:p>
              </w:tc>
              <w:tc>
                <w:tcPr>
                  <w:tcW w:w="1784" w:type="pct"/>
                  <w:tcBorders>
                    <w:tl2br w:val="nil"/>
                    <w:tr2bl w:val="nil"/>
                  </w:tcBorders>
                  <w:shd w:val="clear" w:color="auto" w:fill="auto"/>
                  <w:vAlign w:val="center"/>
                </w:tcPr>
                <w:p w14:paraId="0CD23560">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采用标准</w:t>
                  </w:r>
                </w:p>
              </w:tc>
            </w:tr>
            <w:tr w14:paraId="3BAFB9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81" w:type="pct"/>
                  <w:tcBorders>
                    <w:tl2br w:val="nil"/>
                    <w:tr2bl w:val="nil"/>
                  </w:tcBorders>
                  <w:shd w:val="clear" w:color="auto" w:fill="auto"/>
                  <w:vAlign w:val="center"/>
                </w:tcPr>
                <w:p w14:paraId="76311639">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剥壳除锈、打磨工序</w:t>
                  </w:r>
                </w:p>
              </w:tc>
              <w:tc>
                <w:tcPr>
                  <w:tcW w:w="685" w:type="pct"/>
                  <w:tcBorders>
                    <w:tl2br w:val="nil"/>
                    <w:tr2bl w:val="nil"/>
                  </w:tcBorders>
                  <w:shd w:val="clear" w:color="auto" w:fill="auto"/>
                  <w:vAlign w:val="center"/>
                </w:tcPr>
                <w:p w14:paraId="5013BC46">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颗粒物</w:t>
                  </w:r>
                </w:p>
              </w:tc>
              <w:tc>
                <w:tcPr>
                  <w:tcW w:w="511" w:type="pct"/>
                  <w:tcBorders>
                    <w:tl2br w:val="nil"/>
                    <w:tr2bl w:val="nil"/>
                  </w:tcBorders>
                  <w:shd w:val="clear" w:color="auto" w:fill="auto"/>
                  <w:vAlign w:val="center"/>
                </w:tcPr>
                <w:p w14:paraId="66AAEC94">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18</w:t>
                  </w:r>
                </w:p>
              </w:tc>
              <w:tc>
                <w:tcPr>
                  <w:tcW w:w="548" w:type="pct"/>
                  <w:tcBorders>
                    <w:tl2br w:val="nil"/>
                    <w:tr2bl w:val="nil"/>
                  </w:tcBorders>
                  <w:shd w:val="clear" w:color="auto" w:fill="auto"/>
                  <w:vAlign w:val="center"/>
                </w:tcPr>
                <w:p w14:paraId="3A5C9E9A">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120</w:t>
                  </w:r>
                </w:p>
              </w:tc>
              <w:tc>
                <w:tcPr>
                  <w:tcW w:w="589" w:type="pct"/>
                  <w:tcBorders>
                    <w:tl2br w:val="nil"/>
                    <w:tr2bl w:val="nil"/>
                  </w:tcBorders>
                  <w:shd w:val="clear" w:color="auto" w:fill="auto"/>
                  <w:vAlign w:val="center"/>
                </w:tcPr>
                <w:p w14:paraId="31716739">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4.94</w:t>
                  </w:r>
                </w:p>
              </w:tc>
              <w:tc>
                <w:tcPr>
                  <w:tcW w:w="1784" w:type="pct"/>
                  <w:tcBorders>
                    <w:tl2br w:val="nil"/>
                    <w:tr2bl w:val="nil"/>
                  </w:tcBorders>
                  <w:shd w:val="clear" w:color="auto" w:fill="auto"/>
                  <w:vAlign w:val="center"/>
                </w:tcPr>
                <w:p w14:paraId="74869A6C">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《大气污染物综合排放标准》</w:t>
                  </w:r>
                  <w:r>
                    <w:rPr>
                      <w:rFonts w:hint="default" w:ascii="Times New Roman" w:hAnsi="Times New Roman" w:cs="Times New Roman"/>
                      <w:color w:val="auto"/>
                    </w:rPr>
                    <w:br w:type="textWrapping"/>
                  </w:r>
                  <w:r>
                    <w:rPr>
                      <w:rFonts w:hint="default" w:ascii="Times New Roman" w:hAnsi="Times New Roman" w:cs="Times New Roman"/>
                      <w:color w:val="auto"/>
                    </w:rPr>
                    <w:t>（GB16297-1996）表2</w:t>
                  </w:r>
                </w:p>
                <w:p w14:paraId="15DDBE17">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二级标准限值</w:t>
                  </w:r>
                </w:p>
              </w:tc>
            </w:tr>
            <w:tr w14:paraId="22D622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81" w:type="pct"/>
                  <w:tcBorders>
                    <w:tl2br w:val="nil"/>
                    <w:tr2bl w:val="nil"/>
                  </w:tcBorders>
                  <w:shd w:val="clear" w:color="auto" w:fill="auto"/>
                  <w:vAlign w:val="center"/>
                </w:tcPr>
                <w:p w14:paraId="753C31C7">
                  <w:pPr>
                    <w:spacing w:line="280" w:lineRule="exact"/>
                    <w:jc w:val="center"/>
                    <w:rPr>
                      <w:rFonts w:hint="default" w:ascii="Times New Roman" w:hAnsi="Times New Roman" w:cs="Times New Roman"/>
                      <w:color w:val="auto"/>
                      <w:highlight w:val="yellow"/>
                    </w:rPr>
                  </w:pPr>
                  <w:r>
                    <w:rPr>
                      <w:rFonts w:hint="default" w:ascii="Times New Roman" w:hAnsi="Times New Roman" w:cs="Times New Roman"/>
                      <w:color w:val="auto"/>
                    </w:rPr>
                    <w:t>表面处理</w:t>
                  </w:r>
                </w:p>
              </w:tc>
              <w:tc>
                <w:tcPr>
                  <w:tcW w:w="685" w:type="pct"/>
                  <w:tcBorders>
                    <w:tl2br w:val="nil"/>
                    <w:tr2bl w:val="nil"/>
                  </w:tcBorders>
                  <w:shd w:val="clear" w:color="auto" w:fill="auto"/>
                  <w:vAlign w:val="center"/>
                </w:tcPr>
                <w:p w14:paraId="368686C6">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酸雾（HCl）</w:t>
                  </w:r>
                </w:p>
              </w:tc>
              <w:tc>
                <w:tcPr>
                  <w:tcW w:w="511" w:type="pct"/>
                  <w:tcBorders>
                    <w:tl2br w:val="nil"/>
                    <w:tr2bl w:val="nil"/>
                  </w:tcBorders>
                  <w:shd w:val="clear" w:color="auto" w:fill="auto"/>
                  <w:vAlign w:val="center"/>
                </w:tcPr>
                <w:p w14:paraId="118CCE63">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18</w:t>
                  </w:r>
                </w:p>
              </w:tc>
              <w:tc>
                <w:tcPr>
                  <w:tcW w:w="548" w:type="pct"/>
                  <w:tcBorders>
                    <w:tl2br w:val="nil"/>
                    <w:tr2bl w:val="nil"/>
                  </w:tcBorders>
                  <w:shd w:val="clear" w:color="auto" w:fill="auto"/>
                  <w:vAlign w:val="center"/>
                </w:tcPr>
                <w:p w14:paraId="2E0A0992">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30</w:t>
                  </w:r>
                </w:p>
              </w:tc>
              <w:tc>
                <w:tcPr>
                  <w:tcW w:w="589" w:type="pct"/>
                  <w:tcBorders>
                    <w:tl2br w:val="nil"/>
                    <w:tr2bl w:val="nil"/>
                  </w:tcBorders>
                  <w:shd w:val="clear" w:color="auto" w:fill="auto"/>
                  <w:vAlign w:val="center"/>
                </w:tcPr>
                <w:p w14:paraId="648850A8">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w:t>
                  </w:r>
                </w:p>
              </w:tc>
              <w:tc>
                <w:tcPr>
                  <w:tcW w:w="1784" w:type="pct"/>
                  <w:tcBorders>
                    <w:tl2br w:val="nil"/>
                    <w:tr2bl w:val="nil"/>
                  </w:tcBorders>
                  <w:shd w:val="clear" w:color="auto" w:fill="auto"/>
                  <w:vAlign w:val="center"/>
                </w:tcPr>
                <w:p w14:paraId="58C1E6D1">
                  <w:pPr>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《电镀污染物排放标准》</w:t>
                  </w:r>
                </w:p>
                <w:p w14:paraId="322F5BC4">
                  <w:pPr>
                    <w:spacing w:line="280" w:lineRule="exact"/>
                    <w:jc w:val="center"/>
                    <w:rPr>
                      <w:rFonts w:hint="default" w:ascii="Times New Roman" w:hAnsi="Times New Roman" w:cs="Times New Roman"/>
                      <w:color w:val="auto"/>
                    </w:rPr>
                  </w:pPr>
                  <w:r>
                    <w:rPr>
                      <w:rFonts w:hint="default" w:ascii="Times New Roman" w:hAnsi="Times New Roman" w:cs="Times New Roman"/>
                      <w:color w:val="auto"/>
                      <w:szCs w:val="21"/>
                    </w:rPr>
                    <w:t>（GB 21900-2008）表5</w:t>
                  </w:r>
                </w:p>
              </w:tc>
            </w:tr>
            <w:tr w14:paraId="2AB0E2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81" w:type="pct"/>
                  <w:vMerge w:val="restart"/>
                  <w:tcBorders>
                    <w:tl2br w:val="nil"/>
                    <w:tr2bl w:val="nil"/>
                  </w:tcBorders>
                  <w:shd w:val="clear" w:color="auto" w:fill="auto"/>
                  <w:vAlign w:val="center"/>
                </w:tcPr>
                <w:p w14:paraId="7EF49AC2">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燃气锅炉</w:t>
                  </w:r>
                </w:p>
              </w:tc>
              <w:tc>
                <w:tcPr>
                  <w:tcW w:w="685" w:type="pct"/>
                  <w:tcBorders>
                    <w:tl2br w:val="nil"/>
                    <w:tr2bl w:val="nil"/>
                  </w:tcBorders>
                  <w:shd w:val="clear" w:color="auto" w:fill="auto"/>
                  <w:vAlign w:val="center"/>
                </w:tcPr>
                <w:p w14:paraId="39AADA76">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颗粒物</w:t>
                  </w:r>
                </w:p>
              </w:tc>
              <w:tc>
                <w:tcPr>
                  <w:tcW w:w="511" w:type="pct"/>
                  <w:vMerge w:val="restart"/>
                  <w:tcBorders>
                    <w:tl2br w:val="nil"/>
                    <w:tr2bl w:val="nil"/>
                  </w:tcBorders>
                  <w:shd w:val="clear" w:color="auto" w:fill="auto"/>
                  <w:vAlign w:val="center"/>
                </w:tcPr>
                <w:p w14:paraId="61BE2F8E">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18</w:t>
                  </w:r>
                </w:p>
              </w:tc>
              <w:tc>
                <w:tcPr>
                  <w:tcW w:w="548" w:type="pct"/>
                  <w:tcBorders>
                    <w:tl2br w:val="nil"/>
                    <w:tr2bl w:val="nil"/>
                  </w:tcBorders>
                  <w:shd w:val="clear" w:color="auto" w:fill="auto"/>
                  <w:vAlign w:val="center"/>
                </w:tcPr>
                <w:p w14:paraId="15CFBA63">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20</w:t>
                  </w:r>
                </w:p>
              </w:tc>
              <w:tc>
                <w:tcPr>
                  <w:tcW w:w="589" w:type="pct"/>
                  <w:tcBorders>
                    <w:tl2br w:val="nil"/>
                    <w:tr2bl w:val="nil"/>
                  </w:tcBorders>
                  <w:shd w:val="clear" w:color="auto" w:fill="auto"/>
                  <w:vAlign w:val="center"/>
                </w:tcPr>
                <w:p w14:paraId="69D5FB4B">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w:t>
                  </w:r>
                </w:p>
              </w:tc>
              <w:tc>
                <w:tcPr>
                  <w:tcW w:w="1784" w:type="pct"/>
                  <w:vMerge w:val="restart"/>
                  <w:tcBorders>
                    <w:tl2br w:val="nil"/>
                    <w:tr2bl w:val="nil"/>
                  </w:tcBorders>
                  <w:shd w:val="clear" w:color="auto" w:fill="auto"/>
                  <w:vAlign w:val="center"/>
                </w:tcPr>
                <w:p w14:paraId="29780347">
                  <w:pPr>
                    <w:spacing w:line="280" w:lineRule="exact"/>
                    <w:jc w:val="center"/>
                    <w:rPr>
                      <w:rFonts w:hint="default" w:ascii="Times New Roman" w:hAnsi="Times New Roman" w:cs="Times New Roman"/>
                      <w:color w:val="auto"/>
                    </w:rPr>
                  </w:pPr>
                  <w:r>
                    <w:rPr>
                      <w:rFonts w:hint="default" w:ascii="Times New Roman" w:hAnsi="Times New Roman" w:cs="Times New Roman"/>
                      <w:color w:val="auto"/>
                      <w:szCs w:val="21"/>
                    </w:rPr>
                    <w:t>《锅炉大气污染物排放标准》（GB13271-2014）表2</w:t>
                  </w:r>
                </w:p>
              </w:tc>
            </w:tr>
            <w:tr w14:paraId="663D74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81" w:type="pct"/>
                  <w:vMerge w:val="continue"/>
                  <w:tcBorders>
                    <w:tl2br w:val="nil"/>
                    <w:tr2bl w:val="nil"/>
                  </w:tcBorders>
                  <w:shd w:val="clear" w:color="auto" w:fill="auto"/>
                  <w:vAlign w:val="center"/>
                </w:tcPr>
                <w:p w14:paraId="3F9624FA">
                  <w:pPr>
                    <w:spacing w:line="280" w:lineRule="exact"/>
                    <w:jc w:val="center"/>
                    <w:rPr>
                      <w:rFonts w:hint="default" w:ascii="Times New Roman" w:hAnsi="Times New Roman" w:cs="Times New Roman"/>
                      <w:color w:val="auto"/>
                    </w:rPr>
                  </w:pPr>
                </w:p>
              </w:tc>
              <w:tc>
                <w:tcPr>
                  <w:tcW w:w="685" w:type="pct"/>
                  <w:tcBorders>
                    <w:tl2br w:val="nil"/>
                    <w:tr2bl w:val="nil"/>
                  </w:tcBorders>
                  <w:shd w:val="clear" w:color="auto" w:fill="auto"/>
                  <w:vAlign w:val="center"/>
                </w:tcPr>
                <w:p w14:paraId="640D718D">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二氧化硫</w:t>
                  </w:r>
                </w:p>
              </w:tc>
              <w:tc>
                <w:tcPr>
                  <w:tcW w:w="511" w:type="pct"/>
                  <w:vMerge w:val="continue"/>
                  <w:tcBorders>
                    <w:tl2br w:val="nil"/>
                    <w:tr2bl w:val="nil"/>
                  </w:tcBorders>
                  <w:shd w:val="clear" w:color="auto" w:fill="auto"/>
                  <w:vAlign w:val="center"/>
                </w:tcPr>
                <w:p w14:paraId="0522D0CD">
                  <w:pPr>
                    <w:spacing w:line="280" w:lineRule="exact"/>
                    <w:jc w:val="center"/>
                    <w:rPr>
                      <w:rFonts w:hint="default" w:ascii="Times New Roman" w:hAnsi="Times New Roman" w:cs="Times New Roman"/>
                      <w:color w:val="auto"/>
                    </w:rPr>
                  </w:pPr>
                </w:p>
              </w:tc>
              <w:tc>
                <w:tcPr>
                  <w:tcW w:w="548" w:type="pct"/>
                  <w:tcBorders>
                    <w:tl2br w:val="nil"/>
                    <w:tr2bl w:val="nil"/>
                  </w:tcBorders>
                  <w:shd w:val="clear" w:color="auto" w:fill="auto"/>
                  <w:vAlign w:val="center"/>
                </w:tcPr>
                <w:p w14:paraId="09E31607">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50</w:t>
                  </w:r>
                </w:p>
              </w:tc>
              <w:tc>
                <w:tcPr>
                  <w:tcW w:w="589" w:type="pct"/>
                  <w:tcBorders>
                    <w:tl2br w:val="nil"/>
                    <w:tr2bl w:val="nil"/>
                  </w:tcBorders>
                  <w:shd w:val="clear" w:color="auto" w:fill="auto"/>
                  <w:vAlign w:val="center"/>
                </w:tcPr>
                <w:p w14:paraId="4D5880EF">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w:t>
                  </w:r>
                </w:p>
              </w:tc>
              <w:tc>
                <w:tcPr>
                  <w:tcW w:w="1784" w:type="pct"/>
                  <w:vMerge w:val="continue"/>
                  <w:tcBorders>
                    <w:tl2br w:val="nil"/>
                    <w:tr2bl w:val="nil"/>
                  </w:tcBorders>
                  <w:shd w:val="clear" w:color="auto" w:fill="auto"/>
                  <w:vAlign w:val="center"/>
                </w:tcPr>
                <w:p w14:paraId="791EE315">
                  <w:pPr>
                    <w:spacing w:line="280" w:lineRule="exact"/>
                    <w:jc w:val="center"/>
                    <w:rPr>
                      <w:rFonts w:hint="default" w:ascii="Times New Roman" w:hAnsi="Times New Roman" w:cs="Times New Roman"/>
                      <w:color w:val="auto"/>
                    </w:rPr>
                  </w:pPr>
                </w:p>
              </w:tc>
            </w:tr>
            <w:tr w14:paraId="7061A7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81" w:type="pct"/>
                  <w:vMerge w:val="continue"/>
                  <w:tcBorders>
                    <w:tl2br w:val="nil"/>
                    <w:tr2bl w:val="nil"/>
                  </w:tcBorders>
                  <w:shd w:val="clear" w:color="auto" w:fill="auto"/>
                  <w:vAlign w:val="center"/>
                </w:tcPr>
                <w:p w14:paraId="2077503D">
                  <w:pPr>
                    <w:spacing w:line="280" w:lineRule="exact"/>
                    <w:jc w:val="center"/>
                    <w:rPr>
                      <w:rFonts w:hint="default" w:ascii="Times New Roman" w:hAnsi="Times New Roman" w:cs="Times New Roman"/>
                      <w:color w:val="auto"/>
                    </w:rPr>
                  </w:pPr>
                </w:p>
              </w:tc>
              <w:tc>
                <w:tcPr>
                  <w:tcW w:w="685" w:type="pct"/>
                  <w:tcBorders>
                    <w:tl2br w:val="nil"/>
                    <w:tr2bl w:val="nil"/>
                  </w:tcBorders>
                  <w:shd w:val="clear" w:color="auto" w:fill="auto"/>
                  <w:vAlign w:val="center"/>
                </w:tcPr>
                <w:p w14:paraId="74F46DF7">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氮氧化物</w:t>
                  </w:r>
                </w:p>
              </w:tc>
              <w:tc>
                <w:tcPr>
                  <w:tcW w:w="511" w:type="pct"/>
                  <w:vMerge w:val="continue"/>
                  <w:tcBorders>
                    <w:tl2br w:val="nil"/>
                    <w:tr2bl w:val="nil"/>
                  </w:tcBorders>
                  <w:shd w:val="clear" w:color="auto" w:fill="auto"/>
                  <w:vAlign w:val="center"/>
                </w:tcPr>
                <w:p w14:paraId="35DEC3DF">
                  <w:pPr>
                    <w:spacing w:line="280" w:lineRule="exact"/>
                    <w:jc w:val="center"/>
                    <w:rPr>
                      <w:rFonts w:hint="default" w:ascii="Times New Roman" w:hAnsi="Times New Roman" w:cs="Times New Roman"/>
                      <w:color w:val="auto"/>
                    </w:rPr>
                  </w:pPr>
                </w:p>
              </w:tc>
              <w:tc>
                <w:tcPr>
                  <w:tcW w:w="548" w:type="pct"/>
                  <w:tcBorders>
                    <w:tl2br w:val="nil"/>
                    <w:tr2bl w:val="nil"/>
                  </w:tcBorders>
                  <w:shd w:val="clear" w:color="auto" w:fill="auto"/>
                  <w:vAlign w:val="center"/>
                </w:tcPr>
                <w:p w14:paraId="1430DE11">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200</w:t>
                  </w:r>
                </w:p>
              </w:tc>
              <w:tc>
                <w:tcPr>
                  <w:tcW w:w="589" w:type="pct"/>
                  <w:tcBorders>
                    <w:tl2br w:val="nil"/>
                    <w:tr2bl w:val="nil"/>
                  </w:tcBorders>
                  <w:shd w:val="clear" w:color="auto" w:fill="auto"/>
                  <w:vAlign w:val="center"/>
                </w:tcPr>
                <w:p w14:paraId="745CE766">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w:t>
                  </w:r>
                </w:p>
              </w:tc>
              <w:tc>
                <w:tcPr>
                  <w:tcW w:w="1784" w:type="pct"/>
                  <w:vMerge w:val="continue"/>
                  <w:tcBorders>
                    <w:tl2br w:val="nil"/>
                    <w:tr2bl w:val="nil"/>
                  </w:tcBorders>
                  <w:shd w:val="clear" w:color="auto" w:fill="auto"/>
                  <w:vAlign w:val="center"/>
                </w:tcPr>
                <w:p w14:paraId="02A8087E">
                  <w:pPr>
                    <w:spacing w:line="280" w:lineRule="exact"/>
                    <w:jc w:val="center"/>
                    <w:rPr>
                      <w:rFonts w:hint="default" w:ascii="Times New Roman" w:hAnsi="Times New Roman" w:cs="Times New Roman"/>
                      <w:color w:val="auto"/>
                    </w:rPr>
                  </w:pPr>
                </w:p>
              </w:tc>
            </w:tr>
          </w:tbl>
          <w:p w14:paraId="6D3593EE">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表3.3-2  厂界无组织废气排放标准  单位mg/m</w:t>
            </w:r>
            <w:r>
              <w:rPr>
                <w:rFonts w:hint="default" w:ascii="Times New Roman" w:hAnsi="Times New Roman" w:eastAsia="黑体" w:cs="Times New Roman"/>
                <w:b w:val="0"/>
                <w:bCs/>
                <w:color w:val="auto"/>
                <w:vertAlign w:val="superscript"/>
              </w:rPr>
              <w:t>3</w:t>
            </w:r>
          </w:p>
          <w:tbl>
            <w:tblPr>
              <w:tblStyle w:val="34"/>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639"/>
              <w:gridCol w:w="2587"/>
              <w:gridCol w:w="1351"/>
              <w:gridCol w:w="3056"/>
            </w:tblGrid>
            <w:tr w14:paraId="6E1552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49" w:type="pct"/>
                  <w:vMerge w:val="restart"/>
                  <w:tcBorders>
                    <w:tl2br w:val="nil"/>
                    <w:tr2bl w:val="nil"/>
                  </w:tcBorders>
                  <w:tcMar>
                    <w:left w:w="108" w:type="dxa"/>
                    <w:right w:w="108" w:type="dxa"/>
                  </w:tcMar>
                  <w:vAlign w:val="center"/>
                </w:tcPr>
                <w:p w14:paraId="36581CDC">
                  <w:pPr>
                    <w:pStyle w:val="2"/>
                    <w:widowControl/>
                    <w:spacing w:line="240" w:lineRule="exact"/>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污染物</w:t>
                  </w:r>
                </w:p>
              </w:tc>
              <w:tc>
                <w:tcPr>
                  <w:tcW w:w="2280" w:type="pct"/>
                  <w:gridSpan w:val="2"/>
                  <w:tcBorders>
                    <w:tl2br w:val="nil"/>
                    <w:tr2bl w:val="nil"/>
                  </w:tcBorders>
                  <w:tcMar>
                    <w:left w:w="28" w:type="dxa"/>
                    <w:right w:w="28" w:type="dxa"/>
                  </w:tcMar>
                  <w:vAlign w:val="center"/>
                </w:tcPr>
                <w:p w14:paraId="6E1BE5C0">
                  <w:pPr>
                    <w:pStyle w:val="2"/>
                    <w:widowControl/>
                    <w:spacing w:line="240" w:lineRule="exact"/>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无组织排放监控浓度限值</w:t>
                  </w:r>
                </w:p>
              </w:tc>
              <w:tc>
                <w:tcPr>
                  <w:tcW w:w="1769" w:type="pct"/>
                  <w:vMerge w:val="restart"/>
                  <w:tcBorders>
                    <w:tl2br w:val="nil"/>
                    <w:tr2bl w:val="nil"/>
                  </w:tcBorders>
                  <w:tcMar>
                    <w:left w:w="28" w:type="dxa"/>
                    <w:right w:w="28" w:type="dxa"/>
                  </w:tcMar>
                  <w:vAlign w:val="center"/>
                </w:tcPr>
                <w:p w14:paraId="386D6BB4">
                  <w:pPr>
                    <w:pStyle w:val="2"/>
                    <w:widowControl/>
                    <w:spacing w:line="240" w:lineRule="exact"/>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rPr>
                    <w:t>采用标准</w:t>
                  </w:r>
                </w:p>
              </w:tc>
            </w:tr>
            <w:tr w14:paraId="1F32AA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49" w:type="pct"/>
                  <w:vMerge w:val="continue"/>
                  <w:tcBorders>
                    <w:bottom w:val="single" w:color="auto" w:sz="4" w:space="0"/>
                    <w:tl2br w:val="nil"/>
                    <w:tr2bl w:val="nil"/>
                  </w:tcBorders>
                  <w:tcMar>
                    <w:left w:w="108" w:type="dxa"/>
                    <w:right w:w="108" w:type="dxa"/>
                  </w:tcMar>
                  <w:vAlign w:val="center"/>
                </w:tcPr>
                <w:p w14:paraId="257CFE1B">
                  <w:pPr>
                    <w:pStyle w:val="2"/>
                    <w:widowControl/>
                    <w:spacing w:line="240" w:lineRule="exact"/>
                    <w:ind w:firstLine="0" w:firstLineChars="0"/>
                    <w:jc w:val="center"/>
                    <w:rPr>
                      <w:rFonts w:hint="default" w:ascii="Times New Roman" w:hAnsi="Times New Roman" w:cs="Times New Roman"/>
                      <w:color w:val="auto"/>
                      <w:szCs w:val="21"/>
                    </w:rPr>
                  </w:pPr>
                </w:p>
              </w:tc>
              <w:tc>
                <w:tcPr>
                  <w:tcW w:w="1498" w:type="pct"/>
                  <w:tcBorders>
                    <w:bottom w:val="single" w:color="auto" w:sz="4" w:space="0"/>
                    <w:tl2br w:val="nil"/>
                    <w:tr2bl w:val="nil"/>
                  </w:tcBorders>
                  <w:tcMar>
                    <w:left w:w="28" w:type="dxa"/>
                    <w:right w:w="28" w:type="dxa"/>
                  </w:tcMar>
                  <w:vAlign w:val="center"/>
                </w:tcPr>
                <w:p w14:paraId="18787A1F">
                  <w:pPr>
                    <w:pStyle w:val="2"/>
                    <w:widowControl/>
                    <w:spacing w:line="240" w:lineRule="exact"/>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监控点</w:t>
                  </w:r>
                </w:p>
              </w:tc>
              <w:tc>
                <w:tcPr>
                  <w:tcW w:w="782" w:type="pct"/>
                  <w:tcBorders>
                    <w:tl2br w:val="nil"/>
                    <w:tr2bl w:val="nil"/>
                  </w:tcBorders>
                  <w:tcMar>
                    <w:left w:w="28" w:type="dxa"/>
                    <w:right w:w="28" w:type="dxa"/>
                  </w:tcMar>
                  <w:vAlign w:val="center"/>
                </w:tcPr>
                <w:p w14:paraId="50DE7D5F">
                  <w:pPr>
                    <w:pStyle w:val="2"/>
                    <w:widowControl/>
                    <w:spacing w:line="240" w:lineRule="exact"/>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浓度</w:t>
                  </w:r>
                </w:p>
              </w:tc>
              <w:tc>
                <w:tcPr>
                  <w:tcW w:w="1769" w:type="pct"/>
                  <w:vMerge w:val="continue"/>
                  <w:tcBorders>
                    <w:tl2br w:val="nil"/>
                    <w:tr2bl w:val="nil"/>
                  </w:tcBorders>
                  <w:tcMar>
                    <w:left w:w="28" w:type="dxa"/>
                    <w:right w:w="28" w:type="dxa"/>
                  </w:tcMar>
                  <w:vAlign w:val="center"/>
                </w:tcPr>
                <w:p w14:paraId="7E029C05">
                  <w:pPr>
                    <w:pStyle w:val="2"/>
                    <w:widowControl/>
                    <w:spacing w:line="240" w:lineRule="exact"/>
                    <w:ind w:firstLine="0" w:firstLineChars="0"/>
                    <w:jc w:val="center"/>
                    <w:rPr>
                      <w:rFonts w:hint="default" w:ascii="Times New Roman" w:hAnsi="Times New Roman" w:cs="Times New Roman"/>
                      <w:color w:val="auto"/>
                      <w:szCs w:val="21"/>
                    </w:rPr>
                  </w:pPr>
                </w:p>
              </w:tc>
            </w:tr>
            <w:tr w14:paraId="5F75F1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949" w:type="pct"/>
                  <w:tcBorders>
                    <w:top w:val="single" w:color="auto" w:sz="4" w:space="0"/>
                    <w:tl2br w:val="nil"/>
                    <w:tr2bl w:val="nil"/>
                  </w:tcBorders>
                  <w:tcMar>
                    <w:left w:w="108" w:type="dxa"/>
                    <w:right w:w="108" w:type="dxa"/>
                  </w:tcMar>
                  <w:vAlign w:val="center"/>
                </w:tcPr>
                <w:p w14:paraId="2FF2E1F0">
                  <w:pPr>
                    <w:pStyle w:val="2"/>
                    <w:widowControl/>
                    <w:spacing w:line="240" w:lineRule="exact"/>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颗粒物</w:t>
                  </w:r>
                </w:p>
              </w:tc>
              <w:tc>
                <w:tcPr>
                  <w:tcW w:w="1498" w:type="pct"/>
                  <w:tcBorders>
                    <w:top w:val="single" w:color="auto" w:sz="4" w:space="0"/>
                    <w:tl2br w:val="nil"/>
                    <w:tr2bl w:val="nil"/>
                  </w:tcBorders>
                  <w:tcMar>
                    <w:left w:w="28" w:type="dxa"/>
                    <w:right w:w="28" w:type="dxa"/>
                  </w:tcMar>
                  <w:vAlign w:val="center"/>
                </w:tcPr>
                <w:p w14:paraId="0CBAC4E5">
                  <w:pPr>
                    <w:pStyle w:val="2"/>
                    <w:widowControl/>
                    <w:spacing w:line="240" w:lineRule="exact"/>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周界外浓度最高点</w:t>
                  </w:r>
                </w:p>
              </w:tc>
              <w:tc>
                <w:tcPr>
                  <w:tcW w:w="782" w:type="pct"/>
                  <w:tcBorders>
                    <w:tl2br w:val="nil"/>
                    <w:tr2bl w:val="nil"/>
                  </w:tcBorders>
                  <w:tcMar>
                    <w:left w:w="28" w:type="dxa"/>
                    <w:right w:w="28" w:type="dxa"/>
                  </w:tcMar>
                  <w:vAlign w:val="center"/>
                </w:tcPr>
                <w:p w14:paraId="07E359CD">
                  <w:pPr>
                    <w:pStyle w:val="2"/>
                    <w:widowControl/>
                    <w:spacing w:line="240" w:lineRule="exact"/>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1769" w:type="pct"/>
                  <w:vMerge w:val="restart"/>
                  <w:tcBorders>
                    <w:tl2br w:val="nil"/>
                    <w:tr2bl w:val="nil"/>
                  </w:tcBorders>
                  <w:tcMar>
                    <w:left w:w="28" w:type="dxa"/>
                    <w:right w:w="28" w:type="dxa"/>
                  </w:tcMar>
                  <w:vAlign w:val="center"/>
                </w:tcPr>
                <w:p w14:paraId="12B58C41">
                  <w:pPr>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rPr>
                    <w:t>《大气污染物综合排放标准》</w:t>
                  </w:r>
                  <w:r>
                    <w:rPr>
                      <w:rFonts w:hint="default" w:ascii="Times New Roman" w:hAnsi="Times New Roman" w:cs="Times New Roman"/>
                      <w:color w:val="auto"/>
                    </w:rPr>
                    <w:br w:type="textWrapping"/>
                  </w:r>
                  <w:r>
                    <w:rPr>
                      <w:rFonts w:hint="default" w:ascii="Times New Roman" w:hAnsi="Times New Roman" w:cs="Times New Roman"/>
                      <w:color w:val="auto"/>
                    </w:rPr>
                    <w:t>（GB16297-1996）表2</w:t>
                  </w:r>
                </w:p>
              </w:tc>
            </w:tr>
            <w:tr w14:paraId="279F87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949" w:type="pct"/>
                  <w:tcBorders>
                    <w:tl2br w:val="nil"/>
                    <w:tr2bl w:val="nil"/>
                  </w:tcBorders>
                  <w:tcMar>
                    <w:left w:w="108" w:type="dxa"/>
                    <w:right w:w="108" w:type="dxa"/>
                  </w:tcMar>
                  <w:vAlign w:val="center"/>
                </w:tcPr>
                <w:p w14:paraId="4364C5DC">
                  <w:pPr>
                    <w:pStyle w:val="2"/>
                    <w:widowControl/>
                    <w:spacing w:line="240" w:lineRule="exact"/>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HCl</w:t>
                  </w:r>
                </w:p>
              </w:tc>
              <w:tc>
                <w:tcPr>
                  <w:tcW w:w="1498" w:type="pct"/>
                  <w:tcBorders>
                    <w:tl2br w:val="nil"/>
                    <w:tr2bl w:val="nil"/>
                  </w:tcBorders>
                  <w:tcMar>
                    <w:left w:w="28" w:type="dxa"/>
                    <w:right w:w="28" w:type="dxa"/>
                  </w:tcMar>
                  <w:vAlign w:val="center"/>
                </w:tcPr>
                <w:p w14:paraId="529E7E74">
                  <w:pPr>
                    <w:pStyle w:val="2"/>
                    <w:widowControl/>
                    <w:spacing w:line="240" w:lineRule="exact"/>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周界外浓度最高点</w:t>
                  </w:r>
                </w:p>
              </w:tc>
              <w:tc>
                <w:tcPr>
                  <w:tcW w:w="782" w:type="pct"/>
                  <w:tcBorders>
                    <w:tl2br w:val="nil"/>
                    <w:tr2bl w:val="nil"/>
                  </w:tcBorders>
                  <w:tcMar>
                    <w:left w:w="28" w:type="dxa"/>
                    <w:right w:w="28" w:type="dxa"/>
                  </w:tcMar>
                  <w:vAlign w:val="center"/>
                </w:tcPr>
                <w:p w14:paraId="6821288F">
                  <w:pPr>
                    <w:pStyle w:val="2"/>
                    <w:widowControl/>
                    <w:spacing w:line="240" w:lineRule="exact"/>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0.2</w:t>
                  </w:r>
                </w:p>
              </w:tc>
              <w:tc>
                <w:tcPr>
                  <w:tcW w:w="1769" w:type="pct"/>
                  <w:vMerge w:val="continue"/>
                  <w:tcBorders>
                    <w:tl2br w:val="nil"/>
                    <w:tr2bl w:val="nil"/>
                  </w:tcBorders>
                  <w:tcMar>
                    <w:left w:w="28" w:type="dxa"/>
                    <w:right w:w="28" w:type="dxa"/>
                  </w:tcMar>
                  <w:vAlign w:val="center"/>
                </w:tcPr>
                <w:p w14:paraId="3624F757">
                  <w:pPr>
                    <w:pStyle w:val="2"/>
                    <w:widowControl/>
                    <w:spacing w:line="240" w:lineRule="exact"/>
                    <w:ind w:firstLine="0" w:firstLineChars="0"/>
                    <w:jc w:val="center"/>
                    <w:rPr>
                      <w:rFonts w:hint="default" w:ascii="Times New Roman" w:hAnsi="Times New Roman" w:cs="Times New Roman"/>
                      <w:color w:val="auto"/>
                      <w:szCs w:val="21"/>
                    </w:rPr>
                  </w:pPr>
                </w:p>
              </w:tc>
            </w:tr>
          </w:tbl>
          <w:p w14:paraId="21FE064F">
            <w:pPr>
              <w:pStyle w:val="5"/>
              <w:spacing w:before="189" w:after="189" w:afterLines="50" w:afterAutospacing="0" w:line="240" w:lineRule="auto"/>
              <w:rPr>
                <w:rFonts w:hint="default" w:ascii="Times New Roman" w:hAnsi="Times New Roman" w:cs="Times New Roman"/>
                <w:color w:val="auto"/>
              </w:rPr>
            </w:pPr>
            <w:r>
              <w:rPr>
                <w:rFonts w:hint="default" w:ascii="Times New Roman" w:hAnsi="Times New Roman" w:cs="Times New Roman"/>
                <w:color w:val="auto"/>
              </w:rPr>
              <w:t>3.3.2废水</w:t>
            </w:r>
          </w:p>
          <w:p w14:paraId="702ECBB0">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kern w:val="0"/>
                <w:sz w:val="24"/>
                <w:lang w:bidi="ar"/>
              </w:rPr>
            </w:pPr>
            <w:r>
              <w:rPr>
                <w:rFonts w:hint="default" w:ascii="Times New Roman" w:hAnsi="Times New Roman" w:cs="Times New Roman"/>
                <w:color w:val="FF0000"/>
                <w:sz w:val="24"/>
                <w:highlight w:val="none"/>
              </w:rPr>
              <w:t>根据“关于接纳企业污水的函”</w:t>
            </w:r>
            <w:r>
              <w:rPr>
                <w:rFonts w:hint="eastAsia" w:cs="Times New Roman"/>
                <w:color w:val="FF0000"/>
                <w:sz w:val="24"/>
                <w:highlight w:val="none"/>
                <w:lang w:eastAsia="zh-CN"/>
              </w:rPr>
              <w:t>（</w:t>
            </w:r>
            <w:r>
              <w:rPr>
                <w:rFonts w:hint="default" w:ascii="Times New Roman" w:hAnsi="Times New Roman" w:cs="Times New Roman"/>
                <w:color w:val="FF0000"/>
                <w:sz w:val="24"/>
                <w:highlight w:val="none"/>
                <w:lang w:val="en-US" w:eastAsia="zh-CN"/>
              </w:rPr>
              <w:t>附件十二</w:t>
            </w:r>
            <w:r>
              <w:rPr>
                <w:rFonts w:hint="eastAsia" w:cs="Times New Roman"/>
                <w:color w:val="FF0000"/>
                <w:sz w:val="24"/>
                <w:highlight w:val="none"/>
                <w:lang w:val="en-US" w:eastAsia="zh-CN"/>
              </w:rPr>
              <w:t>）</w:t>
            </w:r>
            <w:r>
              <w:rPr>
                <w:rFonts w:hint="default" w:ascii="Times New Roman" w:hAnsi="Times New Roman" w:cs="Times New Roman"/>
                <w:color w:val="FF0000"/>
                <w:sz w:val="24"/>
                <w:highlight w:val="none"/>
              </w:rPr>
              <w:t>，</w:t>
            </w:r>
            <w:r>
              <w:rPr>
                <w:rFonts w:hint="default" w:ascii="Times New Roman" w:hAnsi="Times New Roman" w:cs="Times New Roman"/>
                <w:color w:val="auto"/>
                <w:sz w:val="24"/>
                <w:highlight w:val="none"/>
              </w:rPr>
              <w:t>本项目生产废水需处理达</w:t>
            </w:r>
            <w:r>
              <w:rPr>
                <w:rFonts w:hint="default" w:ascii="Times New Roman" w:hAnsi="Times New Roman" w:cs="Times New Roman"/>
                <w:color w:val="auto"/>
                <w:kern w:val="0"/>
                <w:sz w:val="24"/>
                <w:lang w:bidi="ar"/>
              </w:rPr>
              <w:t>《污水综合排放标准》（GB8978-1996）中的三级排放标准，</w:t>
            </w:r>
            <w:r>
              <w:rPr>
                <w:rFonts w:hint="default" w:ascii="Times New Roman" w:hAnsi="Times New Roman" w:cs="Times New Roman"/>
                <w:snapToGrid w:val="0"/>
                <w:color w:val="auto"/>
                <w:kern w:val="18"/>
                <w:sz w:val="24"/>
              </w:rPr>
              <w:t>以及金古北片区污水处理厂进厂（接管）污水水质要求，</w:t>
            </w:r>
            <w:r>
              <w:rPr>
                <w:rFonts w:hint="default" w:ascii="Times New Roman" w:hAnsi="Times New Roman" w:cs="Times New Roman"/>
                <w:color w:val="auto"/>
                <w:kern w:val="0"/>
                <w:sz w:val="24"/>
                <w:lang w:bidi="ar"/>
              </w:rPr>
              <w:t>其中氨氮执行《污水排入城镇下水道水质标准》（GB/T 31962-2015）</w:t>
            </w:r>
            <w:r>
              <w:rPr>
                <w:rFonts w:hint="default" w:ascii="Times New Roman" w:hAnsi="Times New Roman" w:cs="Times New Roman"/>
                <w:snapToGrid w:val="0"/>
                <w:color w:val="auto"/>
                <w:kern w:val="18"/>
                <w:sz w:val="24"/>
              </w:rPr>
              <w:t>表1中B等级标</w:t>
            </w:r>
            <w:r>
              <w:rPr>
                <w:rFonts w:hint="default" w:ascii="Times New Roman" w:hAnsi="Times New Roman" w:cs="Times New Roman"/>
                <w:color w:val="auto"/>
                <w:kern w:val="0"/>
                <w:sz w:val="24"/>
                <w:lang w:bidi="ar"/>
              </w:rPr>
              <w:t>准。</w:t>
            </w:r>
          </w:p>
          <w:p w14:paraId="611A56BE">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rPr>
            </w:pPr>
            <w:r>
              <w:rPr>
                <w:rFonts w:hint="default" w:ascii="Times New Roman" w:hAnsi="Times New Roman" w:cs="Times New Roman"/>
                <w:color w:val="auto"/>
                <w:kern w:val="0"/>
                <w:sz w:val="24"/>
                <w:lang w:bidi="ar"/>
              </w:rPr>
              <w:t>本项目拟采用锌磷化液，涉及污染物为锌，</w:t>
            </w:r>
            <w:r>
              <w:rPr>
                <w:rFonts w:hint="default" w:ascii="Times New Roman" w:hAnsi="Times New Roman" w:cs="Times New Roman"/>
                <w:color w:val="auto"/>
                <w:kern w:val="0"/>
                <w:sz w:val="24"/>
                <w:lang w:val="en-US" w:eastAsia="zh-CN" w:bidi="ar"/>
              </w:rPr>
              <w:t>锌执行</w:t>
            </w:r>
            <w:r>
              <w:rPr>
                <w:rFonts w:hint="default" w:ascii="Times New Roman" w:hAnsi="Times New Roman" w:cs="Times New Roman"/>
                <w:color w:val="auto"/>
                <w:kern w:val="0"/>
                <w:sz w:val="24"/>
                <w:lang w:bidi="ar"/>
              </w:rPr>
              <w:t>《城镇污水处理厂污染物排放标准》（GB18918-2002）表3“总锌”标准限值。</w:t>
            </w:r>
            <w:r>
              <w:rPr>
                <w:rFonts w:hint="default" w:ascii="Times New Roman" w:hAnsi="Times New Roman" w:cs="Times New Roman"/>
                <w:color w:val="auto"/>
                <w:sz w:val="24"/>
              </w:rPr>
              <w:t>本项目水污染物排放标准详见下表。</w:t>
            </w:r>
          </w:p>
          <w:p w14:paraId="6FD481BA">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lang w:val="en-US" w:eastAsia="zh-CN"/>
              </w:rPr>
            </w:pPr>
            <w:r>
              <w:rPr>
                <w:rFonts w:hint="default" w:ascii="Times New Roman" w:hAnsi="Times New Roman" w:eastAsia="黑体" w:cs="Times New Roman"/>
                <w:b w:val="0"/>
                <w:bCs/>
                <w:color w:val="auto"/>
                <w:lang w:val="en-US" w:eastAsia="zh-CN"/>
              </w:rPr>
              <w:t>表3.3-3</w:t>
            </w:r>
            <w:r>
              <w:rPr>
                <w:rFonts w:hint="eastAsia" w:eastAsia="黑体" w:cs="Times New Roman"/>
                <w:b w:val="0"/>
                <w:bCs/>
                <w:color w:val="auto"/>
                <w:lang w:val="en-US" w:eastAsia="zh-CN"/>
              </w:rPr>
              <w:t xml:space="preserve">  </w:t>
            </w:r>
            <w:r>
              <w:rPr>
                <w:rFonts w:hint="default" w:ascii="Times New Roman" w:hAnsi="Times New Roman" w:eastAsia="黑体" w:cs="Times New Roman"/>
                <w:b w:val="0"/>
                <w:bCs/>
                <w:color w:val="auto"/>
                <w:lang w:val="en-US" w:eastAsia="zh-CN"/>
              </w:rPr>
              <w:t>生产废水水污染物排放标准（摘录）</w:t>
            </w:r>
          </w:p>
          <w:tbl>
            <w:tblPr>
              <w:tblStyle w:val="34"/>
              <w:tblW w:w="86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8"/>
              <w:gridCol w:w="2152"/>
              <w:gridCol w:w="788"/>
              <w:gridCol w:w="1146"/>
              <w:gridCol w:w="972"/>
              <w:gridCol w:w="3021"/>
            </w:tblGrid>
            <w:tr w14:paraId="71BD7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8" w:type="dxa"/>
                  <w:vAlign w:val="center"/>
                </w:tcPr>
                <w:p w14:paraId="1B3BDDAA">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b w:val="0"/>
                      <w:bCs/>
                      <w:color w:val="auto"/>
                    </w:rPr>
                  </w:pPr>
                  <w:r>
                    <w:rPr>
                      <w:rFonts w:hint="default" w:ascii="Times New Roman" w:hAnsi="Times New Roman" w:cs="Times New Roman"/>
                      <w:b w:val="0"/>
                      <w:bCs/>
                      <w:color w:val="auto"/>
                    </w:rPr>
                    <w:t>序 号</w:t>
                  </w:r>
                </w:p>
              </w:tc>
              <w:tc>
                <w:tcPr>
                  <w:tcW w:w="2152" w:type="dxa"/>
                  <w:vAlign w:val="center"/>
                </w:tcPr>
                <w:p w14:paraId="37A0D92C">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b w:val="0"/>
                      <w:bCs/>
                      <w:color w:val="auto"/>
                    </w:rPr>
                  </w:pPr>
                  <w:r>
                    <w:rPr>
                      <w:rFonts w:hint="default" w:ascii="Times New Roman" w:hAnsi="Times New Roman" w:cs="Times New Roman"/>
                      <w:b w:val="0"/>
                      <w:bCs/>
                      <w:color w:val="auto"/>
                    </w:rPr>
                    <w:t>污染物名称</w:t>
                  </w:r>
                </w:p>
              </w:tc>
              <w:tc>
                <w:tcPr>
                  <w:tcW w:w="0" w:type="auto"/>
                  <w:vAlign w:val="center"/>
                </w:tcPr>
                <w:p w14:paraId="6C3173C1">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b w:val="0"/>
                      <w:bCs/>
                      <w:color w:val="auto"/>
                    </w:rPr>
                  </w:pPr>
                  <w:r>
                    <w:rPr>
                      <w:rFonts w:hint="default" w:ascii="Times New Roman" w:hAnsi="Times New Roman" w:cs="Times New Roman"/>
                      <w:b w:val="0"/>
                      <w:bCs/>
                      <w:color w:val="auto"/>
                    </w:rPr>
                    <w:t>标准限值</w:t>
                  </w:r>
                </w:p>
              </w:tc>
              <w:tc>
                <w:tcPr>
                  <w:tcW w:w="1146" w:type="dxa"/>
                  <w:vAlign w:val="center"/>
                </w:tcPr>
                <w:p w14:paraId="4DF06035">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b w:val="0"/>
                      <w:bCs/>
                      <w:color w:val="auto"/>
                    </w:rPr>
                  </w:pPr>
                  <w:r>
                    <w:rPr>
                      <w:rFonts w:hint="default" w:ascii="Times New Roman" w:hAnsi="Times New Roman" w:cs="Times New Roman"/>
                      <w:b w:val="0"/>
                      <w:bCs/>
                      <w:color w:val="auto"/>
                    </w:rPr>
                    <w:t>单 位</w:t>
                  </w:r>
                </w:p>
              </w:tc>
              <w:tc>
                <w:tcPr>
                  <w:tcW w:w="972" w:type="dxa"/>
                  <w:vAlign w:val="center"/>
                </w:tcPr>
                <w:p w14:paraId="39A9D909">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b w:val="0"/>
                      <w:bCs/>
                      <w:color w:val="auto"/>
                    </w:rPr>
                  </w:pPr>
                  <w:r>
                    <w:rPr>
                      <w:rFonts w:hint="default" w:ascii="Times New Roman" w:hAnsi="Times New Roman" w:cs="Times New Roman"/>
                      <w:b w:val="0"/>
                      <w:bCs/>
                      <w:color w:val="auto"/>
                    </w:rPr>
                    <w:t>污染物排放监控位置</w:t>
                  </w:r>
                </w:p>
              </w:tc>
              <w:tc>
                <w:tcPr>
                  <w:tcW w:w="3021" w:type="dxa"/>
                  <w:vAlign w:val="center"/>
                </w:tcPr>
                <w:p w14:paraId="7EFF4AA0">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b w:val="0"/>
                      <w:bCs/>
                      <w:color w:val="auto"/>
                    </w:rPr>
                  </w:pPr>
                  <w:r>
                    <w:rPr>
                      <w:rFonts w:hint="default" w:ascii="Times New Roman" w:hAnsi="Times New Roman" w:cs="Times New Roman"/>
                      <w:b w:val="0"/>
                      <w:bCs/>
                      <w:color w:val="auto"/>
                    </w:rPr>
                    <w:t>标准来源</w:t>
                  </w:r>
                </w:p>
              </w:tc>
            </w:tr>
            <w:tr w14:paraId="31EB1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8" w:type="dxa"/>
                  <w:vAlign w:val="center"/>
                </w:tcPr>
                <w:p w14:paraId="2AAD5802">
                  <w:pPr>
                    <w:bidi w:val="0"/>
                    <w:jc w:val="center"/>
                    <w:rPr>
                      <w:rFonts w:hint="eastAsia" w:eastAsia="宋体"/>
                      <w:color w:val="auto"/>
                      <w:lang w:val="en-US" w:eastAsia="zh-CN"/>
                    </w:rPr>
                  </w:pPr>
                  <w:r>
                    <w:rPr>
                      <w:rFonts w:hint="eastAsia"/>
                      <w:color w:val="auto"/>
                      <w:lang w:val="en-US" w:eastAsia="zh-CN"/>
                    </w:rPr>
                    <w:t>1</w:t>
                  </w:r>
                </w:p>
              </w:tc>
              <w:tc>
                <w:tcPr>
                  <w:tcW w:w="2152" w:type="dxa"/>
                  <w:vAlign w:val="center"/>
                </w:tcPr>
                <w:p w14:paraId="3AADDC06">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pH</w:t>
                  </w:r>
                </w:p>
              </w:tc>
              <w:tc>
                <w:tcPr>
                  <w:tcW w:w="0" w:type="auto"/>
                  <w:vAlign w:val="center"/>
                </w:tcPr>
                <w:p w14:paraId="212957EA">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6～9</w:t>
                  </w:r>
                </w:p>
              </w:tc>
              <w:tc>
                <w:tcPr>
                  <w:tcW w:w="1146" w:type="dxa"/>
                  <w:vAlign w:val="center"/>
                </w:tcPr>
                <w:p w14:paraId="0C1EC672">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无量纲</w:t>
                  </w:r>
                </w:p>
              </w:tc>
              <w:tc>
                <w:tcPr>
                  <w:tcW w:w="972" w:type="dxa"/>
                  <w:vMerge w:val="restart"/>
                  <w:vAlign w:val="center"/>
                </w:tcPr>
                <w:p w14:paraId="2AE2CBDB">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企业废水总排放口</w:t>
                  </w:r>
                </w:p>
              </w:tc>
              <w:tc>
                <w:tcPr>
                  <w:tcW w:w="3021" w:type="dxa"/>
                  <w:vMerge w:val="restart"/>
                  <w:vAlign w:val="center"/>
                </w:tcPr>
                <w:p w14:paraId="48213BB9">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lang w:bidi="ar"/>
                    </w:rPr>
                    <w:t>《污水综合排放标准》（GB8978-1996）</w:t>
                  </w:r>
                  <w:r>
                    <w:rPr>
                      <w:rFonts w:hint="default" w:ascii="Times New Roman" w:hAnsi="Times New Roman" w:cs="Times New Roman"/>
                      <w:color w:val="auto"/>
                    </w:rPr>
                    <w:t>表4</w:t>
                  </w:r>
                </w:p>
                <w:p w14:paraId="56822DF7">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三级标准</w:t>
                  </w:r>
                </w:p>
              </w:tc>
            </w:tr>
            <w:tr w14:paraId="7673F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8" w:type="dxa"/>
                  <w:vAlign w:val="center"/>
                </w:tcPr>
                <w:p w14:paraId="683EDBFE">
                  <w:pPr>
                    <w:bidi w:val="0"/>
                    <w:jc w:val="center"/>
                    <w:rPr>
                      <w:rFonts w:hint="eastAsia" w:eastAsia="宋体"/>
                      <w:color w:val="auto"/>
                      <w:lang w:val="en-US" w:eastAsia="zh-CN"/>
                    </w:rPr>
                  </w:pPr>
                  <w:r>
                    <w:rPr>
                      <w:rFonts w:hint="eastAsia"/>
                      <w:color w:val="auto"/>
                      <w:lang w:val="en-US" w:eastAsia="zh-CN"/>
                    </w:rPr>
                    <w:t>2</w:t>
                  </w:r>
                </w:p>
              </w:tc>
              <w:tc>
                <w:tcPr>
                  <w:tcW w:w="2152" w:type="dxa"/>
                  <w:vAlign w:val="center"/>
                </w:tcPr>
                <w:p w14:paraId="6FD81370">
                  <w:pPr>
                    <w:pStyle w:val="138"/>
                    <w:keepNext w:val="0"/>
                    <w:keepLines w:val="0"/>
                    <w:pageBreakBefore w:val="0"/>
                    <w:widowControl w:val="0"/>
                    <w:kinsoku/>
                    <w:wordWrap/>
                    <w:overflowPunct/>
                    <w:topLinePunct w:val="0"/>
                    <w:autoSpaceDE/>
                    <w:autoSpaceDN/>
                    <w:bidi w:val="0"/>
                    <w:adjustRightInd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化学需氧量（CODcr）</w:t>
                  </w:r>
                </w:p>
              </w:tc>
              <w:tc>
                <w:tcPr>
                  <w:tcW w:w="0" w:type="auto"/>
                  <w:vAlign w:val="center"/>
                </w:tcPr>
                <w:p w14:paraId="7EBE64BD">
                  <w:pPr>
                    <w:pStyle w:val="138"/>
                    <w:keepNext w:val="0"/>
                    <w:keepLines w:val="0"/>
                    <w:pageBreakBefore w:val="0"/>
                    <w:widowControl w:val="0"/>
                    <w:kinsoku/>
                    <w:wordWrap/>
                    <w:overflowPunct/>
                    <w:topLinePunct w:val="0"/>
                    <w:autoSpaceDE/>
                    <w:autoSpaceDN/>
                    <w:bidi w:val="0"/>
                    <w:adjustRightInd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≤500</w:t>
                  </w:r>
                </w:p>
              </w:tc>
              <w:tc>
                <w:tcPr>
                  <w:tcW w:w="1146" w:type="dxa"/>
                  <w:vAlign w:val="center"/>
                </w:tcPr>
                <w:p w14:paraId="338FD2B2">
                  <w:pPr>
                    <w:pStyle w:val="138"/>
                    <w:keepNext w:val="0"/>
                    <w:keepLines w:val="0"/>
                    <w:pageBreakBefore w:val="0"/>
                    <w:widowControl w:val="0"/>
                    <w:kinsoku/>
                    <w:wordWrap/>
                    <w:overflowPunct/>
                    <w:topLinePunct w:val="0"/>
                    <w:autoSpaceDE/>
                    <w:autoSpaceDN/>
                    <w:bidi w:val="0"/>
                    <w:adjustRightInd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mg/L</w:t>
                  </w:r>
                </w:p>
              </w:tc>
              <w:tc>
                <w:tcPr>
                  <w:tcW w:w="972" w:type="dxa"/>
                  <w:vMerge w:val="continue"/>
                  <w:vAlign w:val="center"/>
                </w:tcPr>
                <w:p w14:paraId="4B601E48">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p>
              </w:tc>
              <w:tc>
                <w:tcPr>
                  <w:tcW w:w="3021" w:type="dxa"/>
                  <w:vMerge w:val="continue"/>
                  <w:vAlign w:val="center"/>
                </w:tcPr>
                <w:p w14:paraId="671D1332">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p>
              </w:tc>
            </w:tr>
            <w:tr w14:paraId="1788E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8" w:type="dxa"/>
                  <w:vAlign w:val="center"/>
                </w:tcPr>
                <w:p w14:paraId="13B61725">
                  <w:pPr>
                    <w:bidi w:val="0"/>
                    <w:jc w:val="center"/>
                    <w:rPr>
                      <w:rFonts w:hint="eastAsia" w:eastAsia="宋体"/>
                      <w:color w:val="auto"/>
                      <w:lang w:val="en-US" w:eastAsia="zh-CN"/>
                    </w:rPr>
                  </w:pPr>
                  <w:r>
                    <w:rPr>
                      <w:rFonts w:hint="eastAsia"/>
                      <w:color w:val="auto"/>
                      <w:lang w:val="en-US" w:eastAsia="zh-CN"/>
                    </w:rPr>
                    <w:t>3</w:t>
                  </w:r>
                </w:p>
              </w:tc>
              <w:tc>
                <w:tcPr>
                  <w:tcW w:w="2152" w:type="dxa"/>
                  <w:vAlign w:val="center"/>
                </w:tcPr>
                <w:p w14:paraId="4305062F">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悬浮物（SS）</w:t>
                  </w:r>
                </w:p>
              </w:tc>
              <w:tc>
                <w:tcPr>
                  <w:tcW w:w="0" w:type="auto"/>
                  <w:vAlign w:val="center"/>
                </w:tcPr>
                <w:p w14:paraId="510BF189">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kern w:val="0"/>
                    </w:rPr>
                    <w:t>≤40</w:t>
                  </w:r>
                  <w:r>
                    <w:rPr>
                      <w:rFonts w:hint="default" w:ascii="Times New Roman" w:hAnsi="Times New Roman" w:cs="Times New Roman"/>
                      <w:color w:val="auto"/>
                    </w:rPr>
                    <w:t>0</w:t>
                  </w:r>
                </w:p>
              </w:tc>
              <w:tc>
                <w:tcPr>
                  <w:tcW w:w="1146" w:type="dxa"/>
                  <w:vAlign w:val="center"/>
                </w:tcPr>
                <w:p w14:paraId="2B4649A6">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mg/L</w:t>
                  </w:r>
                </w:p>
              </w:tc>
              <w:tc>
                <w:tcPr>
                  <w:tcW w:w="972" w:type="dxa"/>
                  <w:vMerge w:val="continue"/>
                  <w:vAlign w:val="center"/>
                </w:tcPr>
                <w:p w14:paraId="2B6C1DA1">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p>
              </w:tc>
              <w:tc>
                <w:tcPr>
                  <w:tcW w:w="3021" w:type="dxa"/>
                  <w:vMerge w:val="continue"/>
                  <w:vAlign w:val="center"/>
                </w:tcPr>
                <w:p w14:paraId="2388C4EB">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p>
              </w:tc>
            </w:tr>
            <w:tr w14:paraId="0746C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8" w:type="dxa"/>
                  <w:vAlign w:val="center"/>
                </w:tcPr>
                <w:p w14:paraId="1F100FA6">
                  <w:pPr>
                    <w:bidi w:val="0"/>
                    <w:jc w:val="center"/>
                    <w:rPr>
                      <w:rFonts w:hint="eastAsia" w:eastAsia="宋体"/>
                      <w:color w:val="auto"/>
                      <w:lang w:val="en-US" w:eastAsia="zh-CN"/>
                    </w:rPr>
                  </w:pPr>
                  <w:r>
                    <w:rPr>
                      <w:rFonts w:hint="eastAsia"/>
                      <w:color w:val="auto"/>
                      <w:lang w:val="en-US" w:eastAsia="zh-CN"/>
                    </w:rPr>
                    <w:t>4</w:t>
                  </w:r>
                </w:p>
              </w:tc>
              <w:tc>
                <w:tcPr>
                  <w:tcW w:w="2152" w:type="dxa"/>
                  <w:vAlign w:val="center"/>
                </w:tcPr>
                <w:p w14:paraId="30F0D083">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石油类</w:t>
                  </w:r>
                </w:p>
              </w:tc>
              <w:tc>
                <w:tcPr>
                  <w:tcW w:w="0" w:type="auto"/>
                  <w:vAlign w:val="center"/>
                </w:tcPr>
                <w:p w14:paraId="3C00E04C">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kern w:val="0"/>
                    </w:rPr>
                    <w:t>≤</w:t>
                  </w:r>
                  <w:r>
                    <w:rPr>
                      <w:rFonts w:hint="default" w:ascii="Times New Roman" w:hAnsi="Times New Roman" w:cs="Times New Roman"/>
                      <w:color w:val="auto"/>
                      <w:kern w:val="0"/>
                      <w:lang w:val="en-US" w:eastAsia="zh-CN"/>
                    </w:rPr>
                    <w:t>2</w:t>
                  </w:r>
                  <w:r>
                    <w:rPr>
                      <w:rFonts w:hint="default" w:ascii="Times New Roman" w:hAnsi="Times New Roman" w:cs="Times New Roman"/>
                      <w:color w:val="auto"/>
                      <w:kern w:val="0"/>
                    </w:rPr>
                    <w:t>0</w:t>
                  </w:r>
                </w:p>
              </w:tc>
              <w:tc>
                <w:tcPr>
                  <w:tcW w:w="1146" w:type="dxa"/>
                  <w:vAlign w:val="center"/>
                </w:tcPr>
                <w:p w14:paraId="3DADC378">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mg/L</w:t>
                  </w:r>
                </w:p>
              </w:tc>
              <w:tc>
                <w:tcPr>
                  <w:tcW w:w="972" w:type="dxa"/>
                  <w:vMerge w:val="continue"/>
                  <w:vAlign w:val="center"/>
                </w:tcPr>
                <w:p w14:paraId="477361AC">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p>
              </w:tc>
              <w:tc>
                <w:tcPr>
                  <w:tcW w:w="3021" w:type="dxa"/>
                  <w:vMerge w:val="continue"/>
                  <w:vAlign w:val="center"/>
                </w:tcPr>
                <w:p w14:paraId="678720CC">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p>
              </w:tc>
            </w:tr>
            <w:tr w14:paraId="7F5CF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8" w:type="dxa"/>
                  <w:vAlign w:val="center"/>
                </w:tcPr>
                <w:p w14:paraId="7B0464C5">
                  <w:pPr>
                    <w:bidi w:val="0"/>
                    <w:jc w:val="center"/>
                    <w:rPr>
                      <w:rFonts w:hint="eastAsia" w:eastAsia="宋体"/>
                      <w:color w:val="auto"/>
                      <w:lang w:val="en-US" w:eastAsia="zh-CN"/>
                    </w:rPr>
                  </w:pPr>
                  <w:r>
                    <w:rPr>
                      <w:rFonts w:hint="eastAsia"/>
                      <w:color w:val="auto"/>
                      <w:lang w:val="en-US" w:eastAsia="zh-CN"/>
                    </w:rPr>
                    <w:t>5</w:t>
                  </w:r>
                </w:p>
              </w:tc>
              <w:tc>
                <w:tcPr>
                  <w:tcW w:w="2152" w:type="dxa"/>
                  <w:vAlign w:val="center"/>
                </w:tcPr>
                <w:p w14:paraId="7F1F732E">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阴离子表面活性剂</w:t>
                  </w:r>
                </w:p>
              </w:tc>
              <w:tc>
                <w:tcPr>
                  <w:tcW w:w="0" w:type="auto"/>
                  <w:vAlign w:val="center"/>
                </w:tcPr>
                <w:p w14:paraId="7E65D360">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2</w:t>
                  </w:r>
                  <w:r>
                    <w:rPr>
                      <w:rFonts w:hint="default" w:ascii="Times New Roman" w:hAnsi="Times New Roman" w:cs="Times New Roman"/>
                      <w:color w:val="auto"/>
                    </w:rPr>
                    <w:t>0</w:t>
                  </w:r>
                </w:p>
              </w:tc>
              <w:tc>
                <w:tcPr>
                  <w:tcW w:w="1146" w:type="dxa"/>
                  <w:vAlign w:val="center"/>
                </w:tcPr>
                <w:p w14:paraId="133C0750">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mg/L</w:t>
                  </w:r>
                </w:p>
              </w:tc>
              <w:tc>
                <w:tcPr>
                  <w:tcW w:w="972" w:type="dxa"/>
                  <w:vMerge w:val="continue"/>
                  <w:vAlign w:val="center"/>
                </w:tcPr>
                <w:p w14:paraId="4000FF7F">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p>
              </w:tc>
              <w:tc>
                <w:tcPr>
                  <w:tcW w:w="3021" w:type="dxa"/>
                  <w:vMerge w:val="continue"/>
                  <w:vAlign w:val="center"/>
                </w:tcPr>
                <w:p w14:paraId="4309A0C3">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p>
              </w:tc>
            </w:tr>
            <w:tr w14:paraId="59708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8" w:type="dxa"/>
                  <w:vAlign w:val="center"/>
                </w:tcPr>
                <w:p w14:paraId="307CBCDB">
                  <w:pPr>
                    <w:bidi w:val="0"/>
                    <w:jc w:val="center"/>
                    <w:rPr>
                      <w:rFonts w:hint="eastAsia" w:eastAsia="宋体"/>
                      <w:color w:val="auto"/>
                      <w:lang w:val="en-US" w:eastAsia="zh-CN"/>
                    </w:rPr>
                  </w:pPr>
                  <w:r>
                    <w:rPr>
                      <w:rFonts w:hint="eastAsia"/>
                      <w:color w:val="auto"/>
                      <w:lang w:val="en-US" w:eastAsia="zh-CN"/>
                    </w:rPr>
                    <w:t>6</w:t>
                  </w:r>
                </w:p>
              </w:tc>
              <w:tc>
                <w:tcPr>
                  <w:tcW w:w="2152" w:type="dxa"/>
                  <w:vAlign w:val="center"/>
                </w:tcPr>
                <w:p w14:paraId="77EBB573">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总铁</w:t>
                  </w:r>
                </w:p>
              </w:tc>
              <w:tc>
                <w:tcPr>
                  <w:tcW w:w="788" w:type="dxa"/>
                  <w:shd w:val="clear" w:color="auto" w:fill="auto"/>
                  <w:vAlign w:val="center"/>
                </w:tcPr>
                <w:p w14:paraId="1D9A35FE">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≤10</w:t>
                  </w:r>
                </w:p>
              </w:tc>
              <w:tc>
                <w:tcPr>
                  <w:tcW w:w="1146" w:type="dxa"/>
                  <w:shd w:val="clear" w:color="auto" w:fill="auto"/>
                  <w:vAlign w:val="center"/>
                </w:tcPr>
                <w:p w14:paraId="0E857F7A">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mg/L</w:t>
                  </w:r>
                </w:p>
              </w:tc>
              <w:tc>
                <w:tcPr>
                  <w:tcW w:w="972" w:type="dxa"/>
                  <w:vMerge w:val="continue"/>
                  <w:vAlign w:val="center"/>
                </w:tcPr>
                <w:p w14:paraId="3775987C">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p>
              </w:tc>
              <w:tc>
                <w:tcPr>
                  <w:tcW w:w="3021" w:type="dxa"/>
                  <w:vMerge w:val="restart"/>
                  <w:vAlign w:val="center"/>
                </w:tcPr>
                <w:p w14:paraId="1A19405D">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snapToGrid w:val="0"/>
                      <w:color w:val="auto"/>
                      <w:kern w:val="18"/>
                      <w:highlight w:val="none"/>
                    </w:rPr>
                    <w:t>《污水排入城镇下水道水质标准》（GB/T 31962-2015）表1中B等级标准</w:t>
                  </w:r>
                </w:p>
              </w:tc>
            </w:tr>
            <w:tr w14:paraId="5F5A9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8" w:type="dxa"/>
                  <w:vAlign w:val="center"/>
                </w:tcPr>
                <w:p w14:paraId="113AE09C">
                  <w:pPr>
                    <w:bidi w:val="0"/>
                    <w:jc w:val="center"/>
                    <w:rPr>
                      <w:rFonts w:hint="eastAsia" w:eastAsia="宋体"/>
                      <w:color w:val="auto"/>
                      <w:lang w:val="en-US" w:eastAsia="zh-CN"/>
                    </w:rPr>
                  </w:pPr>
                  <w:r>
                    <w:rPr>
                      <w:rFonts w:hint="eastAsia"/>
                      <w:color w:val="auto"/>
                      <w:lang w:val="en-US" w:eastAsia="zh-CN"/>
                    </w:rPr>
                    <w:t>7</w:t>
                  </w:r>
                </w:p>
              </w:tc>
              <w:tc>
                <w:tcPr>
                  <w:tcW w:w="2152" w:type="dxa"/>
                  <w:vAlign w:val="center"/>
                </w:tcPr>
                <w:p w14:paraId="323E1B8B">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氯化物</w:t>
                  </w:r>
                </w:p>
              </w:tc>
              <w:tc>
                <w:tcPr>
                  <w:tcW w:w="788" w:type="dxa"/>
                  <w:vAlign w:val="center"/>
                </w:tcPr>
                <w:p w14:paraId="58399035">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8</w:t>
                  </w:r>
                  <w:r>
                    <w:rPr>
                      <w:rFonts w:hint="default" w:ascii="Times New Roman" w:hAnsi="Times New Roman" w:cs="Times New Roman"/>
                      <w:color w:val="auto"/>
                    </w:rPr>
                    <w:t>00</w:t>
                  </w:r>
                </w:p>
              </w:tc>
              <w:tc>
                <w:tcPr>
                  <w:tcW w:w="1146" w:type="dxa"/>
                  <w:vAlign w:val="center"/>
                </w:tcPr>
                <w:p w14:paraId="48BE18A1">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mg/L</w:t>
                  </w:r>
                </w:p>
              </w:tc>
              <w:tc>
                <w:tcPr>
                  <w:tcW w:w="972" w:type="dxa"/>
                  <w:vMerge w:val="continue"/>
                  <w:vAlign w:val="center"/>
                </w:tcPr>
                <w:p w14:paraId="15E084CA">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p>
              </w:tc>
              <w:tc>
                <w:tcPr>
                  <w:tcW w:w="3021" w:type="dxa"/>
                  <w:vMerge w:val="continue"/>
                  <w:vAlign w:val="center"/>
                </w:tcPr>
                <w:p w14:paraId="48F9C70D">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p>
              </w:tc>
            </w:tr>
            <w:tr w14:paraId="3E74B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8" w:type="dxa"/>
                  <w:vAlign w:val="center"/>
                </w:tcPr>
                <w:p w14:paraId="12A7A833">
                  <w:pPr>
                    <w:bidi w:val="0"/>
                    <w:jc w:val="center"/>
                    <w:rPr>
                      <w:rFonts w:hint="eastAsia" w:eastAsia="宋体"/>
                      <w:color w:val="auto"/>
                      <w:lang w:val="en-US" w:eastAsia="zh-CN"/>
                    </w:rPr>
                  </w:pPr>
                  <w:r>
                    <w:rPr>
                      <w:rFonts w:hint="eastAsia"/>
                      <w:color w:val="auto"/>
                      <w:lang w:val="en-US" w:eastAsia="zh-CN"/>
                    </w:rPr>
                    <w:t>8</w:t>
                  </w:r>
                </w:p>
              </w:tc>
              <w:tc>
                <w:tcPr>
                  <w:tcW w:w="2152" w:type="dxa"/>
                  <w:vAlign w:val="center"/>
                </w:tcPr>
                <w:p w14:paraId="34B0FC3B">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总锌</w:t>
                  </w:r>
                </w:p>
              </w:tc>
              <w:tc>
                <w:tcPr>
                  <w:tcW w:w="788" w:type="dxa"/>
                  <w:vAlign w:val="center"/>
                </w:tcPr>
                <w:p w14:paraId="106EEEE7">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≤1.0</w:t>
                  </w:r>
                </w:p>
              </w:tc>
              <w:tc>
                <w:tcPr>
                  <w:tcW w:w="1146" w:type="dxa"/>
                  <w:vAlign w:val="center"/>
                </w:tcPr>
                <w:p w14:paraId="3583D684">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mg/L</w:t>
                  </w:r>
                </w:p>
              </w:tc>
              <w:tc>
                <w:tcPr>
                  <w:tcW w:w="972" w:type="dxa"/>
                  <w:vMerge w:val="continue"/>
                  <w:vAlign w:val="center"/>
                </w:tcPr>
                <w:p w14:paraId="20767089">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p>
              </w:tc>
              <w:tc>
                <w:tcPr>
                  <w:tcW w:w="3021" w:type="dxa"/>
                  <w:vAlign w:val="center"/>
                </w:tcPr>
                <w:p w14:paraId="4A2ED245">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《城镇污水处理厂污染物排放标准》（GB18918-2002）表3</w:t>
                  </w:r>
                </w:p>
              </w:tc>
            </w:tr>
            <w:tr w14:paraId="00602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8" w:type="dxa"/>
                  <w:vAlign w:val="center"/>
                </w:tcPr>
                <w:p w14:paraId="4545543C">
                  <w:pPr>
                    <w:bidi w:val="0"/>
                    <w:jc w:val="center"/>
                    <w:rPr>
                      <w:rFonts w:hint="eastAsia" w:eastAsia="宋体"/>
                      <w:color w:val="auto"/>
                      <w:lang w:val="en-US" w:eastAsia="zh-CN"/>
                    </w:rPr>
                  </w:pPr>
                  <w:r>
                    <w:rPr>
                      <w:rFonts w:hint="eastAsia"/>
                      <w:color w:val="auto"/>
                      <w:lang w:val="en-US" w:eastAsia="zh-CN"/>
                    </w:rPr>
                    <w:t>9</w:t>
                  </w:r>
                </w:p>
              </w:tc>
              <w:tc>
                <w:tcPr>
                  <w:tcW w:w="2152" w:type="dxa"/>
                  <w:vAlign w:val="center"/>
                </w:tcPr>
                <w:p w14:paraId="052AD513">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总氮（TN）</w:t>
                  </w:r>
                </w:p>
              </w:tc>
              <w:tc>
                <w:tcPr>
                  <w:tcW w:w="788" w:type="dxa"/>
                  <w:vAlign w:val="center"/>
                </w:tcPr>
                <w:p w14:paraId="1879B8B9">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≤50</w:t>
                  </w:r>
                </w:p>
              </w:tc>
              <w:tc>
                <w:tcPr>
                  <w:tcW w:w="1146" w:type="dxa"/>
                  <w:vAlign w:val="center"/>
                </w:tcPr>
                <w:p w14:paraId="31D21618">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mg/L</w:t>
                  </w:r>
                </w:p>
              </w:tc>
              <w:tc>
                <w:tcPr>
                  <w:tcW w:w="972" w:type="dxa"/>
                  <w:vMerge w:val="continue"/>
                  <w:vAlign w:val="center"/>
                </w:tcPr>
                <w:p w14:paraId="643A79BB">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p>
              </w:tc>
              <w:tc>
                <w:tcPr>
                  <w:tcW w:w="3021" w:type="dxa"/>
                  <w:vMerge w:val="restart"/>
                  <w:vAlign w:val="center"/>
                </w:tcPr>
                <w:p w14:paraId="256C1026">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snapToGrid w:val="0"/>
                      <w:color w:val="auto"/>
                      <w:kern w:val="18"/>
                    </w:rPr>
                    <w:t>金古北片区污水处理厂进厂（接管）污水水质要求</w:t>
                  </w:r>
                </w:p>
              </w:tc>
            </w:tr>
            <w:tr w14:paraId="7C7F3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8" w:type="dxa"/>
                  <w:vAlign w:val="center"/>
                </w:tcPr>
                <w:p w14:paraId="4CEF9577">
                  <w:pPr>
                    <w:bidi w:val="0"/>
                    <w:jc w:val="center"/>
                    <w:rPr>
                      <w:rFonts w:hint="default" w:eastAsia="宋体"/>
                      <w:color w:val="auto"/>
                      <w:lang w:val="en-US" w:eastAsia="zh-CN"/>
                    </w:rPr>
                  </w:pPr>
                  <w:r>
                    <w:rPr>
                      <w:rFonts w:hint="eastAsia"/>
                      <w:color w:val="auto"/>
                      <w:lang w:val="en-US" w:eastAsia="zh-CN"/>
                    </w:rPr>
                    <w:t>10</w:t>
                  </w:r>
                </w:p>
              </w:tc>
              <w:tc>
                <w:tcPr>
                  <w:tcW w:w="2152" w:type="dxa"/>
                  <w:vAlign w:val="center"/>
                </w:tcPr>
                <w:p w14:paraId="06D6235F">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总磷（TP）</w:t>
                  </w:r>
                </w:p>
              </w:tc>
              <w:tc>
                <w:tcPr>
                  <w:tcW w:w="788" w:type="dxa"/>
                  <w:vAlign w:val="center"/>
                </w:tcPr>
                <w:p w14:paraId="189670B8">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≤5.0</w:t>
                  </w:r>
                </w:p>
              </w:tc>
              <w:tc>
                <w:tcPr>
                  <w:tcW w:w="1146" w:type="dxa"/>
                  <w:vAlign w:val="center"/>
                </w:tcPr>
                <w:p w14:paraId="206E1BF5">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mg/L</w:t>
                  </w:r>
                </w:p>
              </w:tc>
              <w:tc>
                <w:tcPr>
                  <w:tcW w:w="972" w:type="dxa"/>
                  <w:vMerge w:val="continue"/>
                  <w:vAlign w:val="center"/>
                </w:tcPr>
                <w:p w14:paraId="19F317D6">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p>
              </w:tc>
              <w:tc>
                <w:tcPr>
                  <w:tcW w:w="3021" w:type="dxa"/>
                  <w:vMerge w:val="continue"/>
                  <w:vAlign w:val="center"/>
                </w:tcPr>
                <w:p w14:paraId="02350EFE">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p>
              </w:tc>
            </w:tr>
            <w:tr w14:paraId="751C7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8" w:type="dxa"/>
                  <w:vAlign w:val="center"/>
                </w:tcPr>
                <w:p w14:paraId="3DB4BAC0">
                  <w:pPr>
                    <w:bidi w:val="0"/>
                    <w:jc w:val="center"/>
                    <w:rPr>
                      <w:rFonts w:hint="default" w:eastAsia="宋体"/>
                      <w:color w:val="auto"/>
                      <w:lang w:val="en-US" w:eastAsia="zh-CN"/>
                    </w:rPr>
                  </w:pPr>
                  <w:r>
                    <w:rPr>
                      <w:rFonts w:hint="eastAsia"/>
                      <w:color w:val="auto"/>
                      <w:lang w:val="en-US" w:eastAsia="zh-CN"/>
                    </w:rPr>
                    <w:t>11</w:t>
                  </w:r>
                </w:p>
              </w:tc>
              <w:tc>
                <w:tcPr>
                  <w:tcW w:w="2152" w:type="dxa"/>
                  <w:vAlign w:val="center"/>
                </w:tcPr>
                <w:p w14:paraId="0774C29F">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氨氮（NH</w:t>
                  </w:r>
                  <w:r>
                    <w:rPr>
                      <w:rFonts w:hint="default" w:ascii="Times New Roman" w:hAnsi="Times New Roman" w:cs="Times New Roman"/>
                      <w:color w:val="auto"/>
                      <w:vertAlign w:val="subscript"/>
                    </w:rPr>
                    <w:t>3</w:t>
                  </w:r>
                  <w:r>
                    <w:rPr>
                      <w:rFonts w:hint="default" w:ascii="Times New Roman" w:hAnsi="Times New Roman" w:cs="Times New Roman"/>
                      <w:color w:val="auto"/>
                    </w:rPr>
                    <w:t>-N）</w:t>
                  </w:r>
                </w:p>
              </w:tc>
              <w:tc>
                <w:tcPr>
                  <w:tcW w:w="788" w:type="dxa"/>
                  <w:vAlign w:val="center"/>
                </w:tcPr>
                <w:p w14:paraId="72602A46">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≤35</w:t>
                  </w:r>
                </w:p>
              </w:tc>
              <w:tc>
                <w:tcPr>
                  <w:tcW w:w="1146" w:type="dxa"/>
                  <w:vAlign w:val="center"/>
                </w:tcPr>
                <w:p w14:paraId="3CF68D99">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r>
                    <w:rPr>
                      <w:rFonts w:hint="default" w:ascii="Times New Roman" w:hAnsi="Times New Roman" w:cs="Times New Roman"/>
                      <w:color w:val="auto"/>
                    </w:rPr>
                    <w:t>mg/L</w:t>
                  </w:r>
                </w:p>
              </w:tc>
              <w:tc>
                <w:tcPr>
                  <w:tcW w:w="972" w:type="dxa"/>
                  <w:vMerge w:val="continue"/>
                  <w:vAlign w:val="center"/>
                </w:tcPr>
                <w:p w14:paraId="2940FFD3">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p>
              </w:tc>
              <w:tc>
                <w:tcPr>
                  <w:tcW w:w="3021" w:type="dxa"/>
                  <w:vMerge w:val="continue"/>
                  <w:vAlign w:val="center"/>
                </w:tcPr>
                <w:p w14:paraId="308B2DC9">
                  <w:pPr>
                    <w:pStyle w:val="138"/>
                    <w:keepNext w:val="0"/>
                    <w:keepLines w:val="0"/>
                    <w:pageBreakBefore w:val="0"/>
                    <w:widowControl w:val="0"/>
                    <w:kinsoku/>
                    <w:wordWrap/>
                    <w:overflowPunct/>
                    <w:topLinePunct w:val="0"/>
                    <w:autoSpaceDE/>
                    <w:autoSpaceDN/>
                    <w:bidi w:val="0"/>
                    <w:snapToGrid w:val="0"/>
                    <w:spacing w:line="240" w:lineRule="auto"/>
                    <w:ind w:left="0"/>
                    <w:textAlignment w:val="auto"/>
                    <w:rPr>
                      <w:rFonts w:hint="default" w:ascii="Times New Roman" w:hAnsi="Times New Roman" w:cs="Times New Roman"/>
                      <w:color w:val="auto"/>
                    </w:rPr>
                  </w:pPr>
                </w:p>
              </w:tc>
            </w:tr>
          </w:tbl>
          <w:p w14:paraId="77618A77">
            <w:pPr>
              <w:keepNext w:val="0"/>
              <w:keepLines w:val="0"/>
              <w:pageBreakBefore w:val="0"/>
              <w:widowControl w:val="0"/>
              <w:kinsoku/>
              <w:wordWrap/>
              <w:overflowPunct/>
              <w:topLinePunct w:val="0"/>
              <w:autoSpaceDE/>
              <w:autoSpaceDN/>
              <w:bidi w:val="0"/>
              <w:adjustRightInd w:val="0"/>
              <w:snapToGrid w:val="0"/>
              <w:spacing w:before="190" w:beforeLines="50" w:line="360" w:lineRule="auto"/>
              <w:ind w:firstLine="482"/>
              <w:textAlignment w:val="auto"/>
              <w:rPr>
                <w:rFonts w:hint="default" w:ascii="Times New Roman" w:hAnsi="Times New Roman" w:cs="Times New Roman"/>
                <w:color w:val="auto"/>
                <w:sz w:val="24"/>
              </w:rPr>
            </w:pPr>
            <w:r>
              <w:rPr>
                <w:rFonts w:hint="default" w:ascii="Times New Roman" w:hAnsi="Times New Roman" w:cs="Times New Roman"/>
                <w:color w:val="auto"/>
                <w:sz w:val="24"/>
              </w:rPr>
              <w:t>本项目生活污水经化粪池处理达到《污水综合排放标准》（GB8978-1996）表4中三级标准（其中氨氮参照执行《污水排入城镇下水道水质标准》（</w:t>
            </w:r>
            <w:r>
              <w:rPr>
                <w:rFonts w:hint="default" w:ascii="Times New Roman" w:hAnsi="Times New Roman" w:cs="Times New Roman"/>
                <w:snapToGrid w:val="0"/>
                <w:color w:val="auto"/>
                <w:kern w:val="18"/>
                <w:highlight w:val="none"/>
              </w:rPr>
              <w:t>GB/T 31962-2015</w:t>
            </w:r>
            <w:r>
              <w:rPr>
                <w:rFonts w:hint="default" w:ascii="Times New Roman" w:hAnsi="Times New Roman" w:cs="Times New Roman"/>
                <w:color w:val="auto"/>
                <w:sz w:val="24"/>
              </w:rPr>
              <w:t>）表1中B等级标准）后排入沙县金古北区污水收集管网，生活污水排放标准详见下表。</w:t>
            </w:r>
          </w:p>
          <w:p w14:paraId="6F3DCA15">
            <w:pPr>
              <w:pStyle w:val="129"/>
              <w:keepNext w:val="0"/>
              <w:keepLines w:val="0"/>
              <w:pageBreakBefore w:val="0"/>
              <w:widowControl w:val="0"/>
              <w:kinsoku/>
              <w:wordWrap/>
              <w:overflowPunct/>
              <w:topLinePunct w:val="0"/>
              <w:autoSpaceDE/>
              <w:autoSpaceDN/>
              <w:bidi w:val="0"/>
              <w:adjustRightInd/>
              <w:snapToGrid w:val="0"/>
              <w:spacing w:after="115" w:afterLines="30"/>
              <w:textAlignment w:val="auto"/>
              <w:rPr>
                <w:rFonts w:hint="default" w:ascii="Times New Roman" w:hAnsi="Times New Roman" w:eastAsia="黑体" w:cs="Times New Roman"/>
                <w:b w:val="0"/>
                <w:bCs/>
                <w:color w:val="auto"/>
                <w:lang w:val="en-US" w:eastAsia="zh-CN"/>
              </w:rPr>
            </w:pPr>
            <w:r>
              <w:rPr>
                <w:rFonts w:hint="default" w:ascii="Times New Roman" w:hAnsi="Times New Roman" w:eastAsia="黑体" w:cs="Times New Roman"/>
                <w:b w:val="0"/>
                <w:bCs/>
                <w:color w:val="auto"/>
                <w:lang w:val="en-US" w:eastAsia="zh-CN"/>
              </w:rPr>
              <w:t xml:space="preserve">表3.3-4 </w:t>
            </w:r>
            <w:r>
              <w:rPr>
                <w:rFonts w:hint="eastAsia" w:eastAsia="黑体" w:cs="Times New Roman"/>
                <w:b w:val="0"/>
                <w:bCs/>
                <w:color w:val="auto"/>
                <w:lang w:val="en-US" w:eastAsia="zh-CN"/>
              </w:rPr>
              <w:t xml:space="preserve"> </w:t>
            </w:r>
            <w:r>
              <w:rPr>
                <w:rFonts w:hint="default" w:ascii="Times New Roman" w:hAnsi="Times New Roman" w:eastAsia="黑体" w:cs="Times New Roman"/>
                <w:b w:val="0"/>
                <w:bCs/>
                <w:color w:val="auto"/>
                <w:lang w:val="en-US" w:eastAsia="zh-CN"/>
              </w:rPr>
              <w:t>生活污水综合排放标准（摘录）</w:t>
            </w:r>
          </w:p>
          <w:tbl>
            <w:tblPr>
              <w:tblStyle w:val="34"/>
              <w:tblW w:w="86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0"/>
              <w:gridCol w:w="2634"/>
              <w:gridCol w:w="1204"/>
              <w:gridCol w:w="1012"/>
              <w:gridCol w:w="3237"/>
            </w:tblGrid>
            <w:tr w14:paraId="0BB4C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0" w:type="dxa"/>
                  <w:tcBorders>
                    <w:tl2br w:val="nil"/>
                    <w:tr2bl w:val="nil"/>
                  </w:tcBorders>
                  <w:vAlign w:val="center"/>
                </w:tcPr>
                <w:p w14:paraId="207BF7D6">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序 号</w:t>
                  </w:r>
                </w:p>
              </w:tc>
              <w:tc>
                <w:tcPr>
                  <w:tcW w:w="2634" w:type="dxa"/>
                  <w:tcBorders>
                    <w:tl2br w:val="nil"/>
                    <w:tr2bl w:val="nil"/>
                  </w:tcBorders>
                  <w:vAlign w:val="center"/>
                </w:tcPr>
                <w:p w14:paraId="2CD59C9D">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污染物名称</w:t>
                  </w:r>
                </w:p>
              </w:tc>
              <w:tc>
                <w:tcPr>
                  <w:tcW w:w="1204" w:type="dxa"/>
                  <w:tcBorders>
                    <w:tl2br w:val="nil"/>
                    <w:tr2bl w:val="nil"/>
                  </w:tcBorders>
                  <w:vAlign w:val="center"/>
                </w:tcPr>
                <w:p w14:paraId="04BBD224">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三级标准</w:t>
                  </w:r>
                </w:p>
              </w:tc>
              <w:tc>
                <w:tcPr>
                  <w:tcW w:w="1012" w:type="dxa"/>
                  <w:tcBorders>
                    <w:tl2br w:val="nil"/>
                    <w:tr2bl w:val="nil"/>
                  </w:tcBorders>
                  <w:vAlign w:val="center"/>
                </w:tcPr>
                <w:p w14:paraId="18716107">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单 位</w:t>
                  </w:r>
                </w:p>
              </w:tc>
              <w:tc>
                <w:tcPr>
                  <w:tcW w:w="3237" w:type="dxa"/>
                  <w:tcBorders>
                    <w:tl2br w:val="nil"/>
                    <w:tr2bl w:val="nil"/>
                  </w:tcBorders>
                  <w:vAlign w:val="center"/>
                </w:tcPr>
                <w:p w14:paraId="1CC10444">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备注</w:t>
                  </w:r>
                </w:p>
              </w:tc>
            </w:tr>
            <w:tr w14:paraId="2A471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0" w:type="dxa"/>
                  <w:tcBorders>
                    <w:tl2br w:val="nil"/>
                    <w:tr2bl w:val="nil"/>
                  </w:tcBorders>
                  <w:vAlign w:val="center"/>
                </w:tcPr>
                <w:p w14:paraId="1326CE75">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2634" w:type="dxa"/>
                  <w:tcBorders>
                    <w:tl2br w:val="nil"/>
                    <w:tr2bl w:val="nil"/>
                  </w:tcBorders>
                  <w:vAlign w:val="center"/>
                </w:tcPr>
                <w:p w14:paraId="57BC6736">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pH</w:t>
                  </w:r>
                </w:p>
              </w:tc>
              <w:tc>
                <w:tcPr>
                  <w:tcW w:w="1204" w:type="dxa"/>
                  <w:tcBorders>
                    <w:tl2br w:val="nil"/>
                    <w:tr2bl w:val="nil"/>
                  </w:tcBorders>
                  <w:vAlign w:val="center"/>
                </w:tcPr>
                <w:p w14:paraId="78A12A3F">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6～9</w:t>
                  </w:r>
                </w:p>
              </w:tc>
              <w:tc>
                <w:tcPr>
                  <w:tcW w:w="1012" w:type="dxa"/>
                  <w:tcBorders>
                    <w:tl2br w:val="nil"/>
                    <w:tr2bl w:val="nil"/>
                  </w:tcBorders>
                  <w:vAlign w:val="center"/>
                </w:tcPr>
                <w:p w14:paraId="7E89CDD5">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无量纲</w:t>
                  </w:r>
                </w:p>
              </w:tc>
              <w:tc>
                <w:tcPr>
                  <w:tcW w:w="3237" w:type="dxa"/>
                  <w:vMerge w:val="restart"/>
                  <w:tcBorders>
                    <w:tl2br w:val="nil"/>
                    <w:tr2bl w:val="nil"/>
                  </w:tcBorders>
                  <w:vAlign w:val="center"/>
                </w:tcPr>
                <w:p w14:paraId="0AF49E85">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《污水综合排放标准》（GB8978-1996）表4</w:t>
                  </w:r>
                  <w:r>
                    <w:rPr>
                      <w:rFonts w:hint="default" w:ascii="Times New Roman" w:hAnsi="Times New Roman" w:cs="Times New Roman"/>
                      <w:color w:val="auto"/>
                      <w:szCs w:val="21"/>
                    </w:rPr>
                    <w:t>三级标准</w:t>
                  </w:r>
                </w:p>
              </w:tc>
            </w:tr>
            <w:tr w14:paraId="7DA84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0" w:type="dxa"/>
                  <w:tcBorders>
                    <w:tl2br w:val="nil"/>
                    <w:tr2bl w:val="nil"/>
                  </w:tcBorders>
                  <w:vAlign w:val="center"/>
                </w:tcPr>
                <w:p w14:paraId="228BEFAD">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2</w:t>
                  </w:r>
                </w:p>
              </w:tc>
              <w:tc>
                <w:tcPr>
                  <w:tcW w:w="2634" w:type="dxa"/>
                  <w:tcBorders>
                    <w:tl2br w:val="nil"/>
                    <w:tr2bl w:val="nil"/>
                  </w:tcBorders>
                  <w:vAlign w:val="center"/>
                </w:tcPr>
                <w:p w14:paraId="6CF5791C">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化学需氧量（COD）</w:t>
                  </w:r>
                </w:p>
              </w:tc>
              <w:tc>
                <w:tcPr>
                  <w:tcW w:w="1204" w:type="dxa"/>
                  <w:tcBorders>
                    <w:tl2br w:val="nil"/>
                    <w:tr2bl w:val="nil"/>
                  </w:tcBorders>
                  <w:vAlign w:val="center"/>
                </w:tcPr>
                <w:p w14:paraId="45EBA0A1">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kern w:val="0"/>
                      <w:szCs w:val="21"/>
                    </w:rPr>
                    <w:t>≤</w:t>
                  </w:r>
                  <w:r>
                    <w:rPr>
                      <w:rFonts w:hint="default" w:ascii="Times New Roman" w:hAnsi="Times New Roman" w:cs="Times New Roman"/>
                      <w:color w:val="auto"/>
                      <w:szCs w:val="21"/>
                    </w:rPr>
                    <w:t>500</w:t>
                  </w:r>
                </w:p>
              </w:tc>
              <w:tc>
                <w:tcPr>
                  <w:tcW w:w="1012" w:type="dxa"/>
                  <w:tcBorders>
                    <w:tl2br w:val="nil"/>
                    <w:tr2bl w:val="nil"/>
                  </w:tcBorders>
                  <w:vAlign w:val="center"/>
                </w:tcPr>
                <w:p w14:paraId="3B24DD05">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mg/L</w:t>
                  </w:r>
                </w:p>
              </w:tc>
              <w:tc>
                <w:tcPr>
                  <w:tcW w:w="3237" w:type="dxa"/>
                  <w:vMerge w:val="continue"/>
                  <w:tcBorders>
                    <w:tl2br w:val="nil"/>
                    <w:tr2bl w:val="nil"/>
                  </w:tcBorders>
                  <w:vAlign w:val="center"/>
                </w:tcPr>
                <w:p w14:paraId="7DA3A020">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p>
              </w:tc>
            </w:tr>
            <w:tr w14:paraId="31E50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0" w:type="dxa"/>
                  <w:tcBorders>
                    <w:tl2br w:val="nil"/>
                    <w:tr2bl w:val="nil"/>
                  </w:tcBorders>
                  <w:vAlign w:val="center"/>
                </w:tcPr>
                <w:p w14:paraId="46C0B6DC">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3</w:t>
                  </w:r>
                </w:p>
              </w:tc>
              <w:tc>
                <w:tcPr>
                  <w:tcW w:w="2634" w:type="dxa"/>
                  <w:tcBorders>
                    <w:tl2br w:val="nil"/>
                    <w:tr2bl w:val="nil"/>
                  </w:tcBorders>
                  <w:vAlign w:val="center"/>
                </w:tcPr>
                <w:p w14:paraId="661FB6B7">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五日生化需氧量（BOD</w:t>
                  </w:r>
                  <w:r>
                    <w:rPr>
                      <w:rFonts w:hint="default" w:ascii="Times New Roman" w:hAnsi="Times New Roman" w:cs="Times New Roman"/>
                      <w:color w:val="auto"/>
                      <w:szCs w:val="21"/>
                      <w:vertAlign w:val="subscript"/>
                    </w:rPr>
                    <w:t>5</w:t>
                  </w:r>
                  <w:r>
                    <w:rPr>
                      <w:rFonts w:hint="default" w:ascii="Times New Roman" w:hAnsi="Times New Roman" w:cs="Times New Roman"/>
                      <w:color w:val="auto"/>
                      <w:szCs w:val="21"/>
                    </w:rPr>
                    <w:t>）</w:t>
                  </w:r>
                </w:p>
              </w:tc>
              <w:tc>
                <w:tcPr>
                  <w:tcW w:w="1204" w:type="dxa"/>
                  <w:tcBorders>
                    <w:tl2br w:val="nil"/>
                    <w:tr2bl w:val="nil"/>
                  </w:tcBorders>
                  <w:vAlign w:val="center"/>
                </w:tcPr>
                <w:p w14:paraId="28B1CA28">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kern w:val="0"/>
                      <w:szCs w:val="21"/>
                    </w:rPr>
                    <w:t>≤</w:t>
                  </w:r>
                  <w:r>
                    <w:rPr>
                      <w:rFonts w:hint="default" w:ascii="Times New Roman" w:hAnsi="Times New Roman" w:cs="Times New Roman"/>
                      <w:color w:val="auto"/>
                      <w:szCs w:val="21"/>
                    </w:rPr>
                    <w:t>300</w:t>
                  </w:r>
                </w:p>
              </w:tc>
              <w:tc>
                <w:tcPr>
                  <w:tcW w:w="1012" w:type="dxa"/>
                  <w:tcBorders>
                    <w:tl2br w:val="nil"/>
                    <w:tr2bl w:val="nil"/>
                  </w:tcBorders>
                  <w:vAlign w:val="center"/>
                </w:tcPr>
                <w:p w14:paraId="0C7794A0">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mg/L</w:t>
                  </w:r>
                </w:p>
              </w:tc>
              <w:tc>
                <w:tcPr>
                  <w:tcW w:w="3237" w:type="dxa"/>
                  <w:vMerge w:val="continue"/>
                  <w:tcBorders>
                    <w:tl2br w:val="nil"/>
                    <w:tr2bl w:val="nil"/>
                  </w:tcBorders>
                  <w:vAlign w:val="center"/>
                </w:tcPr>
                <w:p w14:paraId="3F27632E">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p>
              </w:tc>
            </w:tr>
            <w:tr w14:paraId="37CC9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0" w:type="dxa"/>
                  <w:tcBorders>
                    <w:tl2br w:val="nil"/>
                    <w:tr2bl w:val="nil"/>
                  </w:tcBorders>
                  <w:vAlign w:val="center"/>
                </w:tcPr>
                <w:p w14:paraId="3213262E">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4</w:t>
                  </w:r>
                </w:p>
              </w:tc>
              <w:tc>
                <w:tcPr>
                  <w:tcW w:w="2634" w:type="dxa"/>
                  <w:tcBorders>
                    <w:tl2br w:val="nil"/>
                    <w:tr2bl w:val="nil"/>
                  </w:tcBorders>
                  <w:vAlign w:val="center"/>
                </w:tcPr>
                <w:p w14:paraId="78A88FA1">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悬浮物（SS）</w:t>
                  </w:r>
                </w:p>
              </w:tc>
              <w:tc>
                <w:tcPr>
                  <w:tcW w:w="1204" w:type="dxa"/>
                  <w:tcBorders>
                    <w:tl2br w:val="nil"/>
                    <w:tr2bl w:val="nil"/>
                  </w:tcBorders>
                  <w:vAlign w:val="center"/>
                </w:tcPr>
                <w:p w14:paraId="3B33BD8A">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kern w:val="0"/>
                      <w:szCs w:val="21"/>
                    </w:rPr>
                    <w:t>≤</w:t>
                  </w:r>
                  <w:r>
                    <w:rPr>
                      <w:rFonts w:hint="default" w:ascii="Times New Roman" w:hAnsi="Times New Roman" w:cs="Times New Roman"/>
                      <w:color w:val="auto"/>
                      <w:szCs w:val="21"/>
                    </w:rPr>
                    <w:t>400</w:t>
                  </w:r>
                </w:p>
              </w:tc>
              <w:tc>
                <w:tcPr>
                  <w:tcW w:w="1012" w:type="dxa"/>
                  <w:tcBorders>
                    <w:tl2br w:val="nil"/>
                    <w:tr2bl w:val="nil"/>
                  </w:tcBorders>
                  <w:vAlign w:val="center"/>
                </w:tcPr>
                <w:p w14:paraId="2F24EC53">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mg/L</w:t>
                  </w:r>
                </w:p>
              </w:tc>
              <w:tc>
                <w:tcPr>
                  <w:tcW w:w="3237" w:type="dxa"/>
                  <w:vMerge w:val="continue"/>
                  <w:tcBorders>
                    <w:tl2br w:val="nil"/>
                    <w:tr2bl w:val="nil"/>
                  </w:tcBorders>
                  <w:vAlign w:val="center"/>
                </w:tcPr>
                <w:p w14:paraId="509C051B">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p>
              </w:tc>
            </w:tr>
            <w:tr w14:paraId="36420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0" w:type="dxa"/>
                  <w:tcBorders>
                    <w:tl2br w:val="nil"/>
                    <w:tr2bl w:val="nil"/>
                  </w:tcBorders>
                  <w:vAlign w:val="center"/>
                </w:tcPr>
                <w:p w14:paraId="70E3D653">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5</w:t>
                  </w:r>
                </w:p>
              </w:tc>
              <w:tc>
                <w:tcPr>
                  <w:tcW w:w="2634" w:type="dxa"/>
                  <w:tcBorders>
                    <w:tl2br w:val="nil"/>
                    <w:tr2bl w:val="nil"/>
                  </w:tcBorders>
                  <w:vAlign w:val="center"/>
                </w:tcPr>
                <w:p w14:paraId="5DBE3F8C">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动植物油</w:t>
                  </w:r>
                </w:p>
              </w:tc>
              <w:tc>
                <w:tcPr>
                  <w:tcW w:w="1204" w:type="dxa"/>
                  <w:tcBorders>
                    <w:tl2br w:val="nil"/>
                    <w:tr2bl w:val="nil"/>
                  </w:tcBorders>
                  <w:vAlign w:val="center"/>
                </w:tcPr>
                <w:p w14:paraId="12BC4058">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≤100</w:t>
                  </w:r>
                </w:p>
              </w:tc>
              <w:tc>
                <w:tcPr>
                  <w:tcW w:w="1012" w:type="dxa"/>
                  <w:tcBorders>
                    <w:tl2br w:val="nil"/>
                    <w:tr2bl w:val="nil"/>
                  </w:tcBorders>
                  <w:vAlign w:val="center"/>
                </w:tcPr>
                <w:p w14:paraId="647B859E">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mg/L</w:t>
                  </w:r>
                </w:p>
              </w:tc>
              <w:tc>
                <w:tcPr>
                  <w:tcW w:w="3237" w:type="dxa"/>
                  <w:vMerge w:val="continue"/>
                  <w:tcBorders>
                    <w:tl2br w:val="nil"/>
                    <w:tr2bl w:val="nil"/>
                  </w:tcBorders>
                  <w:vAlign w:val="center"/>
                </w:tcPr>
                <w:p w14:paraId="025CFF38">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p>
              </w:tc>
            </w:tr>
            <w:tr w14:paraId="4ECFA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7" w:hRule="atLeast"/>
                <w:jc w:val="center"/>
              </w:trPr>
              <w:tc>
                <w:tcPr>
                  <w:tcW w:w="570" w:type="dxa"/>
                  <w:tcBorders>
                    <w:tl2br w:val="nil"/>
                    <w:tr2bl w:val="nil"/>
                  </w:tcBorders>
                  <w:vAlign w:val="center"/>
                </w:tcPr>
                <w:p w14:paraId="213B924C">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6</w:t>
                  </w:r>
                </w:p>
              </w:tc>
              <w:tc>
                <w:tcPr>
                  <w:tcW w:w="2634" w:type="dxa"/>
                  <w:tcBorders>
                    <w:tl2br w:val="nil"/>
                    <w:tr2bl w:val="nil"/>
                  </w:tcBorders>
                  <w:vAlign w:val="center"/>
                </w:tcPr>
                <w:p w14:paraId="20CEF94D">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氨氮（NH</w:t>
                  </w:r>
                  <w:r>
                    <w:rPr>
                      <w:rFonts w:hint="default" w:ascii="Times New Roman" w:hAnsi="Times New Roman" w:cs="Times New Roman"/>
                      <w:color w:val="auto"/>
                      <w:szCs w:val="21"/>
                      <w:vertAlign w:val="subscript"/>
                    </w:rPr>
                    <w:t>3</w:t>
                  </w:r>
                  <w:r>
                    <w:rPr>
                      <w:rFonts w:hint="default" w:ascii="Times New Roman" w:hAnsi="Times New Roman" w:cs="Times New Roman"/>
                      <w:color w:val="auto"/>
                      <w:szCs w:val="21"/>
                    </w:rPr>
                    <w:t>-N）</w:t>
                  </w:r>
                </w:p>
              </w:tc>
              <w:tc>
                <w:tcPr>
                  <w:tcW w:w="1204" w:type="dxa"/>
                  <w:tcBorders>
                    <w:tl2br w:val="nil"/>
                    <w:tr2bl w:val="nil"/>
                  </w:tcBorders>
                  <w:vAlign w:val="center"/>
                </w:tcPr>
                <w:p w14:paraId="4746C81B">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kern w:val="0"/>
                      <w:szCs w:val="21"/>
                    </w:rPr>
                    <w:t>≤</w:t>
                  </w:r>
                  <w:r>
                    <w:rPr>
                      <w:rFonts w:hint="default" w:ascii="Times New Roman" w:hAnsi="Times New Roman" w:cs="Times New Roman"/>
                      <w:color w:val="auto"/>
                      <w:szCs w:val="21"/>
                    </w:rPr>
                    <w:t>45</w:t>
                  </w:r>
                </w:p>
              </w:tc>
              <w:tc>
                <w:tcPr>
                  <w:tcW w:w="1012" w:type="dxa"/>
                  <w:tcBorders>
                    <w:tl2br w:val="nil"/>
                    <w:tr2bl w:val="nil"/>
                  </w:tcBorders>
                  <w:vAlign w:val="center"/>
                </w:tcPr>
                <w:p w14:paraId="32BF093E">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mg/L</w:t>
                  </w:r>
                </w:p>
              </w:tc>
              <w:tc>
                <w:tcPr>
                  <w:tcW w:w="3237" w:type="dxa"/>
                  <w:tcBorders>
                    <w:tl2br w:val="nil"/>
                    <w:tr2bl w:val="nil"/>
                  </w:tcBorders>
                  <w:vAlign w:val="center"/>
                </w:tcPr>
                <w:p w14:paraId="566082B8">
                  <w:pPr>
                    <w:pStyle w:val="13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auto"/>
                      <w:szCs w:val="21"/>
                    </w:rPr>
                  </w:pPr>
                  <w:r>
                    <w:rPr>
                      <w:rFonts w:hint="default" w:ascii="Times New Roman" w:hAnsi="Times New Roman" w:cs="Times New Roman"/>
                      <w:snapToGrid w:val="0"/>
                      <w:color w:val="auto"/>
                      <w:kern w:val="18"/>
                      <w:szCs w:val="21"/>
                    </w:rPr>
                    <w:t>参照执行《污水排入城镇下水道水质标准》（GB/T 31962-2015）表1中B等级标准</w:t>
                  </w:r>
                </w:p>
              </w:tc>
            </w:tr>
          </w:tbl>
          <w:p w14:paraId="584BE1D8">
            <w:pPr>
              <w:keepNext w:val="0"/>
              <w:keepLines w:val="0"/>
              <w:pageBreakBefore w:val="0"/>
              <w:widowControl/>
              <w:kinsoku/>
              <w:wordWrap/>
              <w:overflowPunct/>
              <w:topLinePunct w:val="0"/>
              <w:autoSpaceDE/>
              <w:autoSpaceDN/>
              <w:bidi w:val="0"/>
              <w:adjustRightInd/>
              <w:snapToGrid w:val="0"/>
              <w:spacing w:before="190" w:beforeLines="50" w:line="360" w:lineRule="auto"/>
              <w:ind w:firstLine="480" w:firstLineChars="200"/>
              <w:jc w:val="left"/>
              <w:textAlignment w:val="auto"/>
              <w:rPr>
                <w:rFonts w:hint="default" w:ascii="Times New Roman" w:hAnsi="Times New Roman" w:cs="Times New Roman"/>
                <w:color w:val="auto"/>
                <w:sz w:val="24"/>
              </w:rPr>
            </w:pPr>
            <w:r>
              <w:rPr>
                <w:rFonts w:hint="default" w:ascii="Times New Roman" w:hAnsi="Times New Roman" w:cs="Times New Roman"/>
                <w:color w:val="auto"/>
                <w:kern w:val="0"/>
                <w:sz w:val="24"/>
                <w:lang w:bidi="ar"/>
              </w:rPr>
              <w:t>金古北片区污水处理厂位于园区西侧，排污口位于沙溪古县大桥上游约600m处，尾水排入沙溪。污水处理厂尾水排放执行《城镇污水处理厂污染物排放标准》（GB18918-2002）一级A标准。</w:t>
            </w:r>
          </w:p>
          <w:p w14:paraId="56EC0659">
            <w:pPr>
              <w:pStyle w:val="129"/>
              <w:keepNext w:val="0"/>
              <w:keepLines w:val="0"/>
              <w:pageBreakBefore w:val="0"/>
              <w:widowControl w:val="0"/>
              <w:kinsoku/>
              <w:wordWrap/>
              <w:overflowPunct/>
              <w:topLinePunct w:val="0"/>
              <w:autoSpaceDE/>
              <w:autoSpaceDN/>
              <w:bidi w:val="0"/>
              <w:adjustRightInd/>
              <w:snapToGrid w:val="0"/>
              <w:spacing w:after="115" w:afterLines="30"/>
              <w:textAlignment w:val="auto"/>
              <w:rPr>
                <w:rFonts w:hint="default" w:ascii="Times New Roman" w:hAnsi="Times New Roman" w:eastAsia="黑体" w:cs="Times New Roman"/>
                <w:b w:val="0"/>
                <w:bCs/>
                <w:color w:val="auto"/>
                <w:lang w:val="en-US" w:eastAsia="zh-CN"/>
              </w:rPr>
            </w:pPr>
            <w:r>
              <w:rPr>
                <w:rFonts w:hint="default" w:ascii="Times New Roman" w:hAnsi="Times New Roman" w:eastAsia="黑体" w:cs="Times New Roman"/>
                <w:b w:val="0"/>
                <w:bCs/>
                <w:color w:val="auto"/>
                <w:lang w:val="en-US" w:eastAsia="zh-CN"/>
              </w:rPr>
              <w:t>表3.3-5</w:t>
            </w:r>
            <w:r>
              <w:rPr>
                <w:rFonts w:hint="eastAsia" w:eastAsia="黑体" w:cs="Times New Roman"/>
                <w:b w:val="0"/>
                <w:bCs/>
                <w:color w:val="auto"/>
                <w:lang w:val="en-US" w:eastAsia="zh-CN"/>
              </w:rPr>
              <w:t xml:space="preserve">  </w:t>
            </w:r>
            <w:r>
              <w:rPr>
                <w:rFonts w:hint="default" w:ascii="Times New Roman" w:hAnsi="Times New Roman" w:eastAsia="黑体" w:cs="Times New Roman"/>
                <w:b w:val="0"/>
                <w:bCs/>
                <w:color w:val="auto"/>
                <w:lang w:val="en-US" w:eastAsia="zh-CN"/>
              </w:rPr>
              <w:t>污水处理厂尾水排放标准</w:t>
            </w:r>
          </w:p>
          <w:tbl>
            <w:tblPr>
              <w:tblStyle w:val="34"/>
              <w:tblW w:w="86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4"/>
              <w:gridCol w:w="3075"/>
              <w:gridCol w:w="1256"/>
              <w:gridCol w:w="1200"/>
              <w:gridCol w:w="2262"/>
            </w:tblGrid>
            <w:tr w14:paraId="56515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864" w:type="dxa"/>
                  <w:tcBorders>
                    <w:tl2br w:val="nil"/>
                    <w:tr2bl w:val="nil"/>
                  </w:tcBorders>
                  <w:vAlign w:val="center"/>
                </w:tcPr>
                <w:p w14:paraId="2F72903B">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序 号</w:t>
                  </w:r>
                </w:p>
              </w:tc>
              <w:tc>
                <w:tcPr>
                  <w:tcW w:w="3075" w:type="dxa"/>
                  <w:tcBorders>
                    <w:tl2br w:val="nil"/>
                    <w:tr2bl w:val="nil"/>
                  </w:tcBorders>
                  <w:vAlign w:val="center"/>
                </w:tcPr>
                <w:p w14:paraId="24B4BCFB">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污染物名称</w:t>
                  </w:r>
                </w:p>
              </w:tc>
              <w:tc>
                <w:tcPr>
                  <w:tcW w:w="1256" w:type="dxa"/>
                  <w:tcBorders>
                    <w:tl2br w:val="nil"/>
                    <w:tr2bl w:val="nil"/>
                  </w:tcBorders>
                  <w:vAlign w:val="center"/>
                </w:tcPr>
                <w:p w14:paraId="30E7FE4E">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三级标准</w:t>
                  </w:r>
                </w:p>
              </w:tc>
              <w:tc>
                <w:tcPr>
                  <w:tcW w:w="1200" w:type="dxa"/>
                  <w:tcBorders>
                    <w:tl2br w:val="nil"/>
                    <w:tr2bl w:val="nil"/>
                  </w:tcBorders>
                  <w:vAlign w:val="center"/>
                </w:tcPr>
                <w:p w14:paraId="60BCE6CE">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单 位</w:t>
                  </w:r>
                </w:p>
              </w:tc>
              <w:tc>
                <w:tcPr>
                  <w:tcW w:w="2262" w:type="dxa"/>
                  <w:tcBorders>
                    <w:tl2br w:val="nil"/>
                    <w:tr2bl w:val="nil"/>
                  </w:tcBorders>
                  <w:vAlign w:val="center"/>
                </w:tcPr>
                <w:p w14:paraId="30B3EF0F">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备注</w:t>
                  </w:r>
                </w:p>
              </w:tc>
            </w:tr>
            <w:tr w14:paraId="32E70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tcBorders>
                    <w:tl2br w:val="nil"/>
                    <w:tr2bl w:val="nil"/>
                  </w:tcBorders>
                  <w:vAlign w:val="center"/>
                </w:tcPr>
                <w:p w14:paraId="5446A57D">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3075" w:type="dxa"/>
                  <w:tcBorders>
                    <w:tl2br w:val="nil"/>
                    <w:tr2bl w:val="nil"/>
                  </w:tcBorders>
                  <w:vAlign w:val="center"/>
                </w:tcPr>
                <w:p w14:paraId="72443386">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pH</w:t>
                  </w:r>
                </w:p>
              </w:tc>
              <w:tc>
                <w:tcPr>
                  <w:tcW w:w="1256" w:type="dxa"/>
                  <w:tcBorders>
                    <w:tl2br w:val="nil"/>
                    <w:tr2bl w:val="nil"/>
                  </w:tcBorders>
                  <w:vAlign w:val="center"/>
                </w:tcPr>
                <w:p w14:paraId="6DDE08A9">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6～9</w:t>
                  </w:r>
                </w:p>
              </w:tc>
              <w:tc>
                <w:tcPr>
                  <w:tcW w:w="1200" w:type="dxa"/>
                  <w:tcBorders>
                    <w:tl2br w:val="nil"/>
                    <w:tr2bl w:val="nil"/>
                  </w:tcBorders>
                  <w:vAlign w:val="center"/>
                </w:tcPr>
                <w:p w14:paraId="22B7EFF7">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无量纲</w:t>
                  </w:r>
                </w:p>
              </w:tc>
              <w:tc>
                <w:tcPr>
                  <w:tcW w:w="2262" w:type="dxa"/>
                  <w:vMerge w:val="restart"/>
                  <w:tcBorders>
                    <w:tl2br w:val="nil"/>
                    <w:tr2bl w:val="nil"/>
                  </w:tcBorders>
                  <w:vAlign w:val="center"/>
                </w:tcPr>
                <w:p w14:paraId="14BE31D0">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《城镇污水处理厂污染物排放标准》（GB18918-2002）</w:t>
                  </w:r>
                </w:p>
                <w:p w14:paraId="232D8201">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一级A标准</w:t>
                  </w:r>
                </w:p>
              </w:tc>
            </w:tr>
            <w:tr w14:paraId="666DB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tcBorders>
                    <w:tl2br w:val="nil"/>
                    <w:tr2bl w:val="nil"/>
                  </w:tcBorders>
                  <w:vAlign w:val="center"/>
                </w:tcPr>
                <w:p w14:paraId="3D20C13D">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2</w:t>
                  </w:r>
                </w:p>
              </w:tc>
              <w:tc>
                <w:tcPr>
                  <w:tcW w:w="3075" w:type="dxa"/>
                  <w:tcBorders>
                    <w:tl2br w:val="nil"/>
                    <w:tr2bl w:val="nil"/>
                  </w:tcBorders>
                  <w:vAlign w:val="center"/>
                </w:tcPr>
                <w:p w14:paraId="30DF56A9">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化学需氧量（COD）</w:t>
                  </w:r>
                </w:p>
              </w:tc>
              <w:tc>
                <w:tcPr>
                  <w:tcW w:w="1256" w:type="dxa"/>
                  <w:tcBorders>
                    <w:tl2br w:val="nil"/>
                    <w:tr2bl w:val="nil"/>
                  </w:tcBorders>
                  <w:vAlign w:val="center"/>
                </w:tcPr>
                <w:p w14:paraId="067090D4">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kern w:val="0"/>
                      <w:szCs w:val="21"/>
                    </w:rPr>
                    <w:t>≤</w:t>
                  </w:r>
                  <w:r>
                    <w:rPr>
                      <w:rFonts w:hint="default" w:ascii="Times New Roman" w:hAnsi="Times New Roman" w:cs="Times New Roman"/>
                      <w:color w:val="auto"/>
                      <w:szCs w:val="21"/>
                    </w:rPr>
                    <w:t>50</w:t>
                  </w:r>
                </w:p>
              </w:tc>
              <w:tc>
                <w:tcPr>
                  <w:tcW w:w="1200" w:type="dxa"/>
                  <w:tcBorders>
                    <w:tl2br w:val="nil"/>
                    <w:tr2bl w:val="nil"/>
                  </w:tcBorders>
                  <w:vAlign w:val="center"/>
                </w:tcPr>
                <w:p w14:paraId="4880F3C2">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mg/L</w:t>
                  </w:r>
                </w:p>
              </w:tc>
              <w:tc>
                <w:tcPr>
                  <w:tcW w:w="2262" w:type="dxa"/>
                  <w:vMerge w:val="continue"/>
                  <w:tcBorders>
                    <w:tl2br w:val="nil"/>
                    <w:tr2bl w:val="nil"/>
                  </w:tcBorders>
                  <w:vAlign w:val="center"/>
                </w:tcPr>
                <w:p w14:paraId="35B26DF8">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p>
              </w:tc>
            </w:tr>
            <w:tr w14:paraId="6DAB1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tcBorders>
                    <w:tl2br w:val="nil"/>
                    <w:tr2bl w:val="nil"/>
                  </w:tcBorders>
                  <w:vAlign w:val="center"/>
                </w:tcPr>
                <w:p w14:paraId="70BB565B">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3</w:t>
                  </w:r>
                </w:p>
              </w:tc>
              <w:tc>
                <w:tcPr>
                  <w:tcW w:w="3075" w:type="dxa"/>
                  <w:tcBorders>
                    <w:tl2br w:val="nil"/>
                    <w:tr2bl w:val="nil"/>
                  </w:tcBorders>
                  <w:vAlign w:val="center"/>
                </w:tcPr>
                <w:p w14:paraId="6B4AF00E">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五日生化需氧量（BOD</w:t>
                  </w:r>
                  <w:r>
                    <w:rPr>
                      <w:rFonts w:hint="default" w:ascii="Times New Roman" w:hAnsi="Times New Roman" w:cs="Times New Roman"/>
                      <w:color w:val="auto"/>
                      <w:szCs w:val="21"/>
                      <w:vertAlign w:val="subscript"/>
                    </w:rPr>
                    <w:t>5</w:t>
                  </w:r>
                  <w:r>
                    <w:rPr>
                      <w:rFonts w:hint="default" w:ascii="Times New Roman" w:hAnsi="Times New Roman" w:cs="Times New Roman"/>
                      <w:color w:val="auto"/>
                      <w:szCs w:val="21"/>
                    </w:rPr>
                    <w:t>）</w:t>
                  </w:r>
                </w:p>
              </w:tc>
              <w:tc>
                <w:tcPr>
                  <w:tcW w:w="1256" w:type="dxa"/>
                  <w:tcBorders>
                    <w:tl2br w:val="nil"/>
                    <w:tr2bl w:val="nil"/>
                  </w:tcBorders>
                  <w:vAlign w:val="center"/>
                </w:tcPr>
                <w:p w14:paraId="3DE550EF">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kern w:val="0"/>
                      <w:szCs w:val="21"/>
                    </w:rPr>
                    <w:t>≤</w:t>
                  </w:r>
                  <w:r>
                    <w:rPr>
                      <w:rFonts w:hint="default" w:ascii="Times New Roman" w:hAnsi="Times New Roman" w:cs="Times New Roman"/>
                      <w:color w:val="auto"/>
                      <w:szCs w:val="21"/>
                    </w:rPr>
                    <w:t>10</w:t>
                  </w:r>
                </w:p>
              </w:tc>
              <w:tc>
                <w:tcPr>
                  <w:tcW w:w="1200" w:type="dxa"/>
                  <w:tcBorders>
                    <w:tl2br w:val="nil"/>
                    <w:tr2bl w:val="nil"/>
                  </w:tcBorders>
                  <w:vAlign w:val="center"/>
                </w:tcPr>
                <w:p w14:paraId="79C77BB7">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mg/L</w:t>
                  </w:r>
                </w:p>
              </w:tc>
              <w:tc>
                <w:tcPr>
                  <w:tcW w:w="2262" w:type="dxa"/>
                  <w:vMerge w:val="continue"/>
                  <w:tcBorders>
                    <w:tl2br w:val="nil"/>
                    <w:tr2bl w:val="nil"/>
                  </w:tcBorders>
                  <w:vAlign w:val="center"/>
                </w:tcPr>
                <w:p w14:paraId="1F892DAD">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p>
              </w:tc>
            </w:tr>
            <w:tr w14:paraId="61588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tcBorders>
                    <w:tl2br w:val="nil"/>
                    <w:tr2bl w:val="nil"/>
                  </w:tcBorders>
                  <w:vAlign w:val="center"/>
                </w:tcPr>
                <w:p w14:paraId="606290B3">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4</w:t>
                  </w:r>
                </w:p>
              </w:tc>
              <w:tc>
                <w:tcPr>
                  <w:tcW w:w="3075" w:type="dxa"/>
                  <w:tcBorders>
                    <w:tl2br w:val="nil"/>
                    <w:tr2bl w:val="nil"/>
                  </w:tcBorders>
                  <w:vAlign w:val="center"/>
                </w:tcPr>
                <w:p w14:paraId="73F50A40">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悬浮物（SS）</w:t>
                  </w:r>
                </w:p>
              </w:tc>
              <w:tc>
                <w:tcPr>
                  <w:tcW w:w="1256" w:type="dxa"/>
                  <w:tcBorders>
                    <w:tl2br w:val="nil"/>
                    <w:tr2bl w:val="nil"/>
                  </w:tcBorders>
                  <w:vAlign w:val="center"/>
                </w:tcPr>
                <w:p w14:paraId="44BA7D2F">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kern w:val="0"/>
                      <w:szCs w:val="21"/>
                    </w:rPr>
                    <w:t>≤</w:t>
                  </w:r>
                  <w:r>
                    <w:rPr>
                      <w:rFonts w:hint="default" w:ascii="Times New Roman" w:hAnsi="Times New Roman" w:cs="Times New Roman"/>
                      <w:color w:val="auto"/>
                      <w:szCs w:val="21"/>
                    </w:rPr>
                    <w:t>10</w:t>
                  </w:r>
                </w:p>
              </w:tc>
              <w:tc>
                <w:tcPr>
                  <w:tcW w:w="1200" w:type="dxa"/>
                  <w:tcBorders>
                    <w:tl2br w:val="nil"/>
                    <w:tr2bl w:val="nil"/>
                  </w:tcBorders>
                  <w:vAlign w:val="center"/>
                </w:tcPr>
                <w:p w14:paraId="769148C3">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mg/L</w:t>
                  </w:r>
                </w:p>
              </w:tc>
              <w:tc>
                <w:tcPr>
                  <w:tcW w:w="2262" w:type="dxa"/>
                  <w:vMerge w:val="continue"/>
                  <w:tcBorders>
                    <w:tl2br w:val="nil"/>
                    <w:tr2bl w:val="nil"/>
                  </w:tcBorders>
                  <w:vAlign w:val="center"/>
                </w:tcPr>
                <w:p w14:paraId="1A65C0F1">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p>
              </w:tc>
            </w:tr>
            <w:tr w14:paraId="0E631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tcBorders>
                    <w:tl2br w:val="nil"/>
                    <w:tr2bl w:val="nil"/>
                  </w:tcBorders>
                  <w:vAlign w:val="center"/>
                </w:tcPr>
                <w:p w14:paraId="5D2159E2">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5</w:t>
                  </w:r>
                </w:p>
              </w:tc>
              <w:tc>
                <w:tcPr>
                  <w:tcW w:w="3075" w:type="dxa"/>
                  <w:tcBorders>
                    <w:tl2br w:val="nil"/>
                    <w:tr2bl w:val="nil"/>
                  </w:tcBorders>
                  <w:vAlign w:val="center"/>
                </w:tcPr>
                <w:p w14:paraId="7236362C">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动植物油</w:t>
                  </w:r>
                </w:p>
              </w:tc>
              <w:tc>
                <w:tcPr>
                  <w:tcW w:w="1256" w:type="dxa"/>
                  <w:tcBorders>
                    <w:tl2br w:val="nil"/>
                    <w:tr2bl w:val="nil"/>
                  </w:tcBorders>
                  <w:vAlign w:val="center"/>
                </w:tcPr>
                <w:p w14:paraId="1096B7A1">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1200" w:type="dxa"/>
                  <w:tcBorders>
                    <w:tl2br w:val="nil"/>
                    <w:tr2bl w:val="nil"/>
                  </w:tcBorders>
                  <w:vAlign w:val="center"/>
                </w:tcPr>
                <w:p w14:paraId="5F128398">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mg/L</w:t>
                  </w:r>
                </w:p>
              </w:tc>
              <w:tc>
                <w:tcPr>
                  <w:tcW w:w="2262" w:type="dxa"/>
                  <w:vMerge w:val="continue"/>
                  <w:tcBorders>
                    <w:tl2br w:val="nil"/>
                    <w:tr2bl w:val="nil"/>
                  </w:tcBorders>
                  <w:vAlign w:val="center"/>
                </w:tcPr>
                <w:p w14:paraId="03F504E2">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p>
              </w:tc>
            </w:tr>
            <w:tr w14:paraId="262DA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tcBorders>
                    <w:tl2br w:val="nil"/>
                    <w:tr2bl w:val="nil"/>
                  </w:tcBorders>
                  <w:vAlign w:val="center"/>
                </w:tcPr>
                <w:p w14:paraId="4ED62388">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6</w:t>
                  </w:r>
                </w:p>
              </w:tc>
              <w:tc>
                <w:tcPr>
                  <w:tcW w:w="3075" w:type="dxa"/>
                  <w:tcBorders>
                    <w:tl2br w:val="nil"/>
                    <w:tr2bl w:val="nil"/>
                  </w:tcBorders>
                  <w:vAlign w:val="center"/>
                </w:tcPr>
                <w:p w14:paraId="1BE7868B">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氨氮（NH</w:t>
                  </w:r>
                  <w:r>
                    <w:rPr>
                      <w:rFonts w:hint="default" w:ascii="Times New Roman" w:hAnsi="Times New Roman" w:cs="Times New Roman"/>
                      <w:color w:val="auto"/>
                      <w:szCs w:val="21"/>
                      <w:vertAlign w:val="subscript"/>
                    </w:rPr>
                    <w:t>3</w:t>
                  </w:r>
                  <w:r>
                    <w:rPr>
                      <w:rFonts w:hint="default" w:ascii="Times New Roman" w:hAnsi="Times New Roman" w:cs="Times New Roman"/>
                      <w:color w:val="auto"/>
                      <w:szCs w:val="21"/>
                    </w:rPr>
                    <w:t>-N）</w:t>
                  </w:r>
                </w:p>
              </w:tc>
              <w:tc>
                <w:tcPr>
                  <w:tcW w:w="1256" w:type="dxa"/>
                  <w:tcBorders>
                    <w:tl2br w:val="nil"/>
                    <w:tr2bl w:val="nil"/>
                  </w:tcBorders>
                  <w:vAlign w:val="center"/>
                </w:tcPr>
                <w:p w14:paraId="62A67C9F">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kern w:val="0"/>
                      <w:szCs w:val="21"/>
                    </w:rPr>
                    <w:t>≤</w:t>
                  </w:r>
                  <w:r>
                    <w:rPr>
                      <w:rFonts w:hint="default" w:ascii="Times New Roman" w:hAnsi="Times New Roman" w:cs="Times New Roman"/>
                      <w:color w:val="auto"/>
                      <w:szCs w:val="21"/>
                    </w:rPr>
                    <w:t>5</w:t>
                  </w:r>
                </w:p>
              </w:tc>
              <w:tc>
                <w:tcPr>
                  <w:tcW w:w="1200" w:type="dxa"/>
                  <w:tcBorders>
                    <w:tl2br w:val="nil"/>
                    <w:tr2bl w:val="nil"/>
                  </w:tcBorders>
                  <w:vAlign w:val="center"/>
                </w:tcPr>
                <w:p w14:paraId="3F628CBD">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mg/L</w:t>
                  </w:r>
                </w:p>
              </w:tc>
              <w:tc>
                <w:tcPr>
                  <w:tcW w:w="2262" w:type="dxa"/>
                  <w:vMerge w:val="continue"/>
                  <w:tcBorders>
                    <w:tl2br w:val="nil"/>
                    <w:tr2bl w:val="nil"/>
                  </w:tcBorders>
                  <w:vAlign w:val="center"/>
                </w:tcPr>
                <w:p w14:paraId="19A331CF">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p>
              </w:tc>
            </w:tr>
            <w:tr w14:paraId="5EBDB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tcBorders>
                    <w:tl2br w:val="nil"/>
                    <w:tr2bl w:val="nil"/>
                  </w:tcBorders>
                  <w:vAlign w:val="center"/>
                </w:tcPr>
                <w:p w14:paraId="4A5114FC">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7</w:t>
                  </w:r>
                </w:p>
              </w:tc>
              <w:tc>
                <w:tcPr>
                  <w:tcW w:w="3075" w:type="dxa"/>
                  <w:tcBorders>
                    <w:tl2br w:val="nil"/>
                    <w:tr2bl w:val="nil"/>
                  </w:tcBorders>
                  <w:vAlign w:val="center"/>
                </w:tcPr>
                <w:p w14:paraId="5AA41952">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总氮（N）</w:t>
                  </w:r>
                </w:p>
              </w:tc>
              <w:tc>
                <w:tcPr>
                  <w:tcW w:w="1256" w:type="dxa"/>
                  <w:tcBorders>
                    <w:tl2br w:val="nil"/>
                    <w:tr2bl w:val="nil"/>
                  </w:tcBorders>
                  <w:vAlign w:val="center"/>
                </w:tcPr>
                <w:p w14:paraId="122E4650">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≤1</w:t>
                  </w:r>
                  <w:r>
                    <w:rPr>
                      <w:rFonts w:hint="default" w:ascii="Times New Roman" w:hAnsi="Times New Roman" w:cs="Times New Roman"/>
                      <w:color w:val="auto"/>
                      <w:szCs w:val="21"/>
                    </w:rPr>
                    <w:t>5</w:t>
                  </w:r>
                </w:p>
              </w:tc>
              <w:tc>
                <w:tcPr>
                  <w:tcW w:w="1200" w:type="dxa"/>
                  <w:tcBorders>
                    <w:tl2br w:val="nil"/>
                    <w:tr2bl w:val="nil"/>
                  </w:tcBorders>
                  <w:vAlign w:val="center"/>
                </w:tcPr>
                <w:p w14:paraId="3B06848C">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mg/L</w:t>
                  </w:r>
                </w:p>
              </w:tc>
              <w:tc>
                <w:tcPr>
                  <w:tcW w:w="2262" w:type="dxa"/>
                  <w:vMerge w:val="continue"/>
                  <w:tcBorders>
                    <w:tl2br w:val="nil"/>
                    <w:tr2bl w:val="nil"/>
                  </w:tcBorders>
                  <w:vAlign w:val="center"/>
                </w:tcPr>
                <w:p w14:paraId="26482973">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p>
              </w:tc>
            </w:tr>
            <w:tr w14:paraId="1D3DC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dxa"/>
                  <w:tcBorders>
                    <w:tl2br w:val="nil"/>
                    <w:tr2bl w:val="nil"/>
                  </w:tcBorders>
                  <w:vAlign w:val="center"/>
                </w:tcPr>
                <w:p w14:paraId="0E44C8E3">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8</w:t>
                  </w:r>
                </w:p>
              </w:tc>
              <w:tc>
                <w:tcPr>
                  <w:tcW w:w="3075" w:type="dxa"/>
                  <w:tcBorders>
                    <w:tl2br w:val="nil"/>
                    <w:tr2bl w:val="nil"/>
                  </w:tcBorders>
                  <w:vAlign w:val="center"/>
                </w:tcPr>
                <w:p w14:paraId="550A8AB0">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总磷（P）</w:t>
                  </w:r>
                </w:p>
              </w:tc>
              <w:tc>
                <w:tcPr>
                  <w:tcW w:w="1256" w:type="dxa"/>
                  <w:tcBorders>
                    <w:tl2br w:val="nil"/>
                    <w:tr2bl w:val="nil"/>
                  </w:tcBorders>
                  <w:vAlign w:val="center"/>
                </w:tcPr>
                <w:p w14:paraId="785F4BC1">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r>
                    <w:rPr>
                      <w:rFonts w:hint="default" w:ascii="Times New Roman" w:hAnsi="Times New Roman" w:cs="Times New Roman"/>
                      <w:color w:val="auto"/>
                      <w:szCs w:val="21"/>
                    </w:rPr>
                    <w:t>5</w:t>
                  </w:r>
                </w:p>
              </w:tc>
              <w:tc>
                <w:tcPr>
                  <w:tcW w:w="1200" w:type="dxa"/>
                  <w:tcBorders>
                    <w:tl2br w:val="nil"/>
                    <w:tr2bl w:val="nil"/>
                  </w:tcBorders>
                  <w:vAlign w:val="center"/>
                </w:tcPr>
                <w:p w14:paraId="2DB83C7D">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mg/L</w:t>
                  </w:r>
                </w:p>
              </w:tc>
              <w:tc>
                <w:tcPr>
                  <w:tcW w:w="2262" w:type="dxa"/>
                  <w:vMerge w:val="continue"/>
                  <w:tcBorders>
                    <w:tl2br w:val="nil"/>
                    <w:tr2bl w:val="nil"/>
                  </w:tcBorders>
                  <w:vAlign w:val="center"/>
                </w:tcPr>
                <w:p w14:paraId="14D9ED79">
                  <w:pPr>
                    <w:pStyle w:val="138"/>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Cs w:val="21"/>
                    </w:rPr>
                  </w:pPr>
                </w:p>
              </w:tc>
            </w:tr>
          </w:tbl>
          <w:p w14:paraId="58584AE7">
            <w:pPr>
              <w:pStyle w:val="5"/>
              <w:spacing w:before="189" w:after="189" w:afterLines="50" w:afterAutospacing="0" w:line="240" w:lineRule="auto"/>
              <w:rPr>
                <w:rFonts w:hint="default" w:ascii="Times New Roman" w:hAnsi="Times New Roman" w:cs="Times New Roman"/>
                <w:color w:val="auto"/>
              </w:rPr>
            </w:pPr>
            <w:r>
              <w:rPr>
                <w:rFonts w:hint="default" w:ascii="Times New Roman" w:hAnsi="Times New Roman" w:cs="Times New Roman"/>
                <w:color w:val="auto"/>
              </w:rPr>
              <w:t>3.3.3噪声</w:t>
            </w:r>
          </w:p>
          <w:p w14:paraId="0CFBE7CE">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项目施工期噪声排放执行《建筑施工噪声排放标准》（GB 12523-2025）中规定的限值；运营期厂界噪声执行GB12348-2008《工业企业厂界环境噪声排放标准》表1中3类标准，具体标准值见表3.3-6。</w:t>
            </w:r>
          </w:p>
          <w:p w14:paraId="26FDA7D7">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表3.3-6  工业企业厂界环境噪声排放标准  单位：dB（A）</w:t>
            </w:r>
          </w:p>
          <w:tbl>
            <w:tblPr>
              <w:tblStyle w:val="3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6"/>
              <w:gridCol w:w="1366"/>
              <w:gridCol w:w="1691"/>
              <w:gridCol w:w="2104"/>
              <w:gridCol w:w="2106"/>
            </w:tblGrid>
            <w:tr w14:paraId="2EF45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91" w:type="pct"/>
                  <w:vAlign w:val="center"/>
                </w:tcPr>
                <w:p w14:paraId="75796B35">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时期</w:t>
                  </w:r>
                </w:p>
              </w:tc>
              <w:tc>
                <w:tcPr>
                  <w:tcW w:w="791" w:type="pct"/>
                  <w:vAlign w:val="center"/>
                </w:tcPr>
                <w:p w14:paraId="48550524">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类别</w:t>
                  </w:r>
                </w:p>
              </w:tc>
              <w:tc>
                <w:tcPr>
                  <w:tcW w:w="979" w:type="pct"/>
                  <w:vAlign w:val="center"/>
                </w:tcPr>
                <w:p w14:paraId="22496225">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昼间</w:t>
                  </w:r>
                </w:p>
              </w:tc>
              <w:tc>
                <w:tcPr>
                  <w:tcW w:w="1218" w:type="pct"/>
                  <w:vAlign w:val="center"/>
                </w:tcPr>
                <w:p w14:paraId="1516594B">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夜间</w:t>
                  </w:r>
                </w:p>
              </w:tc>
              <w:tc>
                <w:tcPr>
                  <w:tcW w:w="1219" w:type="pct"/>
                  <w:vAlign w:val="center"/>
                </w:tcPr>
                <w:p w14:paraId="7C2AAD08">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执行标准</w:t>
                  </w:r>
                </w:p>
              </w:tc>
            </w:tr>
            <w:tr w14:paraId="615CB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91" w:type="pct"/>
                  <w:vAlign w:val="center"/>
                </w:tcPr>
                <w:p w14:paraId="2B82884D">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施工期</w:t>
                  </w:r>
                </w:p>
              </w:tc>
              <w:tc>
                <w:tcPr>
                  <w:tcW w:w="791" w:type="pct"/>
                  <w:vAlign w:val="center"/>
                </w:tcPr>
                <w:p w14:paraId="04058AAC">
                  <w:pPr>
                    <w:adjustRightInd w:val="0"/>
                    <w:snapToGrid w:val="0"/>
                    <w:jc w:val="center"/>
                    <w:rPr>
                      <w:rFonts w:hint="default" w:ascii="Times New Roman" w:hAnsi="Times New Roman" w:cs="Times New Roman"/>
                      <w:color w:val="auto"/>
                      <w:sz w:val="21"/>
                      <w:szCs w:val="21"/>
                    </w:rPr>
                  </w:pPr>
                </w:p>
              </w:tc>
              <w:tc>
                <w:tcPr>
                  <w:tcW w:w="979" w:type="pct"/>
                  <w:vAlign w:val="center"/>
                </w:tcPr>
                <w:p w14:paraId="3BCC08D4">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w:t>
                  </w:r>
                </w:p>
              </w:tc>
              <w:tc>
                <w:tcPr>
                  <w:tcW w:w="1218" w:type="pct"/>
                  <w:vAlign w:val="center"/>
                </w:tcPr>
                <w:p w14:paraId="2EA49B3F">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55</w:t>
                  </w:r>
                </w:p>
              </w:tc>
              <w:tc>
                <w:tcPr>
                  <w:tcW w:w="1219" w:type="pct"/>
                  <w:vAlign w:val="center"/>
                </w:tcPr>
                <w:p w14:paraId="74F62FC0">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GB 12523-2025</w:t>
                  </w:r>
                </w:p>
              </w:tc>
            </w:tr>
            <w:tr w14:paraId="0CB0C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91" w:type="pct"/>
                  <w:vAlign w:val="center"/>
                </w:tcPr>
                <w:p w14:paraId="11436239">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运营期</w:t>
                  </w:r>
                </w:p>
              </w:tc>
              <w:tc>
                <w:tcPr>
                  <w:tcW w:w="791" w:type="pct"/>
                  <w:shd w:val="clear" w:color="auto" w:fill="auto"/>
                  <w:vAlign w:val="center"/>
                </w:tcPr>
                <w:p w14:paraId="6A82322D">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3类</w:t>
                  </w:r>
                </w:p>
              </w:tc>
              <w:tc>
                <w:tcPr>
                  <w:tcW w:w="979" w:type="pct"/>
                  <w:shd w:val="clear" w:color="auto" w:fill="auto"/>
                  <w:vAlign w:val="center"/>
                </w:tcPr>
                <w:p w14:paraId="7F8792AC">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65</w:t>
                  </w:r>
                </w:p>
              </w:tc>
              <w:tc>
                <w:tcPr>
                  <w:tcW w:w="1218" w:type="pct"/>
                  <w:shd w:val="clear" w:color="auto" w:fill="auto"/>
                  <w:vAlign w:val="center"/>
                </w:tcPr>
                <w:p w14:paraId="669600F0">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55</w:t>
                  </w:r>
                </w:p>
              </w:tc>
              <w:tc>
                <w:tcPr>
                  <w:tcW w:w="1219" w:type="pct"/>
                  <w:shd w:val="clear" w:color="auto" w:fill="auto"/>
                  <w:vAlign w:val="center"/>
                </w:tcPr>
                <w:p w14:paraId="55CE4241">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GB12348-2008</w:t>
                  </w:r>
                </w:p>
              </w:tc>
            </w:tr>
          </w:tbl>
          <w:p w14:paraId="364B4475">
            <w:pPr>
              <w:pStyle w:val="5"/>
              <w:keepNext w:val="0"/>
              <w:keepLines w:val="0"/>
              <w:pageBreakBefore w:val="0"/>
              <w:widowControl w:val="0"/>
              <w:kinsoku/>
              <w:wordWrap/>
              <w:overflowPunct/>
              <w:topLinePunct w:val="0"/>
              <w:autoSpaceDE/>
              <w:autoSpaceDN/>
              <w:bidi w:val="0"/>
              <w:adjustRightInd w:val="0"/>
              <w:snapToGrid w:val="0"/>
              <w:spacing w:before="115" w:beforeLines="30" w:after="189" w:afterLines="50" w:afterAutospacing="0" w:line="240" w:lineRule="auto"/>
              <w:textAlignment w:val="auto"/>
              <w:rPr>
                <w:rFonts w:hint="default" w:ascii="Times New Roman" w:hAnsi="Times New Roman" w:cs="Times New Roman"/>
                <w:color w:val="auto"/>
              </w:rPr>
            </w:pPr>
            <w:r>
              <w:rPr>
                <w:rFonts w:hint="default" w:ascii="Times New Roman" w:hAnsi="Times New Roman" w:cs="Times New Roman"/>
                <w:color w:val="auto"/>
              </w:rPr>
              <w:t>3.3.4固体废物</w:t>
            </w:r>
          </w:p>
          <w:bookmarkEnd w:id="160"/>
          <w:p w14:paraId="2F63AA2F">
            <w:pPr>
              <w:snapToGrid w:val="0"/>
              <w:spacing w:line="360" w:lineRule="auto"/>
              <w:ind w:firstLine="480" w:firstLineChars="200"/>
              <w:rPr>
                <w:rFonts w:hint="default" w:ascii="Times New Roman" w:hAnsi="Times New Roman" w:cs="Times New Roman"/>
                <w:color w:val="auto"/>
                <w:szCs w:val="21"/>
              </w:rPr>
            </w:pPr>
            <w:r>
              <w:rPr>
                <w:rFonts w:hint="default" w:ascii="Times New Roman" w:hAnsi="Times New Roman" w:cs="Times New Roman"/>
                <w:color w:val="auto"/>
                <w:sz w:val="24"/>
                <w:szCs w:val="32"/>
              </w:rPr>
              <w:t>项目一般工业固体废物贮存、处置执行《一般工业固体废物贮存和填埋污染控制标准》（GB18599-2020）、《</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"https://www.mee.gov.cn/xxgk2018/xxgk/xxgk01/202402/W020240201609764467443.pdf" </w:instrText>
            </w:r>
            <w:r>
              <w:rPr>
                <w:rFonts w:hint="default" w:ascii="Times New Roman" w:hAnsi="Times New Roman" w:cs="Times New Roman"/>
                <w:color w:val="auto"/>
              </w:rPr>
              <w:fldChar w:fldCharType="separate"/>
            </w:r>
            <w:r>
              <w:rPr>
                <w:rFonts w:hint="default" w:ascii="Times New Roman" w:hAnsi="Times New Roman" w:cs="Times New Roman"/>
                <w:color w:val="auto"/>
                <w:sz w:val="24"/>
                <w:szCs w:val="32"/>
              </w:rPr>
              <w:t>固体废物分类与代码目录</w:t>
            </w:r>
            <w:r>
              <w:rPr>
                <w:rFonts w:hint="default" w:ascii="Times New Roman" w:hAnsi="Times New Roman" w:cs="Times New Roman"/>
                <w:color w:val="auto"/>
                <w:sz w:val="24"/>
                <w:szCs w:val="32"/>
              </w:rPr>
              <w:fldChar w:fldCharType="end"/>
            </w:r>
            <w:r>
              <w:rPr>
                <w:rFonts w:hint="default" w:ascii="Times New Roman" w:hAnsi="Times New Roman" w:cs="Times New Roman"/>
                <w:color w:val="auto"/>
                <w:sz w:val="24"/>
                <w:szCs w:val="32"/>
              </w:rPr>
              <w:t>》（2024版）；危险废物在厂区内贮存执行《危险废物贮存污染控制标准》（GB18597-2023）、《危险废物管理计划和管理台账制定技术导则》（HJ1259-2022）、《危险废物识别标志设置技术规范》（HJ1276-2022）、</w:t>
            </w:r>
            <w:r>
              <w:rPr>
                <w:rFonts w:hint="default" w:ascii="Times New Roman" w:hAnsi="Times New Roman" w:cs="Times New Roman"/>
                <w:color w:val="auto"/>
                <w:sz w:val="24"/>
              </w:rPr>
              <w:t>《排污单位污染物排放口二维码标识技术规范》（HJ1297-2023）</w:t>
            </w:r>
            <w:r>
              <w:rPr>
                <w:rFonts w:hint="default" w:ascii="Times New Roman" w:hAnsi="Times New Roman" w:cs="Times New Roman"/>
                <w:color w:val="auto"/>
                <w:sz w:val="24"/>
                <w:szCs w:val="32"/>
              </w:rPr>
              <w:t>相关规定</w:t>
            </w:r>
            <w:r>
              <w:rPr>
                <w:rFonts w:hint="default" w:ascii="Times New Roman" w:hAnsi="Times New Roman" w:cs="Times New Roman"/>
                <w:color w:val="auto"/>
                <w:sz w:val="24"/>
              </w:rPr>
              <w:t>，外运处置执行《危险废物转移管理办法》（部令第23号）。</w:t>
            </w:r>
          </w:p>
        </w:tc>
      </w:tr>
      <w:tr w14:paraId="237D1F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5" w:hRule="atLeast"/>
          <w:jc w:val="center"/>
        </w:trPr>
        <w:tc>
          <w:tcPr>
            <w:tcW w:w="229" w:type="pct"/>
            <w:vAlign w:val="center"/>
          </w:tcPr>
          <w:p w14:paraId="11DE840A">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总量</w:t>
            </w:r>
          </w:p>
          <w:p w14:paraId="11DB7015">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控制</w:t>
            </w:r>
          </w:p>
          <w:p w14:paraId="65572C66">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指标</w:t>
            </w:r>
          </w:p>
        </w:tc>
        <w:tc>
          <w:tcPr>
            <w:tcW w:w="4770" w:type="pct"/>
            <w:vAlign w:val="center"/>
          </w:tcPr>
          <w:p w14:paraId="6A5B3569">
            <w:pPr>
              <w:pStyle w:val="4"/>
              <w:spacing w:before="189" w:beforeLines="50" w:after="264" w:afterLines="70"/>
              <w:rPr>
                <w:rFonts w:hint="default" w:ascii="Times New Roman" w:hAnsi="Times New Roman" w:cs="Times New Roman"/>
                <w:snapToGrid/>
                <w:color w:val="auto"/>
                <w:szCs w:val="30"/>
                <w:highlight w:val="none"/>
              </w:rPr>
            </w:pPr>
            <w:bookmarkStart w:id="161" w:name="_Toc21188"/>
            <w:bookmarkStart w:id="162" w:name="_Toc5041"/>
            <w:bookmarkStart w:id="163" w:name="_Toc29205"/>
            <w:bookmarkStart w:id="164" w:name="_Toc3670"/>
            <w:bookmarkStart w:id="165" w:name="_Toc11496"/>
            <w:bookmarkStart w:id="166" w:name="_Toc31981"/>
            <w:bookmarkStart w:id="167" w:name="_Toc4621"/>
            <w:bookmarkStart w:id="168" w:name="_Toc21778"/>
            <w:bookmarkStart w:id="169" w:name="_Toc25804"/>
            <w:r>
              <w:rPr>
                <w:rFonts w:hint="default" w:ascii="Times New Roman" w:hAnsi="Times New Roman" w:cs="Times New Roman"/>
                <w:snapToGrid/>
                <w:color w:val="auto"/>
                <w:szCs w:val="30"/>
                <w:highlight w:val="none"/>
              </w:rPr>
              <w:t>3.4总量控制</w:t>
            </w:r>
            <w:bookmarkEnd w:id="161"/>
            <w:bookmarkEnd w:id="162"/>
            <w:bookmarkEnd w:id="163"/>
            <w:bookmarkEnd w:id="164"/>
            <w:bookmarkEnd w:id="165"/>
            <w:bookmarkEnd w:id="166"/>
            <w:bookmarkEnd w:id="167"/>
            <w:bookmarkEnd w:id="168"/>
          </w:p>
          <w:p w14:paraId="2D32E91D">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根据国家和福建省总量控制基本原则及拟建工程所在地的环境要求，结合拟建工程生产特点及污染物排放状况，本评价确定二氧化硫、氮氧化物、化学需氧量、氨氮等四种主要污染物为污染物排放总量控制因子。</w:t>
            </w:r>
          </w:p>
          <w:p w14:paraId="61888CDF">
            <w:pPr>
              <w:pStyle w:val="77"/>
              <w:keepNext w:val="0"/>
              <w:keepLines w:val="0"/>
              <w:pageBreakBefore w:val="0"/>
              <w:widowControl w:val="0"/>
              <w:kinsoku/>
              <w:wordWrap/>
              <w:overflowPunct/>
              <w:topLinePunct w:val="0"/>
              <w:autoSpaceDE/>
              <w:autoSpaceDN/>
              <w:bidi w:val="0"/>
              <w:adjustRightInd w:val="0"/>
              <w:snapToGrid w:val="0"/>
              <w:spacing w:before="115" w:beforeLines="30" w:line="360" w:lineRule="auto"/>
              <w:ind w:firstLine="0" w:firstLineChars="0"/>
              <w:textAlignment w:val="auto"/>
              <w:rPr>
                <w:rFonts w:hint="default" w:ascii="Times New Roman" w:hAnsi="Times New Roman" w:eastAsia="黑体" w:cs="Times New Roman"/>
                <w:snapToGrid w:val="0"/>
                <w:color w:val="auto"/>
                <w:kern w:val="2"/>
                <w:sz w:val="28"/>
                <w:szCs w:val="24"/>
                <w:lang w:val="en-US" w:eastAsia="zh-CN" w:bidi="ar-SA"/>
              </w:rPr>
            </w:pPr>
            <w:r>
              <w:rPr>
                <w:rFonts w:hint="default" w:ascii="Times New Roman" w:hAnsi="Times New Roman" w:eastAsia="黑体" w:cs="Times New Roman"/>
                <w:snapToGrid w:val="0"/>
                <w:color w:val="auto"/>
                <w:kern w:val="2"/>
                <w:sz w:val="28"/>
                <w:szCs w:val="24"/>
                <w:lang w:val="en-US" w:eastAsia="zh-CN" w:bidi="ar-SA"/>
              </w:rPr>
              <w:t>3.4.1 废水总量控制指标</w:t>
            </w:r>
          </w:p>
          <w:p w14:paraId="29E51B59">
            <w:pPr>
              <w:pStyle w:val="153"/>
              <w:ind w:firstLine="480"/>
              <w:rPr>
                <w:rFonts w:hint="default" w:ascii="Times New Roman" w:hAnsi="Times New Roman" w:cs="Times New Roman"/>
                <w:color w:val="auto"/>
              </w:rPr>
            </w:pPr>
            <w:r>
              <w:rPr>
                <w:rFonts w:hint="default" w:ascii="Times New Roman" w:hAnsi="Times New Roman" w:cs="Times New Roman"/>
                <w:color w:val="auto"/>
                <w:kern w:val="0"/>
                <w:szCs w:val="20"/>
              </w:rPr>
              <w:t>1.生产</w:t>
            </w:r>
            <w:r>
              <w:rPr>
                <w:rFonts w:hint="default" w:ascii="Times New Roman" w:hAnsi="Times New Roman" w:cs="Times New Roman"/>
                <w:color w:val="auto"/>
              </w:rPr>
              <w:t>废水</w:t>
            </w:r>
          </w:p>
          <w:p w14:paraId="235EC28C">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拟建项目</w:t>
            </w:r>
            <w:r>
              <w:rPr>
                <w:rFonts w:hint="default" w:ascii="Times New Roman" w:hAnsi="Times New Roman" w:cs="Times New Roman"/>
                <w:color w:val="auto"/>
                <w:sz w:val="24"/>
                <w:lang w:val="en-US" w:eastAsia="zh-CN"/>
              </w:rPr>
              <w:t>生产废水经过厂区污水处理站</w:t>
            </w:r>
            <w:r>
              <w:rPr>
                <w:rFonts w:hint="default" w:ascii="Times New Roman" w:hAnsi="Times New Roman" w:cs="Times New Roman"/>
                <w:color w:val="auto"/>
                <w:sz w:val="24"/>
              </w:rPr>
              <w:t>处理达标后排入市政污水管网，本项目新增生产废水排放总量</w:t>
            </w:r>
            <w:r>
              <w:rPr>
                <w:rFonts w:hint="default" w:ascii="Times New Roman" w:hAnsi="Times New Roman" w:cs="Times New Roman"/>
                <w:color w:val="auto"/>
                <w:sz w:val="24"/>
                <w:lang w:val="en-US" w:eastAsia="zh-CN"/>
              </w:rPr>
              <w:t>52496.25t/a</w:t>
            </w:r>
            <w:r>
              <w:rPr>
                <w:rFonts w:hint="default" w:ascii="Times New Roman" w:hAnsi="Times New Roman" w:cs="Times New Roman"/>
                <w:color w:val="auto"/>
                <w:sz w:val="24"/>
              </w:rPr>
              <w:t>，新增生产废水污染物排放总量结果见表3.</w:t>
            </w:r>
            <w:r>
              <w:rPr>
                <w:rFonts w:hint="default" w:ascii="Times New Roman" w:hAnsi="Times New Roman" w:cs="Times New Roman"/>
                <w:color w:val="auto"/>
                <w:sz w:val="24"/>
                <w:lang w:val="en-US" w:eastAsia="zh-CN"/>
              </w:rPr>
              <w:t>4</w:t>
            </w:r>
            <w:r>
              <w:rPr>
                <w:rFonts w:hint="default" w:ascii="Times New Roman" w:hAnsi="Times New Roman" w:cs="Times New Roman"/>
                <w:color w:val="auto"/>
                <w:sz w:val="24"/>
              </w:rPr>
              <w:t>-1。</w:t>
            </w:r>
          </w:p>
          <w:p w14:paraId="46256111">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表3.</w:t>
            </w:r>
            <w:r>
              <w:rPr>
                <w:rFonts w:hint="default" w:ascii="Times New Roman" w:hAnsi="Times New Roman" w:eastAsia="黑体" w:cs="Times New Roman"/>
                <w:b w:val="0"/>
                <w:bCs/>
                <w:color w:val="auto"/>
                <w:lang w:val="en-US" w:eastAsia="zh-CN"/>
              </w:rPr>
              <w:t>4</w:t>
            </w:r>
            <w:r>
              <w:rPr>
                <w:rFonts w:hint="default" w:ascii="Times New Roman" w:hAnsi="Times New Roman" w:eastAsia="黑体" w:cs="Times New Roman"/>
                <w:b w:val="0"/>
                <w:bCs/>
                <w:color w:val="auto"/>
              </w:rPr>
              <w:t>-1  废水污染物排放总量控制</w:t>
            </w:r>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9"/>
              <w:gridCol w:w="2530"/>
              <w:gridCol w:w="2594"/>
              <w:gridCol w:w="2100"/>
            </w:tblGrid>
            <w:tr w14:paraId="2F7C7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2281" w:type="pct"/>
                  <w:gridSpan w:val="2"/>
                  <w:tcBorders>
                    <w:tl2br w:val="nil"/>
                    <w:tr2bl w:val="nil"/>
                  </w:tcBorders>
                  <w:vAlign w:val="center"/>
                </w:tcPr>
                <w:p w14:paraId="0A2B8A89">
                  <w:pPr>
                    <w:pStyle w:val="154"/>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w:t>
                  </w:r>
                </w:p>
              </w:tc>
              <w:tc>
                <w:tcPr>
                  <w:tcW w:w="1502" w:type="pct"/>
                  <w:tcBorders>
                    <w:tl2br w:val="nil"/>
                    <w:tr2bl w:val="nil"/>
                  </w:tcBorders>
                  <w:vAlign w:val="center"/>
                </w:tcPr>
                <w:p w14:paraId="0EB146D4">
                  <w:pPr>
                    <w:pStyle w:val="154"/>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排放标准（mg/L）</w:t>
                  </w:r>
                </w:p>
              </w:tc>
              <w:tc>
                <w:tcPr>
                  <w:tcW w:w="1216" w:type="pct"/>
                  <w:tcBorders>
                    <w:tl2br w:val="nil"/>
                    <w:tr2bl w:val="nil"/>
                  </w:tcBorders>
                  <w:vAlign w:val="center"/>
                </w:tcPr>
                <w:p w14:paraId="4CE66885">
                  <w:pPr>
                    <w:pStyle w:val="154"/>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排放量（t/a）</w:t>
                  </w:r>
                </w:p>
              </w:tc>
            </w:tr>
            <w:tr w14:paraId="1A51A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16" w:type="pct"/>
                  <w:vMerge w:val="restart"/>
                  <w:tcBorders>
                    <w:tl2br w:val="nil"/>
                    <w:tr2bl w:val="nil"/>
                  </w:tcBorders>
                  <w:vAlign w:val="center"/>
                </w:tcPr>
                <w:p w14:paraId="23794EB2">
                  <w:pPr>
                    <w:pStyle w:val="154"/>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废水</w:t>
                  </w:r>
                </w:p>
              </w:tc>
              <w:tc>
                <w:tcPr>
                  <w:tcW w:w="1465" w:type="pct"/>
                  <w:tcBorders>
                    <w:tl2br w:val="nil"/>
                    <w:tr2bl w:val="nil"/>
                  </w:tcBorders>
                  <w:vAlign w:val="center"/>
                </w:tcPr>
                <w:p w14:paraId="27FAF657">
                  <w:pPr>
                    <w:pStyle w:val="154"/>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化学需氧量</w:t>
                  </w:r>
                </w:p>
              </w:tc>
              <w:tc>
                <w:tcPr>
                  <w:tcW w:w="1502" w:type="pct"/>
                  <w:tcBorders>
                    <w:tl2br w:val="nil"/>
                    <w:tr2bl w:val="nil"/>
                  </w:tcBorders>
                  <w:shd w:val="clear" w:color="auto" w:fill="auto"/>
                  <w:vAlign w:val="center"/>
                </w:tcPr>
                <w:p w14:paraId="5586346C">
                  <w:pPr>
                    <w:pStyle w:val="155"/>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216" w:type="pct"/>
                  <w:tcBorders>
                    <w:tl2br w:val="nil"/>
                    <w:tr2bl w:val="nil"/>
                  </w:tcBorders>
                  <w:shd w:val="clear" w:color="auto" w:fill="auto"/>
                  <w:vAlign w:val="center"/>
                </w:tcPr>
                <w:p w14:paraId="27ABA311">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2.625</w:t>
                  </w:r>
                </w:p>
              </w:tc>
            </w:tr>
            <w:tr w14:paraId="6A5E6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16" w:type="pct"/>
                  <w:vMerge w:val="continue"/>
                  <w:tcBorders>
                    <w:tl2br w:val="nil"/>
                    <w:tr2bl w:val="nil"/>
                  </w:tcBorders>
                  <w:vAlign w:val="center"/>
                </w:tcPr>
                <w:p w14:paraId="24B39DA8">
                  <w:pPr>
                    <w:pStyle w:val="154"/>
                    <w:spacing w:line="240" w:lineRule="auto"/>
                    <w:ind w:firstLine="0" w:firstLineChars="0"/>
                    <w:jc w:val="center"/>
                    <w:rPr>
                      <w:rFonts w:hint="default" w:ascii="Times New Roman" w:hAnsi="Times New Roman" w:cs="Times New Roman"/>
                      <w:color w:val="auto"/>
                      <w:sz w:val="21"/>
                      <w:szCs w:val="21"/>
                    </w:rPr>
                  </w:pPr>
                </w:p>
              </w:tc>
              <w:tc>
                <w:tcPr>
                  <w:tcW w:w="1465" w:type="pct"/>
                  <w:tcBorders>
                    <w:tl2br w:val="nil"/>
                    <w:tr2bl w:val="nil"/>
                  </w:tcBorders>
                  <w:vAlign w:val="center"/>
                </w:tcPr>
                <w:p w14:paraId="06A09888">
                  <w:pPr>
                    <w:pStyle w:val="154"/>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w:t>
                  </w:r>
                </w:p>
              </w:tc>
              <w:tc>
                <w:tcPr>
                  <w:tcW w:w="1502" w:type="pct"/>
                  <w:tcBorders>
                    <w:tl2br w:val="nil"/>
                    <w:tr2bl w:val="nil"/>
                  </w:tcBorders>
                  <w:shd w:val="clear" w:color="auto" w:fill="auto"/>
                  <w:vAlign w:val="center"/>
                </w:tcPr>
                <w:p w14:paraId="210592D0">
                  <w:pPr>
                    <w:pStyle w:val="155"/>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5</w:t>
                  </w:r>
                </w:p>
              </w:tc>
              <w:tc>
                <w:tcPr>
                  <w:tcW w:w="1216" w:type="pct"/>
                  <w:tcBorders>
                    <w:tl2br w:val="nil"/>
                    <w:tr2bl w:val="nil"/>
                  </w:tcBorders>
                  <w:shd w:val="clear" w:color="auto" w:fill="auto"/>
                  <w:vAlign w:val="center"/>
                </w:tcPr>
                <w:p w14:paraId="487D7B3E">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0.262</w:t>
                  </w:r>
                </w:p>
              </w:tc>
            </w:tr>
          </w:tbl>
          <w:p w14:paraId="6FA44BF6">
            <w:pPr>
              <w:pStyle w:val="153"/>
              <w:keepNext w:val="0"/>
              <w:keepLines w:val="0"/>
              <w:pageBreakBefore w:val="0"/>
              <w:widowControl w:val="0"/>
              <w:kinsoku/>
              <w:wordWrap/>
              <w:overflowPunct/>
              <w:topLinePunct w:val="0"/>
              <w:autoSpaceDE/>
              <w:autoSpaceDN/>
              <w:bidi w:val="0"/>
              <w:adjustRightInd/>
              <w:snapToGrid/>
              <w:spacing w:before="115" w:beforeLines="30"/>
              <w:ind w:firstLine="480"/>
              <w:textAlignment w:val="auto"/>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2.生活污水</w:t>
            </w:r>
          </w:p>
          <w:p w14:paraId="730747AC">
            <w:pPr>
              <w:widowControl/>
              <w:adjustRightInd w:val="0"/>
              <w:snapToGrid w:val="0"/>
              <w:spacing w:line="360" w:lineRule="auto"/>
              <w:ind w:firstLine="480" w:firstLineChars="200"/>
              <w:rPr>
                <w:rFonts w:hint="default" w:ascii="Times New Roman" w:hAnsi="Times New Roman" w:cs="Times New Roman"/>
                <w:color w:val="auto"/>
              </w:rPr>
            </w:pPr>
            <w:r>
              <w:rPr>
                <w:rFonts w:hint="default" w:ascii="Times New Roman" w:hAnsi="Times New Roman" w:cs="Times New Roman"/>
                <w:color w:val="auto"/>
                <w:kern w:val="0"/>
                <w:sz w:val="24"/>
                <w:szCs w:val="20"/>
              </w:rPr>
              <w:t>拟建项目生活污水均经化粪池处理后通过市政污水管网排入沙县金古北片区污水处理厂统一处理</w:t>
            </w:r>
            <w:r>
              <w:rPr>
                <w:rFonts w:hint="default" w:ascii="Times New Roman" w:hAnsi="Times New Roman" w:cs="Times New Roman"/>
                <w:color w:val="auto"/>
                <w:kern w:val="0"/>
                <w:sz w:val="24"/>
                <w:szCs w:val="20"/>
                <w:lang w:eastAsia="zh-CN"/>
              </w:rPr>
              <w:t>，</w:t>
            </w:r>
            <w:r>
              <w:rPr>
                <w:rFonts w:hint="default" w:ascii="Times New Roman" w:hAnsi="Times New Roman" w:cs="Times New Roman"/>
                <w:color w:val="auto"/>
                <w:kern w:val="0"/>
                <w:sz w:val="24"/>
                <w:szCs w:val="20"/>
                <w:lang w:val="en-US" w:eastAsia="zh-CN"/>
              </w:rPr>
              <w:t>化学需氧量和氨氮总量</w:t>
            </w:r>
            <w:r>
              <w:rPr>
                <w:rFonts w:hint="default" w:ascii="Times New Roman" w:hAnsi="Times New Roman" w:cs="Times New Roman"/>
                <w:color w:val="auto"/>
                <w:kern w:val="0"/>
                <w:sz w:val="24"/>
                <w:szCs w:val="20"/>
              </w:rPr>
              <w:t>由沙县金古北片区污水处理厂统一调配。</w:t>
            </w:r>
          </w:p>
          <w:p w14:paraId="416970FE">
            <w:pPr>
              <w:pStyle w:val="77"/>
              <w:keepNext w:val="0"/>
              <w:keepLines w:val="0"/>
              <w:pageBreakBefore w:val="0"/>
              <w:widowControl w:val="0"/>
              <w:kinsoku/>
              <w:wordWrap/>
              <w:overflowPunct/>
              <w:topLinePunct w:val="0"/>
              <w:autoSpaceDE/>
              <w:autoSpaceDN/>
              <w:bidi w:val="0"/>
              <w:adjustRightInd w:val="0"/>
              <w:snapToGrid w:val="0"/>
              <w:spacing w:before="115" w:beforeLines="30" w:line="360" w:lineRule="auto"/>
              <w:ind w:firstLine="0" w:firstLineChars="0"/>
              <w:textAlignment w:val="auto"/>
              <w:rPr>
                <w:rFonts w:hint="default" w:ascii="Times New Roman" w:hAnsi="Times New Roman" w:eastAsia="黑体" w:cs="Times New Roman"/>
                <w:snapToGrid w:val="0"/>
                <w:color w:val="auto"/>
                <w:kern w:val="2"/>
                <w:sz w:val="28"/>
                <w:szCs w:val="24"/>
                <w:lang w:val="en-US" w:eastAsia="zh-CN" w:bidi="ar-SA"/>
              </w:rPr>
            </w:pPr>
            <w:r>
              <w:rPr>
                <w:rFonts w:hint="default" w:ascii="Times New Roman" w:hAnsi="Times New Roman" w:eastAsia="黑体" w:cs="Times New Roman"/>
                <w:snapToGrid w:val="0"/>
                <w:color w:val="auto"/>
                <w:kern w:val="2"/>
                <w:sz w:val="28"/>
                <w:szCs w:val="24"/>
                <w:lang w:val="en-US" w:eastAsia="zh-CN" w:bidi="ar-SA"/>
              </w:rPr>
              <w:t>3.4.2 废气总量控制指标</w:t>
            </w:r>
          </w:p>
          <w:p w14:paraId="5C675223">
            <w:pPr>
              <w:widowControl/>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kern w:val="0"/>
                <w:sz w:val="24"/>
              </w:rPr>
              <w:t>根据生态环境部对重点污染物总量控制的要求，我省主要废气污染物排放总量指标为NOx、SO</w:t>
            </w:r>
            <w:r>
              <w:rPr>
                <w:rFonts w:hint="default" w:ascii="Times New Roman" w:hAnsi="Times New Roman" w:cs="Times New Roman"/>
                <w:color w:val="auto"/>
                <w:kern w:val="0"/>
                <w:sz w:val="24"/>
                <w:vertAlign w:val="subscript"/>
              </w:rPr>
              <w:t>2</w:t>
            </w:r>
            <w:r>
              <w:rPr>
                <w:rFonts w:hint="default" w:ascii="Times New Roman" w:hAnsi="Times New Roman" w:cs="Times New Roman"/>
                <w:color w:val="auto"/>
                <w:kern w:val="0"/>
                <w:sz w:val="24"/>
              </w:rPr>
              <w:t>。</w:t>
            </w:r>
            <w:r>
              <w:rPr>
                <w:rFonts w:hint="default" w:ascii="Times New Roman" w:hAnsi="Times New Roman" w:cs="Times New Roman"/>
                <w:color w:val="auto"/>
                <w:sz w:val="24"/>
              </w:rPr>
              <w:t>拟建项目废气污染物排放量见表3.</w:t>
            </w:r>
            <w:r>
              <w:rPr>
                <w:rFonts w:hint="default" w:ascii="Times New Roman" w:hAnsi="Times New Roman" w:cs="Times New Roman"/>
                <w:color w:val="auto"/>
                <w:sz w:val="24"/>
                <w:lang w:val="en-US" w:eastAsia="zh-CN"/>
              </w:rPr>
              <w:t>4</w:t>
            </w:r>
            <w:r>
              <w:rPr>
                <w:rFonts w:hint="default" w:ascii="Times New Roman" w:hAnsi="Times New Roman" w:cs="Times New Roman"/>
                <w:color w:val="auto"/>
                <w:sz w:val="24"/>
              </w:rPr>
              <w:t>-2。</w:t>
            </w:r>
          </w:p>
          <w:p w14:paraId="03235F28">
            <w:pPr>
              <w:bidi w:val="0"/>
              <w:rPr>
                <w:rFonts w:hint="default"/>
                <w:color w:val="auto"/>
              </w:rPr>
            </w:pPr>
          </w:p>
          <w:p w14:paraId="3D438EAB">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表3.</w:t>
            </w:r>
            <w:r>
              <w:rPr>
                <w:rFonts w:hint="default" w:ascii="Times New Roman" w:hAnsi="Times New Roman" w:eastAsia="黑体" w:cs="Times New Roman"/>
                <w:b w:val="0"/>
                <w:bCs/>
                <w:color w:val="auto"/>
                <w:lang w:val="en-US" w:eastAsia="zh-CN"/>
              </w:rPr>
              <w:t>4</w:t>
            </w:r>
            <w:r>
              <w:rPr>
                <w:rFonts w:hint="default" w:ascii="Times New Roman" w:hAnsi="Times New Roman" w:eastAsia="黑体" w:cs="Times New Roman"/>
                <w:b w:val="0"/>
                <w:bCs/>
                <w:color w:val="auto"/>
              </w:rPr>
              <w:t>-2  拟建项目废气污染物排放量</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0"/>
              <w:gridCol w:w="2587"/>
              <w:gridCol w:w="1482"/>
              <w:gridCol w:w="3394"/>
            </w:tblGrid>
            <w:tr w14:paraId="6DECB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2176" w:type="pct"/>
                  <w:gridSpan w:val="2"/>
                  <w:tcBorders>
                    <w:tl2br w:val="nil"/>
                    <w:tr2bl w:val="nil"/>
                  </w:tcBorders>
                  <w:tcMar>
                    <w:left w:w="6" w:type="dxa"/>
                    <w:right w:w="6" w:type="dxa"/>
                  </w:tcMar>
                  <w:vAlign w:val="center"/>
                </w:tcPr>
                <w:p w14:paraId="28F84EEA">
                  <w:pPr>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项目</w:t>
                  </w:r>
                </w:p>
              </w:tc>
              <w:tc>
                <w:tcPr>
                  <w:tcW w:w="858" w:type="pct"/>
                  <w:tcBorders>
                    <w:tl2br w:val="nil"/>
                    <w:tr2bl w:val="nil"/>
                  </w:tcBorders>
                  <w:tcMar>
                    <w:left w:w="6" w:type="dxa"/>
                    <w:right w:w="6" w:type="dxa"/>
                  </w:tcMar>
                  <w:vAlign w:val="center"/>
                </w:tcPr>
                <w:p w14:paraId="00E435B1">
                  <w:pPr>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单位</w:t>
                  </w:r>
                </w:p>
              </w:tc>
              <w:tc>
                <w:tcPr>
                  <w:tcW w:w="1965" w:type="pct"/>
                  <w:tcBorders>
                    <w:tl2br w:val="nil"/>
                    <w:tr2bl w:val="nil"/>
                  </w:tcBorders>
                  <w:tcMar>
                    <w:left w:w="6" w:type="dxa"/>
                    <w:right w:w="6" w:type="dxa"/>
                  </w:tcMar>
                  <w:vAlign w:val="center"/>
                </w:tcPr>
                <w:p w14:paraId="0225F04C">
                  <w:pPr>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拟建项目</w:t>
                  </w:r>
                  <w:r>
                    <w:rPr>
                      <w:rFonts w:hint="default" w:ascii="Times New Roman" w:hAnsi="Times New Roman" w:cs="Times New Roman"/>
                      <w:color w:val="auto"/>
                      <w:kern w:val="0"/>
                      <w:szCs w:val="21"/>
                      <w:lang w:bidi="ar"/>
                    </w:rPr>
                    <w:t>新增</w:t>
                  </w:r>
                  <w:r>
                    <w:rPr>
                      <w:rFonts w:hint="default" w:ascii="Times New Roman" w:hAnsi="Times New Roman" w:cs="Times New Roman"/>
                      <w:color w:val="auto"/>
                      <w:szCs w:val="21"/>
                    </w:rPr>
                    <w:t>排放量</w:t>
                  </w:r>
                </w:p>
              </w:tc>
            </w:tr>
            <w:tr w14:paraId="40ECC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678" w:type="pct"/>
                  <w:vMerge w:val="restart"/>
                  <w:tcBorders>
                    <w:tl2br w:val="nil"/>
                    <w:tr2bl w:val="nil"/>
                  </w:tcBorders>
                  <w:tcMar>
                    <w:left w:w="6" w:type="dxa"/>
                    <w:right w:w="6" w:type="dxa"/>
                  </w:tcMar>
                  <w:vAlign w:val="center"/>
                </w:tcPr>
                <w:p w14:paraId="033BFDF8">
                  <w:pPr>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废气</w:t>
                  </w:r>
                </w:p>
              </w:tc>
              <w:tc>
                <w:tcPr>
                  <w:tcW w:w="1498" w:type="pct"/>
                  <w:tcBorders>
                    <w:tl2br w:val="nil"/>
                    <w:tr2bl w:val="nil"/>
                  </w:tcBorders>
                  <w:shd w:val="clear" w:color="auto" w:fill="auto"/>
                  <w:tcMar>
                    <w:left w:w="6" w:type="dxa"/>
                    <w:right w:w="6" w:type="dxa"/>
                  </w:tcMar>
                  <w:vAlign w:val="center"/>
                </w:tcPr>
                <w:p w14:paraId="24FB4D5E">
                  <w:pPr>
                    <w:widowControl/>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0"/>
                      <w:szCs w:val="21"/>
                    </w:rPr>
                    <w:t>二氧化硫</w:t>
                  </w:r>
                </w:p>
              </w:tc>
              <w:tc>
                <w:tcPr>
                  <w:tcW w:w="858" w:type="pct"/>
                  <w:tcBorders>
                    <w:tl2br w:val="nil"/>
                    <w:tr2bl w:val="nil"/>
                  </w:tcBorders>
                  <w:shd w:val="clear" w:color="auto" w:fill="auto"/>
                  <w:tcMar>
                    <w:left w:w="6" w:type="dxa"/>
                    <w:right w:w="6" w:type="dxa"/>
                  </w:tcMar>
                  <w:vAlign w:val="center"/>
                </w:tcPr>
                <w:p w14:paraId="741C1680">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t/a</w:t>
                  </w:r>
                </w:p>
              </w:tc>
              <w:tc>
                <w:tcPr>
                  <w:tcW w:w="1965" w:type="pct"/>
                  <w:tcBorders>
                    <w:tl2br w:val="nil"/>
                    <w:tr2bl w:val="nil"/>
                  </w:tcBorders>
                  <w:shd w:val="clear" w:color="auto" w:fill="auto"/>
                  <w:tcMar>
                    <w:left w:w="6" w:type="dxa"/>
                    <w:right w:w="6" w:type="dxa"/>
                  </w:tcMar>
                  <w:vAlign w:val="center"/>
                </w:tcPr>
                <w:p w14:paraId="68D56BB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0.180</w:t>
                  </w:r>
                </w:p>
              </w:tc>
            </w:tr>
            <w:tr w14:paraId="2B211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678" w:type="pct"/>
                  <w:vMerge w:val="continue"/>
                  <w:tcBorders>
                    <w:tl2br w:val="nil"/>
                    <w:tr2bl w:val="nil"/>
                  </w:tcBorders>
                  <w:tcMar>
                    <w:left w:w="6" w:type="dxa"/>
                    <w:right w:w="6" w:type="dxa"/>
                  </w:tcMar>
                  <w:vAlign w:val="center"/>
                </w:tcPr>
                <w:p w14:paraId="6CDFF452">
                  <w:pPr>
                    <w:snapToGrid w:val="0"/>
                    <w:jc w:val="center"/>
                    <w:rPr>
                      <w:rFonts w:hint="default" w:ascii="Times New Roman" w:hAnsi="Times New Roman" w:cs="Times New Roman"/>
                      <w:color w:val="auto"/>
                      <w:szCs w:val="21"/>
                    </w:rPr>
                  </w:pPr>
                </w:p>
              </w:tc>
              <w:tc>
                <w:tcPr>
                  <w:tcW w:w="1498" w:type="pct"/>
                  <w:tcBorders>
                    <w:tl2br w:val="nil"/>
                    <w:tr2bl w:val="nil"/>
                  </w:tcBorders>
                  <w:shd w:val="clear" w:color="auto" w:fill="auto"/>
                  <w:tcMar>
                    <w:left w:w="6" w:type="dxa"/>
                    <w:right w:w="6" w:type="dxa"/>
                  </w:tcMar>
                  <w:vAlign w:val="center"/>
                </w:tcPr>
                <w:p w14:paraId="65F71DE0">
                  <w:pPr>
                    <w:widowControl/>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0"/>
                      <w:szCs w:val="21"/>
                    </w:rPr>
                    <w:t>氮氧化物</w:t>
                  </w:r>
                </w:p>
              </w:tc>
              <w:tc>
                <w:tcPr>
                  <w:tcW w:w="858" w:type="pct"/>
                  <w:tcBorders>
                    <w:tl2br w:val="nil"/>
                    <w:tr2bl w:val="nil"/>
                  </w:tcBorders>
                  <w:shd w:val="clear" w:color="auto" w:fill="auto"/>
                  <w:tcMar>
                    <w:left w:w="6" w:type="dxa"/>
                    <w:right w:w="6" w:type="dxa"/>
                  </w:tcMar>
                  <w:vAlign w:val="center"/>
                </w:tcPr>
                <w:p w14:paraId="24CDD395">
                  <w:pPr>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t/a</w:t>
                  </w:r>
                </w:p>
              </w:tc>
              <w:tc>
                <w:tcPr>
                  <w:tcW w:w="1965" w:type="pct"/>
                  <w:tcBorders>
                    <w:tl2br w:val="nil"/>
                    <w:tr2bl w:val="nil"/>
                  </w:tcBorders>
                  <w:shd w:val="clear" w:color="auto" w:fill="auto"/>
                  <w:tcMar>
                    <w:left w:w="6" w:type="dxa"/>
                    <w:right w:w="6" w:type="dxa"/>
                  </w:tcMar>
                  <w:vAlign w:val="center"/>
                </w:tcPr>
                <w:p w14:paraId="45E3101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1.684</w:t>
                  </w:r>
                </w:p>
              </w:tc>
            </w:tr>
          </w:tbl>
          <w:p w14:paraId="6314A6CF">
            <w:pPr>
              <w:pStyle w:val="77"/>
              <w:keepNext w:val="0"/>
              <w:keepLines w:val="0"/>
              <w:pageBreakBefore w:val="0"/>
              <w:widowControl w:val="0"/>
              <w:kinsoku/>
              <w:wordWrap/>
              <w:overflowPunct/>
              <w:topLinePunct w:val="0"/>
              <w:autoSpaceDE/>
              <w:autoSpaceDN/>
              <w:bidi w:val="0"/>
              <w:adjustRightInd w:val="0"/>
              <w:snapToGrid w:val="0"/>
              <w:spacing w:before="304" w:beforeLines="80" w:line="360" w:lineRule="auto"/>
              <w:ind w:firstLine="0" w:firstLineChars="0"/>
              <w:textAlignment w:val="auto"/>
              <w:rPr>
                <w:rFonts w:hint="default" w:ascii="Times New Roman" w:hAnsi="Times New Roman" w:eastAsia="黑体" w:cs="Times New Roman"/>
                <w:snapToGrid w:val="0"/>
                <w:color w:val="auto"/>
                <w:kern w:val="2"/>
                <w:sz w:val="28"/>
                <w:szCs w:val="24"/>
                <w:lang w:val="en-US" w:eastAsia="zh-CN" w:bidi="ar-SA"/>
              </w:rPr>
            </w:pPr>
            <w:r>
              <w:rPr>
                <w:rFonts w:hint="default" w:ascii="Times New Roman" w:hAnsi="Times New Roman" w:eastAsia="黑体" w:cs="Times New Roman"/>
                <w:snapToGrid w:val="0"/>
                <w:color w:val="auto"/>
                <w:kern w:val="2"/>
                <w:sz w:val="28"/>
                <w:szCs w:val="24"/>
                <w:lang w:val="en-US" w:eastAsia="zh-CN" w:bidi="ar-SA"/>
              </w:rPr>
              <w:t>3.4.3 拟建项目总量控制指标</w:t>
            </w:r>
          </w:p>
          <w:p w14:paraId="0FB6136E">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表3.</w:t>
            </w:r>
            <w:r>
              <w:rPr>
                <w:rFonts w:hint="default" w:ascii="Times New Roman" w:hAnsi="Times New Roman" w:eastAsia="黑体" w:cs="Times New Roman"/>
                <w:b w:val="0"/>
                <w:bCs/>
                <w:color w:val="auto"/>
                <w:lang w:val="en-US" w:eastAsia="zh-CN"/>
              </w:rPr>
              <w:t>4</w:t>
            </w:r>
            <w:r>
              <w:rPr>
                <w:rFonts w:hint="default" w:ascii="Times New Roman" w:hAnsi="Times New Roman" w:eastAsia="黑体" w:cs="Times New Roman"/>
                <w:b w:val="0"/>
                <w:bCs/>
                <w:color w:val="auto"/>
              </w:rPr>
              <w:t>-3  拟建项目建成后的总量控制指标</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03"/>
              <w:gridCol w:w="1549"/>
              <w:gridCol w:w="596"/>
              <w:gridCol w:w="1309"/>
              <w:gridCol w:w="1257"/>
              <w:gridCol w:w="979"/>
              <w:gridCol w:w="1014"/>
              <w:gridCol w:w="1024"/>
            </w:tblGrid>
            <w:tr w14:paraId="0E47C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6" w:hRule="atLeast"/>
                <w:tblHeader/>
                <w:jc w:val="center"/>
              </w:trPr>
              <w:tc>
                <w:tcPr>
                  <w:tcW w:w="523" w:type="pct"/>
                  <w:tcBorders>
                    <w:tl2br w:val="nil"/>
                    <w:tr2bl w:val="nil"/>
                  </w:tcBorders>
                  <w:tcMar>
                    <w:top w:w="15" w:type="dxa"/>
                    <w:left w:w="15" w:type="dxa"/>
                    <w:right w:w="15" w:type="dxa"/>
                  </w:tcMar>
                  <w:vAlign w:val="center"/>
                </w:tcPr>
                <w:p w14:paraId="59D8E907">
                  <w:pPr>
                    <w:widowControl/>
                    <w:snapToGrid w:val="0"/>
                    <w:spacing w:line="24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污染源</w:t>
                  </w:r>
                </w:p>
              </w:tc>
              <w:tc>
                <w:tcPr>
                  <w:tcW w:w="897" w:type="pct"/>
                  <w:tcBorders>
                    <w:tl2br w:val="nil"/>
                    <w:tr2bl w:val="nil"/>
                  </w:tcBorders>
                  <w:tcMar>
                    <w:top w:w="15" w:type="dxa"/>
                    <w:left w:w="15" w:type="dxa"/>
                    <w:right w:w="15" w:type="dxa"/>
                  </w:tcMar>
                  <w:vAlign w:val="center"/>
                </w:tcPr>
                <w:p w14:paraId="5690B5A5">
                  <w:pPr>
                    <w:widowControl/>
                    <w:snapToGrid w:val="0"/>
                    <w:spacing w:line="24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污染物</w:t>
                  </w:r>
                </w:p>
              </w:tc>
              <w:tc>
                <w:tcPr>
                  <w:tcW w:w="345" w:type="pct"/>
                  <w:tcBorders>
                    <w:tl2br w:val="nil"/>
                    <w:tr2bl w:val="nil"/>
                  </w:tcBorders>
                  <w:tcMar>
                    <w:top w:w="15" w:type="dxa"/>
                    <w:left w:w="15" w:type="dxa"/>
                    <w:right w:w="15" w:type="dxa"/>
                  </w:tcMar>
                  <w:vAlign w:val="center"/>
                </w:tcPr>
                <w:p w14:paraId="0C53128F">
                  <w:pPr>
                    <w:widowControl/>
                    <w:snapToGrid w:val="0"/>
                    <w:spacing w:line="24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单位</w:t>
                  </w:r>
                </w:p>
              </w:tc>
              <w:tc>
                <w:tcPr>
                  <w:tcW w:w="758" w:type="pct"/>
                  <w:tcBorders>
                    <w:tl2br w:val="nil"/>
                    <w:tr2bl w:val="nil"/>
                  </w:tcBorders>
                  <w:tcMar>
                    <w:top w:w="15" w:type="dxa"/>
                    <w:left w:w="15" w:type="dxa"/>
                    <w:right w:w="15" w:type="dxa"/>
                  </w:tcMar>
                  <w:vAlign w:val="center"/>
                </w:tcPr>
                <w:p w14:paraId="671037DC">
                  <w:pPr>
                    <w:widowControl/>
                    <w:snapToGrid w:val="0"/>
                    <w:spacing w:line="240" w:lineRule="exact"/>
                    <w:jc w:val="center"/>
                    <w:textAlignment w:val="center"/>
                    <w:rPr>
                      <w:rFonts w:hint="default" w:ascii="Times New Roman" w:hAnsi="Times New Roman" w:eastAsia="宋体" w:cs="Times New Roman"/>
                      <w:color w:val="auto"/>
                      <w:kern w:val="0"/>
                      <w:szCs w:val="21"/>
                      <w:lang w:eastAsia="zh-CN" w:bidi="ar"/>
                    </w:rPr>
                  </w:pPr>
                  <w:r>
                    <w:rPr>
                      <w:rFonts w:hint="default" w:ascii="Times New Roman" w:hAnsi="Times New Roman" w:cs="Times New Roman"/>
                      <w:color w:val="auto"/>
                      <w:kern w:val="0"/>
                      <w:szCs w:val="21"/>
                      <w:lang w:bidi="ar"/>
                    </w:rPr>
                    <w:t>现有工程</w:t>
                  </w:r>
                  <w:r>
                    <w:rPr>
                      <w:rFonts w:hint="default" w:ascii="Times New Roman" w:hAnsi="Times New Roman" w:cs="Times New Roman"/>
                      <w:color w:val="auto"/>
                      <w:kern w:val="0"/>
                      <w:szCs w:val="21"/>
                      <w:lang w:eastAsia="zh-CN" w:bidi="ar"/>
                    </w:rPr>
                    <w:t>（</w:t>
                  </w:r>
                  <w:r>
                    <w:rPr>
                      <w:rFonts w:hint="default" w:ascii="Times New Roman" w:hAnsi="Times New Roman" w:cs="Times New Roman"/>
                      <w:color w:val="auto"/>
                      <w:kern w:val="0"/>
                      <w:szCs w:val="21"/>
                      <w:lang w:val="en-US" w:eastAsia="zh-CN" w:bidi="ar"/>
                    </w:rPr>
                    <w:t>含在建工程</w:t>
                  </w:r>
                  <w:r>
                    <w:rPr>
                      <w:rFonts w:hint="default" w:ascii="Times New Roman" w:hAnsi="Times New Roman" w:cs="Times New Roman"/>
                      <w:color w:val="auto"/>
                      <w:kern w:val="0"/>
                      <w:szCs w:val="21"/>
                      <w:lang w:eastAsia="zh-CN" w:bidi="ar"/>
                    </w:rPr>
                    <w:t>）</w:t>
                  </w:r>
                </w:p>
              </w:tc>
              <w:tc>
                <w:tcPr>
                  <w:tcW w:w="728" w:type="pct"/>
                  <w:tcBorders>
                    <w:tl2br w:val="nil"/>
                    <w:tr2bl w:val="nil"/>
                  </w:tcBorders>
                  <w:tcMar>
                    <w:top w:w="15" w:type="dxa"/>
                    <w:left w:w="15" w:type="dxa"/>
                    <w:right w:w="15" w:type="dxa"/>
                  </w:tcMar>
                  <w:vAlign w:val="center"/>
                </w:tcPr>
                <w:p w14:paraId="73B7E6D7">
                  <w:pPr>
                    <w:widowControl/>
                    <w:snapToGrid w:val="0"/>
                    <w:spacing w:line="240" w:lineRule="exact"/>
                    <w:jc w:val="center"/>
                    <w:textAlignment w:val="center"/>
                    <w:rPr>
                      <w:rFonts w:hint="default" w:ascii="Times New Roman" w:hAnsi="Times New Roman" w:cs="Times New Roman"/>
                      <w:color w:val="auto"/>
                    </w:rPr>
                  </w:pPr>
                  <w:r>
                    <w:rPr>
                      <w:rFonts w:hint="default" w:ascii="Times New Roman" w:hAnsi="Times New Roman" w:cs="Times New Roman"/>
                      <w:color w:val="auto"/>
                    </w:rPr>
                    <w:t>拟建项目</w:t>
                  </w:r>
                </w:p>
                <w:p w14:paraId="436192CD">
                  <w:pPr>
                    <w:widowControl/>
                    <w:snapToGrid w:val="0"/>
                    <w:spacing w:line="24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新增排放量</w:t>
                  </w:r>
                </w:p>
              </w:tc>
              <w:tc>
                <w:tcPr>
                  <w:tcW w:w="567" w:type="pct"/>
                  <w:tcBorders>
                    <w:tl2br w:val="nil"/>
                    <w:tr2bl w:val="nil"/>
                  </w:tcBorders>
                  <w:tcMar>
                    <w:top w:w="15" w:type="dxa"/>
                    <w:left w:w="15" w:type="dxa"/>
                    <w:right w:w="15" w:type="dxa"/>
                  </w:tcMar>
                  <w:vAlign w:val="center"/>
                </w:tcPr>
                <w:p w14:paraId="7A9AFAE6">
                  <w:pPr>
                    <w:widowControl/>
                    <w:snapToGrid w:val="0"/>
                    <w:spacing w:line="24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val="en-US" w:eastAsia="zh-CN" w:bidi="ar"/>
                    </w:rPr>
                    <w:t>全厂</w:t>
                  </w:r>
                  <w:r>
                    <w:rPr>
                      <w:rFonts w:hint="default" w:ascii="Times New Roman" w:hAnsi="Times New Roman" w:cs="Times New Roman"/>
                      <w:color w:val="auto"/>
                      <w:kern w:val="0"/>
                      <w:szCs w:val="21"/>
                      <w:lang w:bidi="ar"/>
                    </w:rPr>
                    <w:t>排放总量</w:t>
                  </w:r>
                </w:p>
              </w:tc>
              <w:tc>
                <w:tcPr>
                  <w:tcW w:w="587" w:type="pct"/>
                  <w:tcBorders>
                    <w:tl2br w:val="nil"/>
                    <w:tr2bl w:val="nil"/>
                  </w:tcBorders>
                  <w:tcMar>
                    <w:top w:w="15" w:type="dxa"/>
                    <w:left w:w="15" w:type="dxa"/>
                    <w:right w:w="15" w:type="dxa"/>
                  </w:tcMar>
                  <w:vAlign w:val="center"/>
                </w:tcPr>
                <w:p w14:paraId="6E003976">
                  <w:pPr>
                    <w:widowControl/>
                    <w:snapToGrid w:val="0"/>
                    <w:spacing w:line="24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变化量</w:t>
                  </w:r>
                </w:p>
              </w:tc>
              <w:tc>
                <w:tcPr>
                  <w:tcW w:w="593" w:type="pct"/>
                  <w:tcBorders>
                    <w:tl2br w:val="nil"/>
                    <w:tr2bl w:val="nil"/>
                  </w:tcBorders>
                  <w:tcMar>
                    <w:top w:w="15" w:type="dxa"/>
                    <w:left w:w="15" w:type="dxa"/>
                    <w:right w:w="15" w:type="dxa"/>
                  </w:tcMar>
                  <w:vAlign w:val="center"/>
                </w:tcPr>
                <w:p w14:paraId="216DD984">
                  <w:pPr>
                    <w:widowControl/>
                    <w:snapToGrid w:val="0"/>
                    <w:spacing w:line="24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需购买</w:t>
                  </w:r>
                </w:p>
                <w:p w14:paraId="5CF49735">
                  <w:pPr>
                    <w:widowControl/>
                    <w:snapToGrid w:val="0"/>
                    <w:spacing w:line="24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总量</w:t>
                  </w:r>
                </w:p>
              </w:tc>
            </w:tr>
            <w:tr w14:paraId="6FAB2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tblHeader/>
                <w:jc w:val="center"/>
              </w:trPr>
              <w:tc>
                <w:tcPr>
                  <w:tcW w:w="523" w:type="pct"/>
                  <w:vMerge w:val="restart"/>
                  <w:tcBorders>
                    <w:tl2br w:val="nil"/>
                    <w:tr2bl w:val="nil"/>
                  </w:tcBorders>
                  <w:tcMar>
                    <w:top w:w="15" w:type="dxa"/>
                    <w:left w:w="15" w:type="dxa"/>
                    <w:right w:w="15" w:type="dxa"/>
                  </w:tcMar>
                  <w:vAlign w:val="center"/>
                </w:tcPr>
                <w:p w14:paraId="04F8533A">
                  <w:pPr>
                    <w:widowControl/>
                    <w:snapToGrid w:val="0"/>
                    <w:spacing w:line="24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废水</w:t>
                  </w:r>
                </w:p>
              </w:tc>
              <w:tc>
                <w:tcPr>
                  <w:tcW w:w="897" w:type="pct"/>
                  <w:tcBorders>
                    <w:tl2br w:val="nil"/>
                    <w:tr2bl w:val="nil"/>
                  </w:tcBorders>
                  <w:tcMar>
                    <w:top w:w="15" w:type="dxa"/>
                    <w:left w:w="15" w:type="dxa"/>
                    <w:right w:w="15" w:type="dxa"/>
                  </w:tcMar>
                  <w:vAlign w:val="center"/>
                </w:tcPr>
                <w:p w14:paraId="44FDC436">
                  <w:pPr>
                    <w:widowControl/>
                    <w:jc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rPr>
                    <w:t>化学需氧量</w:t>
                  </w:r>
                </w:p>
              </w:tc>
              <w:tc>
                <w:tcPr>
                  <w:tcW w:w="345" w:type="pct"/>
                  <w:tcBorders>
                    <w:tl2br w:val="nil"/>
                    <w:tr2bl w:val="nil"/>
                  </w:tcBorders>
                  <w:tcMar>
                    <w:top w:w="15" w:type="dxa"/>
                    <w:left w:w="15" w:type="dxa"/>
                    <w:right w:w="15" w:type="dxa"/>
                  </w:tcMar>
                  <w:vAlign w:val="center"/>
                </w:tcPr>
                <w:p w14:paraId="760C763C">
                  <w:pPr>
                    <w:widowControl/>
                    <w:snapToGrid w:val="0"/>
                    <w:spacing w:line="24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t/a</w:t>
                  </w:r>
                </w:p>
              </w:tc>
              <w:tc>
                <w:tcPr>
                  <w:tcW w:w="758" w:type="pct"/>
                  <w:tcBorders>
                    <w:tl2br w:val="nil"/>
                    <w:tr2bl w:val="nil"/>
                  </w:tcBorders>
                  <w:shd w:val="clear" w:color="auto" w:fill="auto"/>
                  <w:tcMar>
                    <w:top w:w="15" w:type="dxa"/>
                    <w:left w:w="15" w:type="dxa"/>
                    <w:right w:w="15" w:type="dxa"/>
                  </w:tcMar>
                  <w:vAlign w:val="center"/>
                </w:tcPr>
                <w:p w14:paraId="7DBC08D7">
                  <w:pPr>
                    <w:pStyle w:val="155"/>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728" w:type="pct"/>
                  <w:tcBorders>
                    <w:tl2br w:val="nil"/>
                    <w:tr2bl w:val="nil"/>
                  </w:tcBorders>
                  <w:tcMar>
                    <w:top w:w="15" w:type="dxa"/>
                    <w:left w:w="15" w:type="dxa"/>
                    <w:right w:w="15" w:type="dxa"/>
                  </w:tcMar>
                  <w:vAlign w:val="center"/>
                </w:tcPr>
                <w:p w14:paraId="7050F9D0">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2.625</w:t>
                  </w:r>
                </w:p>
              </w:tc>
              <w:tc>
                <w:tcPr>
                  <w:tcW w:w="567" w:type="pct"/>
                  <w:tcBorders>
                    <w:tl2br w:val="nil"/>
                    <w:tr2bl w:val="nil"/>
                  </w:tcBorders>
                  <w:shd w:val="clear" w:color="auto" w:fill="auto"/>
                  <w:tcMar>
                    <w:top w:w="15" w:type="dxa"/>
                    <w:left w:w="15" w:type="dxa"/>
                    <w:right w:w="15" w:type="dxa"/>
                  </w:tcMar>
                  <w:vAlign w:val="center"/>
                </w:tcPr>
                <w:p w14:paraId="04F3078A">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2.625</w:t>
                  </w:r>
                </w:p>
              </w:tc>
              <w:tc>
                <w:tcPr>
                  <w:tcW w:w="587" w:type="pct"/>
                  <w:tcBorders>
                    <w:tl2br w:val="nil"/>
                    <w:tr2bl w:val="nil"/>
                  </w:tcBorders>
                  <w:tcMar>
                    <w:top w:w="15" w:type="dxa"/>
                    <w:left w:w="15" w:type="dxa"/>
                    <w:right w:w="15" w:type="dxa"/>
                  </w:tcMar>
                  <w:vAlign w:val="center"/>
                </w:tcPr>
                <w:p w14:paraId="74608451">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2.625</w:t>
                  </w:r>
                </w:p>
              </w:tc>
              <w:tc>
                <w:tcPr>
                  <w:tcW w:w="593" w:type="pct"/>
                  <w:tcBorders>
                    <w:tl2br w:val="nil"/>
                    <w:tr2bl w:val="nil"/>
                  </w:tcBorders>
                  <w:shd w:val="clear" w:color="auto" w:fill="auto"/>
                  <w:tcMar>
                    <w:top w:w="15" w:type="dxa"/>
                    <w:left w:w="15" w:type="dxa"/>
                    <w:right w:w="15" w:type="dxa"/>
                  </w:tcMar>
                  <w:vAlign w:val="center"/>
                </w:tcPr>
                <w:p w14:paraId="28B9603B">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2.625</w:t>
                  </w:r>
                </w:p>
              </w:tc>
            </w:tr>
            <w:tr w14:paraId="193D6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tblHeader/>
                <w:jc w:val="center"/>
              </w:trPr>
              <w:tc>
                <w:tcPr>
                  <w:tcW w:w="523" w:type="pct"/>
                  <w:vMerge w:val="continue"/>
                  <w:tcBorders>
                    <w:tl2br w:val="nil"/>
                    <w:tr2bl w:val="nil"/>
                  </w:tcBorders>
                  <w:tcMar>
                    <w:top w:w="15" w:type="dxa"/>
                    <w:left w:w="15" w:type="dxa"/>
                    <w:right w:w="15" w:type="dxa"/>
                  </w:tcMar>
                  <w:vAlign w:val="center"/>
                </w:tcPr>
                <w:p w14:paraId="0F7CD8B9">
                  <w:pPr>
                    <w:widowControl/>
                    <w:snapToGrid w:val="0"/>
                    <w:spacing w:line="240" w:lineRule="exact"/>
                    <w:jc w:val="center"/>
                    <w:textAlignment w:val="center"/>
                    <w:rPr>
                      <w:rFonts w:hint="default" w:ascii="Times New Roman" w:hAnsi="Times New Roman" w:cs="Times New Roman"/>
                      <w:color w:val="auto"/>
                      <w:kern w:val="0"/>
                      <w:szCs w:val="21"/>
                      <w:lang w:bidi="ar"/>
                    </w:rPr>
                  </w:pPr>
                </w:p>
              </w:tc>
              <w:tc>
                <w:tcPr>
                  <w:tcW w:w="897" w:type="pct"/>
                  <w:tcBorders>
                    <w:tl2br w:val="nil"/>
                    <w:tr2bl w:val="nil"/>
                  </w:tcBorders>
                  <w:tcMar>
                    <w:top w:w="15" w:type="dxa"/>
                    <w:left w:w="15" w:type="dxa"/>
                    <w:right w:w="15" w:type="dxa"/>
                  </w:tcMar>
                  <w:vAlign w:val="center"/>
                </w:tcPr>
                <w:p w14:paraId="73B4318D">
                  <w:pPr>
                    <w:widowControl/>
                    <w:jc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rPr>
                    <w:t>氨氮</w:t>
                  </w:r>
                </w:p>
              </w:tc>
              <w:tc>
                <w:tcPr>
                  <w:tcW w:w="345" w:type="pct"/>
                  <w:tcBorders>
                    <w:tl2br w:val="nil"/>
                    <w:tr2bl w:val="nil"/>
                  </w:tcBorders>
                  <w:tcMar>
                    <w:top w:w="15" w:type="dxa"/>
                    <w:left w:w="15" w:type="dxa"/>
                    <w:right w:w="15" w:type="dxa"/>
                  </w:tcMar>
                  <w:vAlign w:val="center"/>
                </w:tcPr>
                <w:p w14:paraId="789BB723">
                  <w:pPr>
                    <w:widowControl/>
                    <w:snapToGrid w:val="0"/>
                    <w:spacing w:line="24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t/a</w:t>
                  </w:r>
                </w:p>
              </w:tc>
              <w:tc>
                <w:tcPr>
                  <w:tcW w:w="758" w:type="pct"/>
                  <w:tcBorders>
                    <w:tl2br w:val="nil"/>
                    <w:tr2bl w:val="nil"/>
                  </w:tcBorders>
                  <w:shd w:val="clear" w:color="auto" w:fill="auto"/>
                  <w:tcMar>
                    <w:top w:w="15" w:type="dxa"/>
                    <w:left w:w="15" w:type="dxa"/>
                    <w:right w:w="15" w:type="dxa"/>
                  </w:tcMar>
                  <w:vAlign w:val="center"/>
                </w:tcPr>
                <w:p w14:paraId="278599C7">
                  <w:pPr>
                    <w:pStyle w:val="155"/>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728" w:type="pct"/>
                  <w:tcBorders>
                    <w:tl2br w:val="nil"/>
                    <w:tr2bl w:val="nil"/>
                  </w:tcBorders>
                  <w:tcMar>
                    <w:top w:w="15" w:type="dxa"/>
                    <w:left w:w="15" w:type="dxa"/>
                    <w:right w:w="15" w:type="dxa"/>
                  </w:tcMar>
                  <w:vAlign w:val="center"/>
                </w:tcPr>
                <w:p w14:paraId="43C77BC0">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0.262</w:t>
                  </w:r>
                </w:p>
              </w:tc>
              <w:tc>
                <w:tcPr>
                  <w:tcW w:w="567" w:type="pct"/>
                  <w:tcBorders>
                    <w:tl2br w:val="nil"/>
                    <w:tr2bl w:val="nil"/>
                  </w:tcBorders>
                  <w:shd w:val="clear" w:color="auto" w:fill="auto"/>
                  <w:tcMar>
                    <w:top w:w="15" w:type="dxa"/>
                    <w:left w:w="15" w:type="dxa"/>
                    <w:right w:w="15" w:type="dxa"/>
                  </w:tcMar>
                  <w:vAlign w:val="center"/>
                </w:tcPr>
                <w:p w14:paraId="4179E2C6">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0.262</w:t>
                  </w:r>
                </w:p>
              </w:tc>
              <w:tc>
                <w:tcPr>
                  <w:tcW w:w="587" w:type="pct"/>
                  <w:tcBorders>
                    <w:tl2br w:val="nil"/>
                    <w:tr2bl w:val="nil"/>
                  </w:tcBorders>
                  <w:tcMar>
                    <w:top w:w="15" w:type="dxa"/>
                    <w:left w:w="15" w:type="dxa"/>
                    <w:right w:w="15" w:type="dxa"/>
                  </w:tcMar>
                  <w:vAlign w:val="center"/>
                </w:tcPr>
                <w:p w14:paraId="161336C7">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0.262</w:t>
                  </w:r>
                </w:p>
              </w:tc>
              <w:tc>
                <w:tcPr>
                  <w:tcW w:w="593" w:type="pct"/>
                  <w:tcBorders>
                    <w:tl2br w:val="nil"/>
                    <w:tr2bl w:val="nil"/>
                  </w:tcBorders>
                  <w:shd w:val="clear" w:color="auto" w:fill="auto"/>
                  <w:tcMar>
                    <w:top w:w="15" w:type="dxa"/>
                    <w:left w:w="15" w:type="dxa"/>
                    <w:right w:w="15" w:type="dxa"/>
                  </w:tcMar>
                  <w:vAlign w:val="center"/>
                </w:tcPr>
                <w:p w14:paraId="6828D635">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0.262</w:t>
                  </w:r>
                </w:p>
              </w:tc>
            </w:tr>
            <w:tr w14:paraId="33613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tblHeader/>
                <w:jc w:val="center"/>
              </w:trPr>
              <w:tc>
                <w:tcPr>
                  <w:tcW w:w="523" w:type="pct"/>
                  <w:vMerge w:val="restart"/>
                  <w:tcBorders>
                    <w:tl2br w:val="nil"/>
                    <w:tr2bl w:val="nil"/>
                  </w:tcBorders>
                  <w:tcMar>
                    <w:top w:w="15" w:type="dxa"/>
                    <w:left w:w="15" w:type="dxa"/>
                    <w:right w:w="15" w:type="dxa"/>
                  </w:tcMar>
                  <w:vAlign w:val="center"/>
                </w:tcPr>
                <w:p w14:paraId="5E30682E">
                  <w:pPr>
                    <w:widowControl/>
                    <w:snapToGrid w:val="0"/>
                    <w:spacing w:line="24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废气</w:t>
                  </w:r>
                </w:p>
              </w:tc>
              <w:tc>
                <w:tcPr>
                  <w:tcW w:w="897" w:type="pct"/>
                  <w:tcBorders>
                    <w:tl2br w:val="nil"/>
                    <w:tr2bl w:val="nil"/>
                  </w:tcBorders>
                  <w:shd w:val="clear" w:color="auto" w:fill="auto"/>
                  <w:tcMar>
                    <w:top w:w="15" w:type="dxa"/>
                    <w:left w:w="15" w:type="dxa"/>
                    <w:right w:w="15" w:type="dxa"/>
                  </w:tcMar>
                  <w:vAlign w:val="center"/>
                </w:tcPr>
                <w:p w14:paraId="2665D6ED">
                  <w:pPr>
                    <w:widowControl/>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0"/>
                      <w:szCs w:val="21"/>
                    </w:rPr>
                    <w:t>二氧化硫</w:t>
                  </w:r>
                </w:p>
              </w:tc>
              <w:tc>
                <w:tcPr>
                  <w:tcW w:w="345" w:type="pct"/>
                  <w:tcBorders>
                    <w:tl2br w:val="nil"/>
                    <w:tr2bl w:val="nil"/>
                  </w:tcBorders>
                  <w:shd w:val="clear" w:color="auto" w:fill="auto"/>
                  <w:tcMar>
                    <w:top w:w="15" w:type="dxa"/>
                    <w:left w:w="15" w:type="dxa"/>
                    <w:right w:w="15" w:type="dxa"/>
                  </w:tcMar>
                  <w:vAlign w:val="center"/>
                </w:tcPr>
                <w:p w14:paraId="585ACD93">
                  <w:pPr>
                    <w:widowControl/>
                    <w:snapToGrid w:val="0"/>
                    <w:spacing w:line="240" w:lineRule="exact"/>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t/a</w:t>
                  </w:r>
                </w:p>
              </w:tc>
              <w:tc>
                <w:tcPr>
                  <w:tcW w:w="758" w:type="pct"/>
                  <w:tcBorders>
                    <w:tl2br w:val="nil"/>
                    <w:tr2bl w:val="nil"/>
                  </w:tcBorders>
                  <w:shd w:val="clear" w:color="auto" w:fill="auto"/>
                  <w:tcMar>
                    <w:top w:w="15" w:type="dxa"/>
                    <w:left w:w="15" w:type="dxa"/>
                    <w:right w:w="15" w:type="dxa"/>
                  </w:tcMar>
                  <w:vAlign w:val="center"/>
                </w:tcPr>
                <w:p w14:paraId="5E30FA05">
                  <w:pPr>
                    <w:pStyle w:val="155"/>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0</w:t>
                  </w:r>
                </w:p>
              </w:tc>
              <w:tc>
                <w:tcPr>
                  <w:tcW w:w="728" w:type="pct"/>
                  <w:tcBorders>
                    <w:tl2br w:val="nil"/>
                    <w:tr2bl w:val="nil"/>
                  </w:tcBorders>
                  <w:shd w:val="clear" w:color="auto" w:fill="auto"/>
                  <w:tcMar>
                    <w:top w:w="15" w:type="dxa"/>
                    <w:left w:w="15" w:type="dxa"/>
                    <w:right w:w="15" w:type="dxa"/>
                  </w:tcMar>
                  <w:vAlign w:val="center"/>
                </w:tcPr>
                <w:p w14:paraId="2E10F8B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0.180</w:t>
                  </w:r>
                </w:p>
              </w:tc>
              <w:tc>
                <w:tcPr>
                  <w:tcW w:w="567" w:type="pct"/>
                  <w:tcBorders>
                    <w:tl2br w:val="nil"/>
                    <w:tr2bl w:val="nil"/>
                  </w:tcBorders>
                  <w:shd w:val="clear" w:color="auto" w:fill="auto"/>
                  <w:tcMar>
                    <w:top w:w="15" w:type="dxa"/>
                    <w:left w:w="15" w:type="dxa"/>
                    <w:right w:w="15" w:type="dxa"/>
                  </w:tcMar>
                  <w:vAlign w:val="center"/>
                </w:tcPr>
                <w:p w14:paraId="0505B7A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0.180</w:t>
                  </w:r>
                </w:p>
              </w:tc>
              <w:tc>
                <w:tcPr>
                  <w:tcW w:w="587" w:type="pct"/>
                  <w:tcBorders>
                    <w:tl2br w:val="nil"/>
                    <w:tr2bl w:val="nil"/>
                  </w:tcBorders>
                  <w:shd w:val="clear" w:color="auto" w:fill="auto"/>
                  <w:tcMar>
                    <w:top w:w="15" w:type="dxa"/>
                    <w:left w:w="15" w:type="dxa"/>
                    <w:right w:w="15" w:type="dxa"/>
                  </w:tcMar>
                  <w:vAlign w:val="center"/>
                </w:tcPr>
                <w:p w14:paraId="50E8ABB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0.180</w:t>
                  </w:r>
                </w:p>
              </w:tc>
              <w:tc>
                <w:tcPr>
                  <w:tcW w:w="593" w:type="pct"/>
                  <w:tcBorders>
                    <w:tl2br w:val="nil"/>
                    <w:tr2bl w:val="nil"/>
                  </w:tcBorders>
                  <w:shd w:val="clear" w:color="auto" w:fill="auto"/>
                  <w:tcMar>
                    <w:top w:w="15" w:type="dxa"/>
                    <w:left w:w="15" w:type="dxa"/>
                    <w:right w:w="15" w:type="dxa"/>
                  </w:tcMar>
                  <w:vAlign w:val="center"/>
                </w:tcPr>
                <w:p w14:paraId="559C451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0.180</w:t>
                  </w:r>
                </w:p>
              </w:tc>
            </w:tr>
            <w:tr w14:paraId="1F56C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tblHeader/>
                <w:jc w:val="center"/>
              </w:trPr>
              <w:tc>
                <w:tcPr>
                  <w:tcW w:w="523" w:type="pct"/>
                  <w:vMerge w:val="continue"/>
                  <w:tcBorders>
                    <w:tl2br w:val="nil"/>
                    <w:tr2bl w:val="nil"/>
                  </w:tcBorders>
                  <w:tcMar>
                    <w:top w:w="15" w:type="dxa"/>
                    <w:left w:w="15" w:type="dxa"/>
                    <w:right w:w="15" w:type="dxa"/>
                  </w:tcMar>
                  <w:vAlign w:val="center"/>
                </w:tcPr>
                <w:p w14:paraId="5455259A">
                  <w:pPr>
                    <w:widowControl/>
                    <w:snapToGrid w:val="0"/>
                    <w:spacing w:line="240" w:lineRule="exact"/>
                    <w:jc w:val="center"/>
                    <w:textAlignment w:val="center"/>
                    <w:rPr>
                      <w:rFonts w:hint="default" w:ascii="Times New Roman" w:hAnsi="Times New Roman" w:cs="Times New Roman"/>
                      <w:color w:val="auto"/>
                      <w:kern w:val="0"/>
                      <w:szCs w:val="21"/>
                      <w:lang w:bidi="ar"/>
                    </w:rPr>
                  </w:pPr>
                </w:p>
              </w:tc>
              <w:tc>
                <w:tcPr>
                  <w:tcW w:w="897" w:type="pct"/>
                  <w:tcBorders>
                    <w:tl2br w:val="nil"/>
                    <w:tr2bl w:val="nil"/>
                  </w:tcBorders>
                  <w:shd w:val="clear" w:color="auto" w:fill="auto"/>
                  <w:tcMar>
                    <w:top w:w="15" w:type="dxa"/>
                    <w:left w:w="15" w:type="dxa"/>
                    <w:right w:w="15" w:type="dxa"/>
                  </w:tcMar>
                  <w:vAlign w:val="center"/>
                </w:tcPr>
                <w:p w14:paraId="7B5EF537">
                  <w:pPr>
                    <w:widowControl/>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Cs w:val="21"/>
                    </w:rPr>
                    <w:t>氮氧化物</w:t>
                  </w:r>
                </w:p>
              </w:tc>
              <w:tc>
                <w:tcPr>
                  <w:tcW w:w="345" w:type="pct"/>
                  <w:tcBorders>
                    <w:tl2br w:val="nil"/>
                    <w:tr2bl w:val="nil"/>
                  </w:tcBorders>
                  <w:shd w:val="clear" w:color="auto" w:fill="auto"/>
                  <w:tcMar>
                    <w:top w:w="15" w:type="dxa"/>
                    <w:left w:w="15" w:type="dxa"/>
                    <w:right w:w="15" w:type="dxa"/>
                  </w:tcMar>
                  <w:vAlign w:val="center"/>
                </w:tcPr>
                <w:p w14:paraId="576819EA">
                  <w:pPr>
                    <w:widowControl/>
                    <w:snapToGrid w:val="0"/>
                    <w:spacing w:line="240" w:lineRule="exact"/>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t/a</w:t>
                  </w:r>
                </w:p>
              </w:tc>
              <w:tc>
                <w:tcPr>
                  <w:tcW w:w="758" w:type="pct"/>
                  <w:tcBorders>
                    <w:tl2br w:val="nil"/>
                    <w:tr2bl w:val="nil"/>
                  </w:tcBorders>
                  <w:shd w:val="clear" w:color="auto" w:fill="auto"/>
                  <w:tcMar>
                    <w:top w:w="15" w:type="dxa"/>
                    <w:left w:w="15" w:type="dxa"/>
                    <w:right w:w="15" w:type="dxa"/>
                  </w:tcMar>
                  <w:vAlign w:val="center"/>
                </w:tcPr>
                <w:p w14:paraId="3AD3D7C7">
                  <w:pPr>
                    <w:pStyle w:val="155"/>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0</w:t>
                  </w:r>
                </w:p>
              </w:tc>
              <w:tc>
                <w:tcPr>
                  <w:tcW w:w="728" w:type="pct"/>
                  <w:tcBorders>
                    <w:tl2br w:val="nil"/>
                    <w:tr2bl w:val="nil"/>
                  </w:tcBorders>
                  <w:shd w:val="clear" w:color="auto" w:fill="auto"/>
                  <w:tcMar>
                    <w:top w:w="15" w:type="dxa"/>
                    <w:left w:w="15" w:type="dxa"/>
                    <w:right w:w="15" w:type="dxa"/>
                  </w:tcMar>
                  <w:vAlign w:val="center"/>
                </w:tcPr>
                <w:p w14:paraId="73B578C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1.684</w:t>
                  </w:r>
                </w:p>
              </w:tc>
              <w:tc>
                <w:tcPr>
                  <w:tcW w:w="567" w:type="pct"/>
                  <w:tcBorders>
                    <w:tl2br w:val="nil"/>
                    <w:tr2bl w:val="nil"/>
                  </w:tcBorders>
                  <w:shd w:val="clear" w:color="auto" w:fill="auto"/>
                  <w:tcMar>
                    <w:top w:w="15" w:type="dxa"/>
                    <w:left w:w="15" w:type="dxa"/>
                    <w:right w:w="15" w:type="dxa"/>
                  </w:tcMar>
                  <w:vAlign w:val="center"/>
                </w:tcPr>
                <w:p w14:paraId="07486AE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1.684</w:t>
                  </w:r>
                </w:p>
              </w:tc>
              <w:tc>
                <w:tcPr>
                  <w:tcW w:w="587" w:type="pct"/>
                  <w:tcBorders>
                    <w:tl2br w:val="nil"/>
                    <w:tr2bl w:val="nil"/>
                  </w:tcBorders>
                  <w:shd w:val="clear" w:color="auto" w:fill="auto"/>
                  <w:tcMar>
                    <w:top w:w="15" w:type="dxa"/>
                    <w:left w:w="15" w:type="dxa"/>
                    <w:right w:w="15" w:type="dxa"/>
                  </w:tcMar>
                  <w:vAlign w:val="center"/>
                </w:tcPr>
                <w:p w14:paraId="5F3809C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1.684</w:t>
                  </w:r>
                </w:p>
              </w:tc>
              <w:tc>
                <w:tcPr>
                  <w:tcW w:w="593" w:type="pct"/>
                  <w:tcBorders>
                    <w:tl2br w:val="nil"/>
                    <w:tr2bl w:val="nil"/>
                  </w:tcBorders>
                  <w:shd w:val="clear" w:color="auto" w:fill="auto"/>
                  <w:tcMar>
                    <w:top w:w="15" w:type="dxa"/>
                    <w:left w:w="15" w:type="dxa"/>
                    <w:right w:w="15" w:type="dxa"/>
                  </w:tcMar>
                  <w:vAlign w:val="center"/>
                </w:tcPr>
                <w:p w14:paraId="4ABEBB5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1.684</w:t>
                  </w:r>
                </w:p>
              </w:tc>
            </w:tr>
          </w:tbl>
          <w:p w14:paraId="6442318A">
            <w:pPr>
              <w:pStyle w:val="70"/>
              <w:spacing w:before="264" w:beforeLines="70"/>
              <w:rPr>
                <w:rFonts w:hint="default" w:ascii="Times New Roman" w:hAnsi="Times New Roman" w:cs="Times New Roman"/>
                <w:color w:val="auto"/>
              </w:rPr>
            </w:pPr>
            <w:r>
              <w:rPr>
                <w:rFonts w:hint="default" w:ascii="Times New Roman" w:hAnsi="Times New Roman" w:cs="Times New Roman"/>
                <w:color w:val="auto"/>
              </w:rPr>
              <w:t>拟建项目新增化学需氧量、氨氮、SO</w:t>
            </w:r>
            <w:r>
              <w:rPr>
                <w:rFonts w:hint="default" w:ascii="Times New Roman" w:hAnsi="Times New Roman" w:cs="Times New Roman"/>
                <w:color w:val="auto"/>
                <w:vertAlign w:val="subscript"/>
              </w:rPr>
              <w:t>2</w:t>
            </w:r>
            <w:r>
              <w:rPr>
                <w:rFonts w:hint="default" w:ascii="Times New Roman" w:hAnsi="Times New Roman" w:cs="Times New Roman"/>
                <w:color w:val="auto"/>
              </w:rPr>
              <w:t>、NOx排放量分别为</w:t>
            </w:r>
            <w:r>
              <w:rPr>
                <w:rFonts w:hint="default" w:ascii="Times New Roman" w:hAnsi="Times New Roman" w:cs="Times New Roman"/>
                <w:color w:val="auto"/>
                <w:lang w:val="en-US" w:eastAsia="zh-CN"/>
              </w:rPr>
              <w:t>2.625</w:t>
            </w:r>
            <w:r>
              <w:rPr>
                <w:rFonts w:hint="default" w:ascii="Times New Roman" w:hAnsi="Times New Roman" w:cs="Times New Roman"/>
                <w:color w:val="auto"/>
              </w:rPr>
              <w:t>t/a、</w:t>
            </w:r>
            <w:r>
              <w:rPr>
                <w:rFonts w:hint="default" w:ascii="Times New Roman" w:hAnsi="Times New Roman" w:cs="Times New Roman"/>
                <w:color w:val="auto"/>
                <w:lang w:val="en-US" w:eastAsia="zh-CN"/>
              </w:rPr>
              <w:t xml:space="preserve">0.262 </w:t>
            </w:r>
            <w:r>
              <w:rPr>
                <w:rFonts w:hint="default" w:ascii="Times New Roman" w:hAnsi="Times New Roman" w:cs="Times New Roman"/>
                <w:color w:val="auto"/>
              </w:rPr>
              <w:t>t/a、</w:t>
            </w:r>
            <w:r>
              <w:rPr>
                <w:rFonts w:hint="default" w:ascii="Times New Roman" w:hAnsi="Times New Roman" w:cs="Times New Roman"/>
                <w:color w:val="auto"/>
                <w:lang w:val="en-US" w:eastAsia="zh-CN"/>
              </w:rPr>
              <w:t xml:space="preserve">0.180 </w:t>
            </w:r>
            <w:r>
              <w:rPr>
                <w:rFonts w:hint="default" w:ascii="Times New Roman" w:hAnsi="Times New Roman" w:cs="Times New Roman"/>
                <w:color w:val="auto"/>
              </w:rPr>
              <w:t>t/a、</w:t>
            </w:r>
            <w:r>
              <w:rPr>
                <w:rFonts w:hint="default" w:ascii="Times New Roman" w:hAnsi="Times New Roman" w:cs="Times New Roman"/>
                <w:color w:val="auto"/>
                <w:lang w:val="en-US" w:eastAsia="zh-CN"/>
              </w:rPr>
              <w:t xml:space="preserve">1.684 </w:t>
            </w:r>
            <w:r>
              <w:rPr>
                <w:rFonts w:hint="default" w:ascii="Times New Roman" w:hAnsi="Times New Roman" w:cs="Times New Roman"/>
                <w:color w:val="auto"/>
              </w:rPr>
              <w:t>t/a。拟建项目投产后应及时向海峡资源环境交易中心申购所需总量指标化学需氧量、氨氮、SO</w:t>
            </w:r>
            <w:r>
              <w:rPr>
                <w:rFonts w:hint="default" w:ascii="Times New Roman" w:hAnsi="Times New Roman" w:cs="Times New Roman"/>
                <w:color w:val="auto"/>
                <w:vertAlign w:val="subscript"/>
              </w:rPr>
              <w:t>2</w:t>
            </w:r>
            <w:r>
              <w:rPr>
                <w:rFonts w:hint="default" w:ascii="Times New Roman" w:hAnsi="Times New Roman" w:cs="Times New Roman"/>
                <w:color w:val="auto"/>
              </w:rPr>
              <w:t>、NOx排放量分别为</w:t>
            </w:r>
            <w:r>
              <w:rPr>
                <w:rFonts w:hint="default" w:ascii="Times New Roman" w:hAnsi="Times New Roman" w:cs="Times New Roman"/>
                <w:color w:val="auto"/>
                <w:lang w:val="en-US" w:eastAsia="zh-CN"/>
              </w:rPr>
              <w:t>2.625</w:t>
            </w:r>
            <w:r>
              <w:rPr>
                <w:rFonts w:hint="default" w:ascii="Times New Roman" w:hAnsi="Times New Roman" w:cs="Times New Roman"/>
                <w:color w:val="auto"/>
              </w:rPr>
              <w:t>t/a、</w:t>
            </w:r>
            <w:r>
              <w:rPr>
                <w:rFonts w:hint="default" w:ascii="Times New Roman" w:hAnsi="Times New Roman" w:cs="Times New Roman"/>
                <w:color w:val="auto"/>
                <w:lang w:val="en-US" w:eastAsia="zh-CN"/>
              </w:rPr>
              <w:t xml:space="preserve">0.262 </w:t>
            </w:r>
            <w:r>
              <w:rPr>
                <w:rFonts w:hint="default" w:ascii="Times New Roman" w:hAnsi="Times New Roman" w:cs="Times New Roman"/>
                <w:color w:val="auto"/>
              </w:rPr>
              <w:t>t/a、</w:t>
            </w:r>
            <w:r>
              <w:rPr>
                <w:rFonts w:hint="default" w:ascii="Times New Roman" w:hAnsi="Times New Roman" w:cs="Times New Roman"/>
                <w:color w:val="auto"/>
                <w:lang w:val="en-US" w:eastAsia="zh-CN"/>
              </w:rPr>
              <w:t xml:space="preserve">0.180 </w:t>
            </w:r>
            <w:r>
              <w:rPr>
                <w:rFonts w:hint="default" w:ascii="Times New Roman" w:hAnsi="Times New Roman" w:cs="Times New Roman"/>
                <w:color w:val="auto"/>
              </w:rPr>
              <w:t>t/a、</w:t>
            </w:r>
            <w:r>
              <w:rPr>
                <w:rFonts w:hint="default" w:ascii="Times New Roman" w:hAnsi="Times New Roman" w:cs="Times New Roman"/>
                <w:color w:val="auto"/>
                <w:lang w:val="en-US" w:eastAsia="zh-CN"/>
              </w:rPr>
              <w:t xml:space="preserve">1.684 </w:t>
            </w:r>
            <w:r>
              <w:rPr>
                <w:rFonts w:hint="default" w:ascii="Times New Roman" w:hAnsi="Times New Roman" w:cs="Times New Roman"/>
                <w:color w:val="auto"/>
              </w:rPr>
              <w:t>t/a。</w:t>
            </w:r>
          </w:p>
          <w:p w14:paraId="508C8C95">
            <w:pPr>
              <w:bidi w:val="0"/>
              <w:rPr>
                <w:rFonts w:hint="default"/>
                <w:color w:val="auto"/>
              </w:rPr>
            </w:pPr>
          </w:p>
          <w:p w14:paraId="31AA2EAA">
            <w:pPr>
              <w:bidi w:val="0"/>
              <w:rPr>
                <w:rFonts w:hint="default"/>
                <w:color w:val="auto"/>
              </w:rPr>
            </w:pPr>
          </w:p>
          <w:p w14:paraId="268F55C8">
            <w:pPr>
              <w:bidi w:val="0"/>
              <w:rPr>
                <w:rFonts w:hint="default"/>
                <w:color w:val="auto"/>
              </w:rPr>
            </w:pPr>
          </w:p>
          <w:p w14:paraId="5517EAB4">
            <w:pPr>
              <w:bidi w:val="0"/>
              <w:rPr>
                <w:rFonts w:hint="default"/>
                <w:color w:val="auto"/>
              </w:rPr>
            </w:pPr>
          </w:p>
          <w:p w14:paraId="00B8C78B">
            <w:pPr>
              <w:bidi w:val="0"/>
              <w:rPr>
                <w:rFonts w:hint="default"/>
                <w:color w:val="auto"/>
              </w:rPr>
            </w:pPr>
          </w:p>
          <w:bookmarkEnd w:id="169"/>
          <w:p w14:paraId="6F1B5EDE">
            <w:pPr>
              <w:adjustRightInd w:val="0"/>
              <w:snapToGrid w:val="0"/>
              <w:rPr>
                <w:rFonts w:hint="default" w:ascii="Times New Roman" w:hAnsi="Times New Roman" w:eastAsia="黑体" w:cs="Times New Roman"/>
                <w:snapToGrid w:val="0"/>
                <w:color w:val="auto"/>
                <w:kern w:val="0"/>
                <w:sz w:val="24"/>
              </w:rPr>
            </w:pPr>
          </w:p>
        </w:tc>
      </w:tr>
    </w:tbl>
    <w:p w14:paraId="68FD23FA">
      <w:pPr>
        <w:pStyle w:val="30"/>
        <w:spacing w:before="0" w:beforeAutospacing="0" w:after="0" w:afterAutospacing="0"/>
        <w:jc w:val="center"/>
        <w:outlineLvl w:val="0"/>
        <w:rPr>
          <w:rFonts w:hint="default" w:ascii="Times New Roman" w:hAnsi="Times New Roman" w:eastAsia="黑体" w:cs="Times New Roman"/>
          <w:snapToGrid w:val="0"/>
          <w:color w:val="auto"/>
          <w:sz w:val="32"/>
          <w:szCs w:val="32"/>
        </w:rPr>
      </w:pPr>
      <w:r>
        <w:rPr>
          <w:rFonts w:hint="default" w:ascii="Times New Roman" w:hAnsi="Times New Roman" w:eastAsia="黑体" w:cs="Times New Roman"/>
          <w:snapToGrid w:val="0"/>
          <w:color w:val="auto"/>
          <w:sz w:val="36"/>
          <w:szCs w:val="36"/>
        </w:rPr>
        <w:br w:type="page"/>
      </w:r>
      <w:bookmarkStart w:id="170" w:name="_Toc28928"/>
      <w:bookmarkStart w:id="171" w:name="_Toc7908"/>
      <w:bookmarkStart w:id="172" w:name="_Toc21945"/>
      <w:bookmarkStart w:id="173" w:name="_Toc30598"/>
      <w:bookmarkStart w:id="174" w:name="_Toc19479"/>
      <w:bookmarkStart w:id="175" w:name="_Toc12484"/>
      <w:bookmarkStart w:id="176" w:name="_Toc19189"/>
      <w:bookmarkStart w:id="177" w:name="_Toc18129"/>
      <w:r>
        <w:rPr>
          <w:rFonts w:hint="default" w:ascii="Times New Roman" w:hAnsi="Times New Roman" w:eastAsia="黑体" w:cs="Times New Roman"/>
          <w:snapToGrid w:val="0"/>
          <w:color w:val="auto"/>
          <w:sz w:val="32"/>
          <w:szCs w:val="32"/>
        </w:rPr>
        <w:t>四、主要环境影响和保护措施</w:t>
      </w:r>
      <w:bookmarkEnd w:id="170"/>
      <w:bookmarkEnd w:id="171"/>
      <w:bookmarkEnd w:id="172"/>
      <w:bookmarkEnd w:id="173"/>
      <w:bookmarkEnd w:id="174"/>
      <w:bookmarkEnd w:id="175"/>
      <w:bookmarkEnd w:id="176"/>
      <w:bookmarkEnd w:id="177"/>
    </w:p>
    <w:tbl>
      <w:tblPr>
        <w:tblStyle w:val="34"/>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82"/>
        <w:gridCol w:w="8623"/>
      </w:tblGrid>
      <w:tr w14:paraId="02DDBA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6" w:type="pct"/>
            <w:tcMar>
              <w:left w:w="28" w:type="dxa"/>
              <w:right w:w="28" w:type="dxa"/>
            </w:tcMar>
            <w:vAlign w:val="center"/>
          </w:tcPr>
          <w:p w14:paraId="21744D33">
            <w:pPr>
              <w:pStyle w:val="30"/>
              <w:adjustRightInd w:val="0"/>
              <w:snapToGrid w:val="0"/>
              <w:spacing w:before="0" w:beforeAutospacing="0" w:after="0" w:afterAutospacing="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施工</w:t>
            </w:r>
          </w:p>
          <w:p w14:paraId="1C6ADC09">
            <w:pPr>
              <w:pStyle w:val="30"/>
              <w:adjustRightInd w:val="0"/>
              <w:snapToGrid w:val="0"/>
              <w:spacing w:before="0" w:beforeAutospacing="0" w:after="0" w:afterAutospacing="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期环</w:t>
            </w:r>
          </w:p>
          <w:p w14:paraId="79757515">
            <w:pPr>
              <w:pStyle w:val="30"/>
              <w:adjustRightInd w:val="0"/>
              <w:snapToGrid w:val="0"/>
              <w:spacing w:before="0" w:beforeAutospacing="0" w:after="0" w:afterAutospacing="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境保</w:t>
            </w:r>
          </w:p>
          <w:p w14:paraId="64F2F010">
            <w:pPr>
              <w:pStyle w:val="30"/>
              <w:adjustRightInd w:val="0"/>
              <w:snapToGrid w:val="0"/>
              <w:spacing w:before="0" w:beforeAutospacing="0" w:after="0" w:afterAutospacing="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护措</w:t>
            </w:r>
          </w:p>
          <w:p w14:paraId="3965A862">
            <w:pPr>
              <w:pStyle w:val="30"/>
              <w:adjustRightInd w:val="0"/>
              <w:snapToGrid w:val="0"/>
              <w:spacing w:before="0" w:beforeAutospacing="0" w:after="0" w:afterAutospacing="0"/>
              <w:jc w:val="center"/>
              <w:rPr>
                <w:rFonts w:hint="default" w:ascii="Times New Roman" w:hAnsi="Times New Roman" w:cs="Times New Roman"/>
                <w:bCs/>
                <w:color w:val="auto"/>
                <w:kern w:val="2"/>
                <w:sz w:val="21"/>
                <w:szCs w:val="21"/>
              </w:rPr>
            </w:pPr>
            <w:r>
              <w:rPr>
                <w:rFonts w:hint="default" w:ascii="Times New Roman" w:hAnsi="Times New Roman" w:cs="Times New Roman"/>
                <w:color w:val="auto"/>
                <w:kern w:val="2"/>
                <w:sz w:val="21"/>
                <w:szCs w:val="21"/>
              </w:rPr>
              <w:t>施</w:t>
            </w:r>
          </w:p>
        </w:tc>
        <w:tc>
          <w:tcPr>
            <w:tcW w:w="4683" w:type="pct"/>
            <w:vAlign w:val="center"/>
          </w:tcPr>
          <w:p w14:paraId="545741C6">
            <w:pPr>
              <w:pStyle w:val="4"/>
              <w:keepNext/>
              <w:keepLines w:val="0"/>
              <w:pageBreakBefore w:val="0"/>
              <w:widowControl w:val="0"/>
              <w:kinsoku/>
              <w:wordWrap/>
              <w:overflowPunct/>
              <w:topLinePunct w:val="0"/>
              <w:autoSpaceDE/>
              <w:autoSpaceDN/>
              <w:bidi w:val="0"/>
              <w:adjustRightInd w:val="0"/>
              <w:snapToGrid w:val="0"/>
              <w:spacing w:before="190" w:beforeLines="50" w:after="264" w:afterLines="70"/>
              <w:textAlignment w:val="auto"/>
              <w:rPr>
                <w:rFonts w:hint="default" w:ascii="Times New Roman" w:hAnsi="Times New Roman" w:cs="Times New Roman"/>
                <w:snapToGrid/>
                <w:color w:val="auto"/>
                <w:szCs w:val="30"/>
              </w:rPr>
            </w:pPr>
            <w:bookmarkStart w:id="178" w:name="_Toc24785"/>
            <w:bookmarkStart w:id="179" w:name="_Toc13783"/>
            <w:bookmarkStart w:id="180" w:name="_Toc4913"/>
            <w:bookmarkStart w:id="181" w:name="_Toc15160"/>
            <w:r>
              <w:rPr>
                <w:rFonts w:hint="default" w:ascii="Times New Roman" w:hAnsi="Times New Roman" w:cs="Times New Roman"/>
                <w:snapToGrid/>
                <w:color w:val="auto"/>
                <w:szCs w:val="30"/>
              </w:rPr>
              <w:t>4.1施工期环境污染防治措施</w:t>
            </w:r>
            <w:bookmarkEnd w:id="178"/>
            <w:bookmarkEnd w:id="179"/>
            <w:bookmarkEnd w:id="180"/>
            <w:bookmarkEnd w:id="181"/>
          </w:p>
          <w:p w14:paraId="68B925A7">
            <w:pPr>
              <w:pStyle w:val="77"/>
              <w:keepNext w:val="0"/>
              <w:keepLines w:val="0"/>
              <w:pageBreakBefore w:val="0"/>
              <w:widowControl w:val="0"/>
              <w:kinsoku/>
              <w:wordWrap/>
              <w:overflowPunct/>
              <w:topLinePunct w:val="0"/>
              <w:autoSpaceDE/>
              <w:autoSpaceDN/>
              <w:bidi w:val="0"/>
              <w:adjustRightInd w:val="0"/>
              <w:snapToGrid w:val="0"/>
              <w:spacing w:before="115" w:beforeLines="30" w:line="360" w:lineRule="auto"/>
              <w:ind w:firstLine="0" w:firstLineChars="0"/>
              <w:textAlignment w:val="auto"/>
              <w:rPr>
                <w:rFonts w:hint="default" w:ascii="Times New Roman" w:hAnsi="Times New Roman" w:eastAsia="黑体" w:cs="Times New Roman"/>
                <w:snapToGrid w:val="0"/>
                <w:color w:val="auto"/>
                <w:kern w:val="2"/>
                <w:sz w:val="28"/>
                <w:szCs w:val="24"/>
                <w:lang w:val="en-US" w:eastAsia="zh-CN" w:bidi="ar-SA"/>
              </w:rPr>
            </w:pPr>
            <w:bookmarkStart w:id="182" w:name="_Toc25268"/>
            <w:bookmarkStart w:id="183" w:name="_Toc25281"/>
            <w:bookmarkStart w:id="184" w:name="_Toc9593"/>
            <w:bookmarkStart w:id="185" w:name="_Toc27881"/>
            <w:bookmarkStart w:id="186" w:name="_Toc21440"/>
            <w:bookmarkStart w:id="187" w:name="_Toc27633"/>
            <w:r>
              <w:rPr>
                <w:rFonts w:hint="default" w:ascii="Times New Roman" w:hAnsi="Times New Roman" w:eastAsia="黑体" w:cs="Times New Roman"/>
                <w:snapToGrid w:val="0"/>
                <w:color w:val="auto"/>
                <w:kern w:val="2"/>
                <w:sz w:val="28"/>
                <w:szCs w:val="24"/>
                <w:lang w:val="en-US" w:eastAsia="zh-CN" w:bidi="ar-SA"/>
              </w:rPr>
              <w:t>4.1.1施工废气治理措施</w:t>
            </w:r>
            <w:bookmarkEnd w:id="182"/>
            <w:bookmarkEnd w:id="183"/>
            <w:bookmarkEnd w:id="184"/>
            <w:bookmarkEnd w:id="185"/>
            <w:bookmarkEnd w:id="186"/>
            <w:bookmarkEnd w:id="187"/>
          </w:p>
          <w:p w14:paraId="3C6015CC">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（1）扬尘防治措施</w:t>
            </w:r>
          </w:p>
          <w:p w14:paraId="297EF352">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为降低扬尘产生量，保护大气环境，建议施工单位采取如下措施防尘：</w:t>
            </w:r>
          </w:p>
          <w:p w14:paraId="0197E406">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①严格控制车辆超载，运输车辆装载不得超出车厢板高度，并采取遮盖、密闭措施减少沿途抛洒、散落。</w:t>
            </w:r>
          </w:p>
          <w:p w14:paraId="08A4123C">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保持施工场地清洁。保持施工场地、进出道路以及施工车辆的清洁，可通过及时清扫道路，对施工车辆轮胎及时清洗等措施减少施工扬尘；对建筑垃圾及弃土应及时处理、清运、以减少占地，防止扬尘污染，改善施工场地的环境。</w:t>
            </w:r>
          </w:p>
          <w:p w14:paraId="7506EC22">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（2）废气、尾气防治措施</w:t>
            </w:r>
          </w:p>
          <w:p w14:paraId="78419C2E">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施工机械废气采取控制措施：加强施工机械的使用管理，使施工机械处于良好工作状态，并合理降低同时使用次数，提高使用效率，以减轻废气对环境空气质量的影响。</w:t>
            </w:r>
          </w:p>
          <w:p w14:paraId="4AAAB62E">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施工期间尾气排放的NO</w:t>
            </w:r>
            <w:r>
              <w:rPr>
                <w:rFonts w:hint="default" w:ascii="Times New Roman" w:hAnsi="Times New Roman" w:cs="Times New Roman"/>
                <w:color w:val="auto"/>
                <w:sz w:val="24"/>
                <w:vertAlign w:val="subscript"/>
              </w:rPr>
              <w:t>X</w:t>
            </w:r>
            <w:r>
              <w:rPr>
                <w:rFonts w:hint="default" w:ascii="Times New Roman" w:hAnsi="Times New Roman" w:cs="Times New Roman"/>
                <w:color w:val="auto"/>
                <w:sz w:val="24"/>
              </w:rPr>
              <w:t>、CO和烃类物质将在短期内存在，影响工程所在地区施工现场及其下风向区域，但由于施工期时间不长，排放量不大，施工期汽车产生的NO</w:t>
            </w:r>
            <w:r>
              <w:rPr>
                <w:rFonts w:hint="default" w:ascii="Times New Roman" w:hAnsi="Times New Roman" w:cs="Times New Roman"/>
                <w:color w:val="auto"/>
                <w:sz w:val="24"/>
                <w:vertAlign w:val="subscript"/>
              </w:rPr>
              <w:t>X</w:t>
            </w:r>
            <w:r>
              <w:rPr>
                <w:rFonts w:hint="default" w:ascii="Times New Roman" w:hAnsi="Times New Roman" w:cs="Times New Roman"/>
                <w:color w:val="auto"/>
                <w:sz w:val="24"/>
              </w:rPr>
              <w:t>、CO和烃类物质对周围环境影响不大。在这期间，尽量做好各方面的维护工作，控制运输车辆的数量。施工期间应该对施工单位加强管理，按进度、有计划地进行文明施工。</w:t>
            </w:r>
          </w:p>
          <w:p w14:paraId="0AC54D95">
            <w:pPr>
              <w:pStyle w:val="77"/>
              <w:keepNext w:val="0"/>
              <w:keepLines w:val="0"/>
              <w:pageBreakBefore w:val="0"/>
              <w:widowControl w:val="0"/>
              <w:kinsoku/>
              <w:wordWrap/>
              <w:overflowPunct/>
              <w:topLinePunct w:val="0"/>
              <w:autoSpaceDE/>
              <w:autoSpaceDN/>
              <w:bidi w:val="0"/>
              <w:adjustRightInd w:val="0"/>
              <w:snapToGrid w:val="0"/>
              <w:spacing w:before="115" w:beforeLines="30" w:line="360" w:lineRule="auto"/>
              <w:ind w:firstLine="0" w:firstLineChars="0"/>
              <w:textAlignment w:val="auto"/>
              <w:rPr>
                <w:rFonts w:hint="default" w:ascii="Times New Roman" w:hAnsi="Times New Roman" w:eastAsia="黑体" w:cs="Times New Roman"/>
                <w:snapToGrid w:val="0"/>
                <w:color w:val="auto"/>
                <w:kern w:val="2"/>
                <w:sz w:val="28"/>
                <w:szCs w:val="24"/>
                <w:lang w:val="en-US" w:eastAsia="zh-CN" w:bidi="ar-SA"/>
              </w:rPr>
            </w:pPr>
            <w:bookmarkStart w:id="188" w:name="_Toc20125"/>
            <w:bookmarkStart w:id="189" w:name="_Toc23564"/>
            <w:bookmarkStart w:id="190" w:name="_Toc10216"/>
            <w:bookmarkStart w:id="191" w:name="_Toc9735"/>
            <w:bookmarkStart w:id="192" w:name="_Toc10561"/>
            <w:bookmarkStart w:id="193" w:name="_Toc13770"/>
            <w:r>
              <w:rPr>
                <w:rFonts w:hint="default" w:ascii="Times New Roman" w:hAnsi="Times New Roman" w:eastAsia="黑体" w:cs="Times New Roman"/>
                <w:snapToGrid w:val="0"/>
                <w:color w:val="auto"/>
                <w:kern w:val="2"/>
                <w:sz w:val="28"/>
                <w:szCs w:val="24"/>
                <w:lang w:val="en-US" w:eastAsia="zh-CN" w:bidi="ar-SA"/>
              </w:rPr>
              <w:t>4.1.2施工废水治理措施</w:t>
            </w:r>
            <w:bookmarkEnd w:id="188"/>
            <w:bookmarkEnd w:id="189"/>
            <w:bookmarkEnd w:id="190"/>
            <w:bookmarkEnd w:id="191"/>
            <w:bookmarkEnd w:id="192"/>
            <w:bookmarkEnd w:id="193"/>
          </w:p>
          <w:p w14:paraId="490C09F6">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施工人员的生活污水及餐饮污水，水中主要污染物包括油脂、蛋白质、碳水化合物、悬浮物、洗涤剂等，以有机类为主。</w:t>
            </w:r>
          </w:p>
          <w:p w14:paraId="71909713">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施工人员生活设施依托公司办公生活设施。</w:t>
            </w:r>
          </w:p>
          <w:p w14:paraId="1EBF4B4F">
            <w:pPr>
              <w:pStyle w:val="77"/>
              <w:keepNext w:val="0"/>
              <w:keepLines w:val="0"/>
              <w:pageBreakBefore w:val="0"/>
              <w:widowControl w:val="0"/>
              <w:kinsoku/>
              <w:wordWrap/>
              <w:overflowPunct/>
              <w:topLinePunct w:val="0"/>
              <w:autoSpaceDE/>
              <w:autoSpaceDN/>
              <w:bidi w:val="0"/>
              <w:adjustRightInd w:val="0"/>
              <w:snapToGrid w:val="0"/>
              <w:spacing w:before="115" w:beforeLines="30" w:line="360" w:lineRule="auto"/>
              <w:ind w:firstLine="0" w:firstLineChars="0"/>
              <w:textAlignment w:val="auto"/>
              <w:rPr>
                <w:rFonts w:hint="default" w:ascii="Times New Roman" w:hAnsi="Times New Roman" w:eastAsia="黑体" w:cs="Times New Roman"/>
                <w:snapToGrid w:val="0"/>
                <w:color w:val="auto"/>
                <w:kern w:val="2"/>
                <w:sz w:val="28"/>
                <w:szCs w:val="24"/>
                <w:lang w:val="en-US" w:eastAsia="zh-CN" w:bidi="ar-SA"/>
              </w:rPr>
            </w:pPr>
            <w:bookmarkStart w:id="194" w:name="_Toc3116"/>
            <w:bookmarkStart w:id="195" w:name="_Toc11272"/>
            <w:bookmarkStart w:id="196" w:name="_Toc31404"/>
            <w:bookmarkStart w:id="197" w:name="_Toc10073"/>
            <w:bookmarkStart w:id="198" w:name="_Toc6561"/>
            <w:bookmarkStart w:id="199" w:name="_Toc15079"/>
            <w:r>
              <w:rPr>
                <w:rFonts w:hint="default" w:ascii="Times New Roman" w:hAnsi="Times New Roman" w:eastAsia="黑体" w:cs="Times New Roman"/>
                <w:snapToGrid w:val="0"/>
                <w:color w:val="auto"/>
                <w:kern w:val="2"/>
                <w:sz w:val="28"/>
                <w:szCs w:val="24"/>
                <w:lang w:val="en-US" w:eastAsia="zh-CN" w:bidi="ar-SA"/>
              </w:rPr>
              <w:t>4.1.3施工噪声防治措施</w:t>
            </w:r>
            <w:bookmarkEnd w:id="194"/>
            <w:bookmarkEnd w:id="195"/>
            <w:bookmarkEnd w:id="196"/>
            <w:bookmarkEnd w:id="197"/>
            <w:bookmarkEnd w:id="198"/>
            <w:bookmarkEnd w:id="199"/>
          </w:p>
          <w:p w14:paraId="779284D4">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（1）加强施工管理，合理安排施工作业时间，严格按照施工噪声管理的有关规定执行，未经环保部门允许严禁夜间进行高噪声施工作业；</w:t>
            </w:r>
          </w:p>
          <w:p w14:paraId="250B0F6F">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（2）尽量采用低噪声的工程机械、施工设备，同时尽可能采用施工噪声低的施工工艺；</w:t>
            </w:r>
          </w:p>
          <w:p w14:paraId="7E2C61E2">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采取上述措施后可以消减施工期噪声的环境影响。</w:t>
            </w:r>
          </w:p>
          <w:p w14:paraId="75BC2A68">
            <w:pPr>
              <w:pStyle w:val="77"/>
              <w:keepNext w:val="0"/>
              <w:keepLines w:val="0"/>
              <w:pageBreakBefore w:val="0"/>
              <w:widowControl w:val="0"/>
              <w:kinsoku/>
              <w:wordWrap/>
              <w:overflowPunct/>
              <w:topLinePunct w:val="0"/>
              <w:autoSpaceDE/>
              <w:autoSpaceDN/>
              <w:bidi w:val="0"/>
              <w:adjustRightInd w:val="0"/>
              <w:snapToGrid w:val="0"/>
              <w:spacing w:before="115" w:beforeLines="30" w:line="360" w:lineRule="auto"/>
              <w:ind w:firstLine="0" w:firstLineChars="0"/>
              <w:textAlignment w:val="auto"/>
              <w:rPr>
                <w:rFonts w:hint="default" w:ascii="Times New Roman" w:hAnsi="Times New Roman" w:eastAsia="黑体" w:cs="Times New Roman"/>
                <w:snapToGrid w:val="0"/>
                <w:color w:val="auto"/>
                <w:kern w:val="2"/>
                <w:sz w:val="28"/>
                <w:szCs w:val="24"/>
                <w:lang w:val="en-US" w:eastAsia="zh-CN" w:bidi="ar-SA"/>
              </w:rPr>
            </w:pPr>
            <w:bookmarkStart w:id="200" w:name="_Toc2355"/>
            <w:bookmarkStart w:id="201" w:name="_Toc5305"/>
            <w:bookmarkStart w:id="202" w:name="_Toc29843"/>
            <w:bookmarkStart w:id="203" w:name="_Toc27702"/>
            <w:bookmarkStart w:id="204" w:name="_Toc8773"/>
            <w:bookmarkStart w:id="205" w:name="_Toc9856"/>
            <w:r>
              <w:rPr>
                <w:rFonts w:hint="default" w:ascii="Times New Roman" w:hAnsi="Times New Roman" w:eastAsia="黑体" w:cs="Times New Roman"/>
                <w:snapToGrid w:val="0"/>
                <w:color w:val="auto"/>
                <w:kern w:val="2"/>
                <w:sz w:val="28"/>
                <w:szCs w:val="24"/>
                <w:lang w:val="en-US" w:eastAsia="zh-CN" w:bidi="ar-SA"/>
              </w:rPr>
              <w:t>4.1.4施工固废处置措施</w:t>
            </w:r>
            <w:bookmarkEnd w:id="200"/>
            <w:bookmarkEnd w:id="201"/>
            <w:bookmarkEnd w:id="202"/>
            <w:bookmarkEnd w:id="203"/>
            <w:bookmarkEnd w:id="204"/>
            <w:bookmarkEnd w:id="205"/>
          </w:p>
          <w:p w14:paraId="7C2A5855">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（1）建筑垃圾</w:t>
            </w:r>
          </w:p>
          <w:p w14:paraId="106C6F83">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建筑施工过程产生的废钢铁可外售，其余废砖头、废砂土，可运到垃圾场妥善处置。</w:t>
            </w:r>
          </w:p>
          <w:p w14:paraId="3487A538">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（2）生活垃圾</w:t>
            </w:r>
          </w:p>
          <w:p w14:paraId="798C9CA8">
            <w:pPr>
              <w:adjustRightInd w:val="0"/>
              <w:snapToGrid w:val="0"/>
              <w:spacing w:line="360" w:lineRule="auto"/>
              <w:ind w:firstLine="480" w:firstLineChars="200"/>
              <w:rPr>
                <w:rFonts w:hint="default" w:ascii="Times New Roman" w:hAnsi="Times New Roman" w:cs="Times New Roman"/>
                <w:bCs/>
                <w:color w:val="auto"/>
                <w:szCs w:val="21"/>
              </w:rPr>
            </w:pPr>
            <w:r>
              <w:rPr>
                <w:rFonts w:hint="default" w:ascii="Times New Roman" w:hAnsi="Times New Roman" w:cs="Times New Roman"/>
                <w:color w:val="auto"/>
                <w:sz w:val="24"/>
              </w:rPr>
              <w:t>施工期间，生活垃圾集中收集后交由当地环卫机构处理。</w:t>
            </w:r>
          </w:p>
        </w:tc>
      </w:tr>
      <w:tr w14:paraId="7BF56C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68" w:hRule="atLeast"/>
          <w:jc w:val="center"/>
        </w:trPr>
        <w:tc>
          <w:tcPr>
            <w:tcW w:w="316" w:type="pct"/>
            <w:tcMar>
              <w:left w:w="28" w:type="dxa"/>
              <w:right w:w="28" w:type="dxa"/>
            </w:tcMar>
            <w:vAlign w:val="center"/>
          </w:tcPr>
          <w:p w14:paraId="662BE72B">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运营</w:t>
            </w:r>
          </w:p>
          <w:p w14:paraId="02A7FA97">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期环</w:t>
            </w:r>
          </w:p>
          <w:p w14:paraId="07B171AA">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境影</w:t>
            </w:r>
          </w:p>
          <w:p w14:paraId="06AD06AF">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响和</w:t>
            </w:r>
          </w:p>
          <w:p w14:paraId="09F67576">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保护</w:t>
            </w:r>
          </w:p>
          <w:p w14:paraId="78960FC2">
            <w:pPr>
              <w:pStyle w:val="30"/>
              <w:adjustRightInd w:val="0"/>
              <w:snapToGrid w:val="0"/>
              <w:spacing w:before="0" w:beforeAutospacing="0" w:after="0" w:afterAutospacing="0"/>
              <w:jc w:val="center"/>
              <w:rPr>
                <w:rFonts w:hint="default" w:ascii="Times New Roman" w:hAnsi="Times New Roman" w:cs="Times New Roman"/>
                <w:color w:val="auto"/>
                <w:kern w:val="2"/>
                <w:sz w:val="21"/>
                <w:szCs w:val="21"/>
              </w:rPr>
            </w:pPr>
            <w:r>
              <w:rPr>
                <w:rFonts w:hint="default" w:ascii="Times New Roman" w:hAnsi="Times New Roman" w:cs="Times New Roman"/>
                <w:bCs/>
                <w:color w:val="auto"/>
                <w:szCs w:val="21"/>
              </w:rPr>
              <w:t>措施</w:t>
            </w:r>
          </w:p>
        </w:tc>
        <w:tc>
          <w:tcPr>
            <w:tcW w:w="4683" w:type="pct"/>
            <w:vAlign w:val="center"/>
          </w:tcPr>
          <w:p w14:paraId="7565E916">
            <w:pPr>
              <w:pStyle w:val="4"/>
              <w:spacing w:before="264" w:beforeLines="70" w:after="264" w:afterLines="70"/>
              <w:rPr>
                <w:rFonts w:hint="default" w:ascii="Times New Roman" w:hAnsi="Times New Roman" w:cs="Times New Roman"/>
                <w:snapToGrid/>
                <w:color w:val="auto"/>
                <w:szCs w:val="30"/>
              </w:rPr>
            </w:pPr>
            <w:bookmarkStart w:id="206" w:name="_Toc27156"/>
            <w:bookmarkStart w:id="207" w:name="_Toc18799"/>
            <w:bookmarkStart w:id="208" w:name="_Toc22056"/>
            <w:bookmarkStart w:id="209" w:name="_Toc28845"/>
            <w:bookmarkStart w:id="210" w:name="_Toc14294"/>
            <w:bookmarkStart w:id="211" w:name="_Toc7379"/>
            <w:bookmarkStart w:id="212" w:name="_Toc9444"/>
            <w:r>
              <w:rPr>
                <w:rFonts w:hint="default" w:ascii="Times New Roman" w:hAnsi="Times New Roman" w:cs="Times New Roman"/>
                <w:snapToGrid/>
                <w:color w:val="auto"/>
                <w:szCs w:val="30"/>
              </w:rPr>
              <w:t>4.2运营期环境影响分析</w:t>
            </w:r>
            <w:bookmarkEnd w:id="206"/>
            <w:bookmarkEnd w:id="207"/>
            <w:bookmarkEnd w:id="208"/>
            <w:bookmarkEnd w:id="209"/>
            <w:bookmarkEnd w:id="210"/>
            <w:bookmarkEnd w:id="211"/>
            <w:bookmarkEnd w:id="212"/>
          </w:p>
          <w:p w14:paraId="5FC38206">
            <w:pPr>
              <w:pStyle w:val="5"/>
              <w:spacing w:before="189" w:after="113" w:afterLines="30" w:afterAutospacing="0"/>
              <w:rPr>
                <w:rFonts w:hint="default" w:ascii="Times New Roman" w:hAnsi="Times New Roman" w:cs="Times New Roman"/>
                <w:color w:val="auto"/>
              </w:rPr>
            </w:pPr>
            <w:r>
              <w:rPr>
                <w:rFonts w:hint="default" w:ascii="Times New Roman" w:hAnsi="Times New Roman" w:cs="Times New Roman"/>
                <w:color w:val="auto"/>
              </w:rPr>
              <w:t>4.2.1大气环境影响分析及环保措施</w:t>
            </w:r>
          </w:p>
          <w:p w14:paraId="092C0793">
            <w:pPr>
              <w:pStyle w:val="6"/>
              <w:keepNext/>
              <w:keepLines/>
              <w:pageBreakBefore w:val="0"/>
              <w:widowControl w:val="0"/>
              <w:kinsoku/>
              <w:wordWrap/>
              <w:overflowPunct/>
              <w:topLinePunct w:val="0"/>
              <w:autoSpaceDE/>
              <w:autoSpaceDN/>
              <w:bidi w:val="0"/>
              <w:adjustRightInd w:val="0"/>
              <w:snapToGrid w:val="0"/>
              <w:spacing w:after="77" w:afterLines="20"/>
              <w:textAlignment w:val="auto"/>
              <w:rPr>
                <w:rFonts w:hint="default" w:ascii="Times New Roman" w:hAnsi="Times New Roman" w:cs="Times New Roman"/>
                <w:color w:val="auto"/>
              </w:rPr>
            </w:pPr>
            <w:bookmarkStart w:id="213" w:name="OLE_LINK66"/>
            <w:r>
              <w:rPr>
                <w:rFonts w:hint="default" w:ascii="Times New Roman" w:hAnsi="Times New Roman" w:cs="Times New Roman"/>
                <w:color w:val="auto"/>
              </w:rPr>
              <w:t>4.2.1.1废气污染源</w:t>
            </w:r>
          </w:p>
          <w:bookmarkEnd w:id="213"/>
          <w:p w14:paraId="5E7BA6E3">
            <w:pPr>
              <w:pStyle w:val="1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bCs/>
                <w:color w:val="auto"/>
                <w:sz w:val="24"/>
              </w:rPr>
              <w:t>本项目生产过程中废气产生环节主要为剥壳除锈、打磨工序产生的粉尘，表面处理生产线产生的酸洗废气G2（酸洗槽废气G2-1、</w:t>
            </w:r>
            <w:r>
              <w:rPr>
                <w:rFonts w:hint="default" w:ascii="Times New Roman" w:hAnsi="Times New Roman" w:cs="Times New Roman" w:eastAsiaTheme="minorEastAsia"/>
                <w:color w:val="auto"/>
                <w:sz w:val="24"/>
              </w:rPr>
              <w:t>低位回用酸</w:t>
            </w:r>
            <w:r>
              <w:rPr>
                <w:rFonts w:hint="default" w:ascii="Times New Roman" w:hAnsi="Times New Roman" w:cs="Times New Roman" w:eastAsiaTheme="minorEastAsia"/>
                <w:color w:val="auto"/>
                <w:sz w:val="24"/>
                <w:lang w:val="en-US" w:eastAsia="zh-CN"/>
              </w:rPr>
              <w:t>罐</w:t>
            </w:r>
            <w:r>
              <w:rPr>
                <w:rFonts w:hint="default" w:ascii="Times New Roman" w:hAnsi="Times New Roman" w:cs="Times New Roman" w:eastAsiaTheme="minorEastAsia"/>
                <w:color w:val="auto"/>
                <w:sz w:val="24"/>
              </w:rPr>
              <w:t>废气G2-2、低位废酸</w:t>
            </w:r>
            <w:r>
              <w:rPr>
                <w:rFonts w:hint="default" w:ascii="Times New Roman" w:hAnsi="Times New Roman" w:cs="Times New Roman" w:eastAsiaTheme="minorEastAsia"/>
                <w:color w:val="auto"/>
                <w:sz w:val="24"/>
                <w:lang w:val="en-US" w:eastAsia="zh-CN"/>
              </w:rPr>
              <w:t>罐</w:t>
            </w:r>
            <w:r>
              <w:rPr>
                <w:rFonts w:hint="default" w:ascii="Times New Roman" w:hAnsi="Times New Roman" w:cs="Times New Roman" w:eastAsiaTheme="minorEastAsia"/>
                <w:color w:val="auto"/>
                <w:sz w:val="24"/>
              </w:rPr>
              <w:t>废气G2-3</w:t>
            </w:r>
            <w:r>
              <w:rPr>
                <w:rFonts w:hint="default" w:ascii="Times New Roman" w:hAnsi="Times New Roman" w:cs="Times New Roman"/>
                <w:bCs/>
                <w:color w:val="auto"/>
                <w:sz w:val="24"/>
              </w:rPr>
              <w:t>），</w:t>
            </w:r>
            <w:r>
              <w:rPr>
                <w:rFonts w:hint="default" w:ascii="Times New Roman" w:hAnsi="Times New Roman" w:cs="Times New Roman" w:eastAsiaTheme="minorEastAsia"/>
                <w:color w:val="auto"/>
                <w:sz w:val="24"/>
              </w:rPr>
              <w:t>盐酸储罐呼吸废气G</w:t>
            </w:r>
            <w:r>
              <w:rPr>
                <w:rFonts w:hint="default" w:ascii="Times New Roman" w:hAnsi="Times New Roman" w:cs="Times New Roman" w:eastAsiaTheme="minorEastAsia"/>
                <w:color w:val="auto"/>
                <w:sz w:val="24"/>
                <w:lang w:val="en-US" w:eastAsia="zh-CN"/>
              </w:rPr>
              <w:t>2-4</w:t>
            </w:r>
            <w:r>
              <w:rPr>
                <w:rFonts w:hint="default" w:ascii="Times New Roman" w:hAnsi="Times New Roman" w:cs="Times New Roman" w:eastAsiaTheme="minorEastAsia"/>
                <w:color w:val="auto"/>
                <w:sz w:val="24"/>
              </w:rPr>
              <w:t>，天然气燃烧废气G</w:t>
            </w:r>
            <w:r>
              <w:rPr>
                <w:rFonts w:hint="default" w:ascii="Times New Roman" w:hAnsi="Times New Roman" w:cs="Times New Roman" w:eastAsiaTheme="minorEastAsia"/>
                <w:color w:val="auto"/>
                <w:sz w:val="24"/>
                <w:lang w:val="en-US" w:eastAsia="zh-CN"/>
              </w:rPr>
              <w:t>3</w:t>
            </w:r>
            <w:r>
              <w:rPr>
                <w:rFonts w:hint="default" w:ascii="Times New Roman" w:hAnsi="Times New Roman" w:cs="Times New Roman"/>
                <w:color w:val="auto"/>
                <w:sz w:val="24"/>
              </w:rPr>
              <w:t>。</w:t>
            </w:r>
          </w:p>
          <w:p w14:paraId="0100979B">
            <w:pPr>
              <w:pStyle w:val="11"/>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（1）正常工况</w:t>
            </w:r>
          </w:p>
          <w:p w14:paraId="51468052">
            <w:pPr>
              <w:pStyle w:val="10"/>
              <w:snapToGrid w:val="0"/>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①剥壳除锈、打磨工序</w:t>
            </w:r>
          </w:p>
          <w:p w14:paraId="298BD518">
            <w:pPr>
              <w:pStyle w:val="10"/>
              <w:snapToGrid w:val="0"/>
              <w:spacing w:line="360" w:lineRule="auto"/>
              <w:ind w:firstLine="480" w:firstLineChars="200"/>
              <w:rPr>
                <w:rFonts w:hint="default" w:ascii="Times New Roman" w:hAnsi="Times New Roman" w:cs="Times New Roman"/>
                <w:bCs/>
                <w:color w:val="auto"/>
                <w:sz w:val="24"/>
                <w:lang w:val="en-GB"/>
              </w:rPr>
            </w:pPr>
            <w:r>
              <w:rPr>
                <w:rFonts w:hint="default" w:ascii="Times New Roman" w:hAnsi="Times New Roman" w:cs="Times New Roman"/>
                <w:bCs/>
                <w:color w:val="auto"/>
                <w:sz w:val="24"/>
              </w:rPr>
              <w:t>本项目4#车间剥壳除锈、打磨工序产生的废气主要污染因子为颗粒物，参照《排放源统计调查产排污核算方法和系数手册》中“机械行业系数手册-06预处理”，该工序产污系数见表4.2-1。</w:t>
            </w:r>
          </w:p>
          <w:p w14:paraId="75A52406">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表4.2-1  机械行业系数手册-06预处理</w:t>
            </w:r>
          </w:p>
          <w:tbl>
            <w:tblPr>
              <w:tblStyle w:val="34"/>
              <w:tblW w:w="498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28" w:type="dxa"/>
                <w:left w:w="57" w:type="dxa"/>
                <w:bottom w:w="28" w:type="dxa"/>
                <w:right w:w="57" w:type="dxa"/>
              </w:tblCellMar>
            </w:tblPr>
            <w:tblGrid>
              <w:gridCol w:w="847"/>
              <w:gridCol w:w="2615"/>
              <w:gridCol w:w="1179"/>
              <w:gridCol w:w="747"/>
              <w:gridCol w:w="913"/>
              <w:gridCol w:w="1124"/>
              <w:gridCol w:w="950"/>
            </w:tblGrid>
            <w:tr w14:paraId="29264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67" w:hRule="atLeast"/>
                <w:jc w:val="center"/>
              </w:trPr>
              <w:tc>
                <w:tcPr>
                  <w:tcW w:w="506" w:type="pct"/>
                  <w:tcBorders>
                    <w:tl2br w:val="nil"/>
                    <w:tr2bl w:val="nil"/>
                  </w:tcBorders>
                  <w:vAlign w:val="center"/>
                </w:tcPr>
                <w:p w14:paraId="0488FE2E">
                  <w:pPr>
                    <w:pStyle w:val="130"/>
                    <w:widowControl w:val="0"/>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产品</w:t>
                  </w:r>
                </w:p>
                <w:p w14:paraId="7C7D005B">
                  <w:pPr>
                    <w:pStyle w:val="130"/>
                    <w:widowControl w:val="0"/>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名称</w:t>
                  </w:r>
                </w:p>
              </w:tc>
              <w:tc>
                <w:tcPr>
                  <w:tcW w:w="1561" w:type="pct"/>
                  <w:tcBorders>
                    <w:tl2br w:val="nil"/>
                    <w:tr2bl w:val="nil"/>
                  </w:tcBorders>
                  <w:vAlign w:val="center"/>
                </w:tcPr>
                <w:p w14:paraId="7896A85C">
                  <w:pPr>
                    <w:pStyle w:val="130"/>
                    <w:widowControl w:val="0"/>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原料名称</w:t>
                  </w:r>
                </w:p>
              </w:tc>
              <w:tc>
                <w:tcPr>
                  <w:tcW w:w="704" w:type="pct"/>
                  <w:tcBorders>
                    <w:tl2br w:val="nil"/>
                    <w:tr2bl w:val="nil"/>
                  </w:tcBorders>
                  <w:vAlign w:val="center"/>
                </w:tcPr>
                <w:p w14:paraId="6DC6591A">
                  <w:pPr>
                    <w:pStyle w:val="130"/>
                    <w:widowControl w:val="0"/>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产污</w:t>
                  </w:r>
                </w:p>
                <w:p w14:paraId="60B5F009">
                  <w:pPr>
                    <w:pStyle w:val="130"/>
                    <w:widowControl w:val="0"/>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工序</w:t>
                  </w:r>
                </w:p>
              </w:tc>
              <w:tc>
                <w:tcPr>
                  <w:tcW w:w="991" w:type="pct"/>
                  <w:gridSpan w:val="2"/>
                  <w:tcBorders>
                    <w:tl2br w:val="nil"/>
                    <w:tr2bl w:val="nil"/>
                  </w:tcBorders>
                  <w:vAlign w:val="center"/>
                </w:tcPr>
                <w:p w14:paraId="138A0D84">
                  <w:pPr>
                    <w:pStyle w:val="130"/>
                    <w:widowControl w:val="0"/>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污染物指标</w:t>
                  </w:r>
                </w:p>
              </w:tc>
              <w:tc>
                <w:tcPr>
                  <w:tcW w:w="671" w:type="pct"/>
                  <w:tcBorders>
                    <w:tl2br w:val="nil"/>
                    <w:tr2bl w:val="nil"/>
                  </w:tcBorders>
                  <w:vAlign w:val="center"/>
                </w:tcPr>
                <w:p w14:paraId="234D6422">
                  <w:pPr>
                    <w:pStyle w:val="130"/>
                    <w:widowControl w:val="0"/>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单位</w:t>
                  </w:r>
                </w:p>
              </w:tc>
              <w:tc>
                <w:tcPr>
                  <w:tcW w:w="563" w:type="pct"/>
                  <w:tcBorders>
                    <w:tl2br w:val="nil"/>
                    <w:tr2bl w:val="nil"/>
                  </w:tcBorders>
                  <w:vAlign w:val="center"/>
                </w:tcPr>
                <w:p w14:paraId="0FEADE7B">
                  <w:pPr>
                    <w:pStyle w:val="130"/>
                    <w:widowControl w:val="0"/>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产污</w:t>
                  </w:r>
                </w:p>
                <w:p w14:paraId="7011E4BC">
                  <w:pPr>
                    <w:pStyle w:val="130"/>
                    <w:widowControl w:val="0"/>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系数</w:t>
                  </w:r>
                </w:p>
              </w:tc>
            </w:tr>
            <w:tr w14:paraId="22CBD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499" w:hRule="atLeast"/>
                <w:jc w:val="center"/>
              </w:trPr>
              <w:tc>
                <w:tcPr>
                  <w:tcW w:w="506" w:type="pct"/>
                  <w:tcBorders>
                    <w:tl2br w:val="nil"/>
                    <w:tr2bl w:val="nil"/>
                  </w:tcBorders>
                  <w:vAlign w:val="center"/>
                </w:tcPr>
                <w:p w14:paraId="15F71ACD">
                  <w:pPr>
                    <w:adjustRightInd w:val="0"/>
                    <w:snapToGrid w:val="0"/>
                    <w:spacing w:line="280" w:lineRule="exact"/>
                    <w:jc w:val="left"/>
                    <w:rPr>
                      <w:rFonts w:hint="default" w:ascii="Times New Roman" w:hAnsi="Times New Roman" w:cs="Times New Roman"/>
                      <w:b w:val="0"/>
                      <w:bCs w:val="0"/>
                      <w:color w:val="auto"/>
                      <w:szCs w:val="21"/>
                    </w:rPr>
                  </w:pPr>
                  <w:r>
                    <w:rPr>
                      <w:rFonts w:hint="default" w:ascii="Times New Roman" w:hAnsi="Times New Roman" w:cs="Times New Roman"/>
                      <w:b w:val="0"/>
                      <w:bCs w:val="0"/>
                      <w:color w:val="auto"/>
                      <w:kern w:val="0"/>
                      <w:szCs w:val="21"/>
                      <w:lang w:bidi="ar"/>
                    </w:rPr>
                    <w:t>干式预处理件</w:t>
                  </w:r>
                </w:p>
              </w:tc>
              <w:tc>
                <w:tcPr>
                  <w:tcW w:w="1561" w:type="pct"/>
                  <w:tcBorders>
                    <w:tl2br w:val="nil"/>
                    <w:tr2bl w:val="nil"/>
                  </w:tcBorders>
                  <w:vAlign w:val="center"/>
                </w:tcPr>
                <w:p w14:paraId="5D3ABD8C">
                  <w:pPr>
                    <w:adjustRightInd w:val="0"/>
                    <w:snapToGrid w:val="0"/>
                    <w:spacing w:line="280" w:lineRule="exact"/>
                    <w:jc w:val="both"/>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钢材（含板材、构件等）、铝材（含板材、构件等）、铝合金（含板材、构件等）、铁材、其他金属材料</w:t>
                  </w:r>
                </w:p>
              </w:tc>
              <w:tc>
                <w:tcPr>
                  <w:tcW w:w="704" w:type="pct"/>
                  <w:tcBorders>
                    <w:tl2br w:val="nil"/>
                    <w:tr2bl w:val="nil"/>
                  </w:tcBorders>
                  <w:vAlign w:val="center"/>
                </w:tcPr>
                <w:p w14:paraId="72DF832F">
                  <w:pPr>
                    <w:pStyle w:val="130"/>
                    <w:widowControl w:val="0"/>
                    <w:spacing w:line="280" w:lineRule="exact"/>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抛丸、喷砂、打磨、滚筒</w:t>
                  </w:r>
                </w:p>
              </w:tc>
              <w:tc>
                <w:tcPr>
                  <w:tcW w:w="446" w:type="pct"/>
                  <w:tcBorders>
                    <w:tl2br w:val="nil"/>
                    <w:tr2bl w:val="nil"/>
                  </w:tcBorders>
                  <w:vAlign w:val="center"/>
                </w:tcPr>
                <w:p w14:paraId="10E0D60D">
                  <w:pPr>
                    <w:pStyle w:val="130"/>
                    <w:widowControl w:val="0"/>
                    <w:spacing w:line="280" w:lineRule="exact"/>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废气</w:t>
                  </w:r>
                </w:p>
              </w:tc>
              <w:tc>
                <w:tcPr>
                  <w:tcW w:w="544" w:type="pct"/>
                  <w:tcBorders>
                    <w:tl2br w:val="nil"/>
                    <w:tr2bl w:val="nil"/>
                  </w:tcBorders>
                  <w:vAlign w:val="center"/>
                </w:tcPr>
                <w:p w14:paraId="5B1CCD5D">
                  <w:pPr>
                    <w:pStyle w:val="130"/>
                    <w:widowControl w:val="0"/>
                    <w:spacing w:line="280" w:lineRule="exact"/>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颗粒物</w:t>
                  </w:r>
                </w:p>
              </w:tc>
              <w:tc>
                <w:tcPr>
                  <w:tcW w:w="671" w:type="pct"/>
                  <w:tcBorders>
                    <w:tl2br w:val="nil"/>
                    <w:tr2bl w:val="nil"/>
                  </w:tcBorders>
                  <w:vAlign w:val="center"/>
                </w:tcPr>
                <w:p w14:paraId="09009542">
                  <w:pPr>
                    <w:pStyle w:val="130"/>
                    <w:widowControl w:val="0"/>
                    <w:spacing w:line="280" w:lineRule="exact"/>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千克/吨－原料</w:t>
                  </w:r>
                </w:p>
              </w:tc>
              <w:tc>
                <w:tcPr>
                  <w:tcW w:w="563" w:type="pct"/>
                  <w:tcBorders>
                    <w:tl2br w:val="nil"/>
                    <w:tr2bl w:val="nil"/>
                  </w:tcBorders>
                  <w:vAlign w:val="center"/>
                </w:tcPr>
                <w:p w14:paraId="38AD4188">
                  <w:pPr>
                    <w:pStyle w:val="130"/>
                    <w:widowControl w:val="0"/>
                    <w:spacing w:line="280" w:lineRule="exact"/>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2.19</w:t>
                  </w:r>
                </w:p>
              </w:tc>
            </w:tr>
            <w:tr w14:paraId="2CAB05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422" w:hRule="atLeast"/>
                <w:jc w:val="center"/>
              </w:trPr>
              <w:tc>
                <w:tcPr>
                  <w:tcW w:w="5000" w:type="pct"/>
                  <w:gridSpan w:val="7"/>
                  <w:tcBorders>
                    <w:tl2br w:val="nil"/>
                    <w:tr2bl w:val="nil"/>
                  </w:tcBorders>
                  <w:vAlign w:val="center"/>
                </w:tcPr>
                <w:p w14:paraId="58A16C26">
                  <w:pPr>
                    <w:pStyle w:val="130"/>
                    <w:widowControl w:val="0"/>
                    <w:jc w:val="left"/>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备注：项目采用除锈机进行除锈，属于机械除锈，产污系数参照抛丸、喷砂的产污系数。</w:t>
                  </w:r>
                </w:p>
              </w:tc>
            </w:tr>
          </w:tbl>
          <w:p w14:paraId="459AF0FC">
            <w:pPr>
              <w:pStyle w:val="41"/>
              <w:keepNext w:val="0"/>
              <w:keepLines w:val="0"/>
              <w:pageBreakBefore w:val="0"/>
              <w:widowControl w:val="0"/>
              <w:kinsoku/>
              <w:wordWrap/>
              <w:overflowPunct/>
              <w:topLinePunct w:val="0"/>
              <w:autoSpaceDE/>
              <w:autoSpaceDN/>
              <w:bidi w:val="0"/>
              <w:adjustRightInd w:val="0"/>
              <w:snapToGrid w:val="0"/>
              <w:spacing w:before="190" w:beforeLines="50" w:beforeAutospacing="0" w:after="0" w:afterAutospacing="0"/>
              <w:ind w:firstLine="480"/>
              <w:textAlignment w:val="auto"/>
              <w:rPr>
                <w:rFonts w:hint="default" w:ascii="Times New Roman" w:hAnsi="Times New Roman" w:cs="Times New Roman"/>
                <w:color w:val="auto"/>
                <w:szCs w:val="24"/>
              </w:rPr>
            </w:pPr>
            <w:r>
              <w:rPr>
                <w:rFonts w:hint="default" w:ascii="Times New Roman" w:hAnsi="Times New Roman" w:cs="Times New Roman"/>
                <w:bCs/>
                <w:color w:val="auto"/>
              </w:rPr>
              <w:t>本项目</w:t>
            </w:r>
            <w:r>
              <w:rPr>
                <w:rFonts w:hint="default" w:ascii="Times New Roman" w:hAnsi="Times New Roman" w:cs="Times New Roman"/>
                <w:bCs/>
                <w:color w:val="auto"/>
                <w:szCs w:val="24"/>
              </w:rPr>
              <w:t>剥壳除锈、打磨工序（</w:t>
            </w:r>
            <w:r>
              <w:rPr>
                <w:rFonts w:hint="default" w:ascii="Times New Roman" w:hAnsi="Times New Roman" w:cs="Times New Roman"/>
                <w:bCs/>
                <w:color w:val="auto"/>
              </w:rPr>
              <w:t>机械加工）为备用生产，年最大需要经过剥壳除锈、打磨的原料预计占比25%（即</w:t>
            </w:r>
            <w:r>
              <w:rPr>
                <w:rFonts w:hint="default" w:ascii="Times New Roman" w:hAnsi="Times New Roman" w:cs="Times New Roman"/>
                <w:bCs/>
                <w:color w:val="auto"/>
                <w:lang w:val="en-US" w:eastAsia="zh-CN"/>
              </w:rPr>
              <w:t>3</w:t>
            </w:r>
            <w:r>
              <w:rPr>
                <w:rFonts w:hint="default" w:ascii="Times New Roman" w:hAnsi="Times New Roman" w:cs="Times New Roman"/>
                <w:bCs/>
                <w:color w:val="auto"/>
              </w:rPr>
              <w:t>万t/a），则剥壳除锈、打磨工序颗粒物产生量</w:t>
            </w:r>
            <w:r>
              <w:rPr>
                <w:rFonts w:hint="default" w:ascii="Times New Roman" w:hAnsi="Times New Roman" w:cs="Times New Roman"/>
                <w:bCs/>
                <w:color w:val="auto"/>
                <w:lang w:val="en-US" w:eastAsia="zh-CN"/>
              </w:rPr>
              <w:t>65.7</w:t>
            </w:r>
            <w:r>
              <w:rPr>
                <w:rFonts w:hint="default" w:ascii="Times New Roman" w:hAnsi="Times New Roman" w:cs="Times New Roman"/>
                <w:color w:val="auto"/>
              </w:rPr>
              <w:t>t/a</w:t>
            </w:r>
            <w:r>
              <w:rPr>
                <w:rFonts w:hint="default" w:ascii="Times New Roman" w:hAnsi="Times New Roman" w:cs="Times New Roman"/>
                <w:bCs/>
                <w:color w:val="auto"/>
              </w:rPr>
              <w:t>，</w:t>
            </w:r>
            <w:r>
              <w:rPr>
                <w:rFonts w:hint="default" w:ascii="Times New Roman" w:hAnsi="Times New Roman" w:cs="Times New Roman"/>
                <w:bCs/>
                <w:color w:val="auto"/>
                <w:lang w:val="en-US" w:eastAsia="zh-CN"/>
              </w:rPr>
              <w:t>类比在建工程</w:t>
            </w:r>
            <w:r>
              <w:rPr>
                <w:rFonts w:hint="default" w:ascii="Times New Roman" w:hAnsi="Times New Roman" w:cs="Times New Roman"/>
                <w:bCs/>
                <w:color w:val="auto"/>
              </w:rPr>
              <w:t>剥壳除锈、打磨工序</w:t>
            </w:r>
            <w:r>
              <w:rPr>
                <w:rFonts w:hint="default" w:ascii="Times New Roman" w:hAnsi="Times New Roman" w:cs="Times New Roman"/>
                <w:bCs/>
                <w:color w:val="auto"/>
                <w:lang w:eastAsia="zh-CN"/>
              </w:rPr>
              <w:t>，</w:t>
            </w:r>
            <w:r>
              <w:rPr>
                <w:rFonts w:hint="default" w:ascii="Times New Roman" w:hAnsi="Times New Roman" w:cs="Times New Roman"/>
                <w:bCs/>
                <w:color w:val="auto"/>
              </w:rPr>
              <w:t>工业废气量为</w:t>
            </w:r>
            <w:r>
              <w:rPr>
                <w:rFonts w:hint="default" w:ascii="Times New Roman" w:hAnsi="Times New Roman" w:cs="Times New Roman"/>
                <w:bCs/>
                <w:color w:val="auto"/>
                <w:lang w:val="en-US" w:eastAsia="zh-CN"/>
              </w:rPr>
              <w:t>10123</w:t>
            </w:r>
            <w:r>
              <w:rPr>
                <w:rFonts w:hint="default" w:ascii="Times New Roman" w:hAnsi="Times New Roman" w:cs="Times New Roman"/>
                <w:bCs/>
                <w:color w:val="auto"/>
              </w:rPr>
              <w:t>m</w:t>
            </w:r>
            <w:r>
              <w:rPr>
                <w:rFonts w:hint="default" w:ascii="Times New Roman" w:hAnsi="Times New Roman" w:cs="Times New Roman"/>
                <w:bCs/>
                <w:color w:val="auto"/>
                <w:vertAlign w:val="superscript"/>
              </w:rPr>
              <w:t>3</w:t>
            </w:r>
            <w:r>
              <w:rPr>
                <w:rFonts w:hint="default" w:ascii="Times New Roman" w:hAnsi="Times New Roman" w:cs="Times New Roman"/>
                <w:bCs/>
                <w:color w:val="auto"/>
              </w:rPr>
              <w:t>/h，废气产生浓度</w:t>
            </w:r>
            <w:r>
              <w:rPr>
                <w:rFonts w:hint="default" w:ascii="Times New Roman" w:hAnsi="Times New Roman" w:cs="Times New Roman"/>
                <w:bCs/>
                <w:color w:val="auto"/>
                <w:lang w:val="en-US" w:eastAsia="zh-CN"/>
              </w:rPr>
              <w:t>1293.9</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bCs/>
                <w:color w:val="auto"/>
              </w:rPr>
              <w:t>，废气采用</w:t>
            </w:r>
            <w:r>
              <w:rPr>
                <w:rFonts w:hint="default" w:ascii="Times New Roman" w:hAnsi="Times New Roman" w:cs="Times New Roman"/>
                <w:bCs/>
                <w:color w:val="auto"/>
                <w:lang w:val="en-US" w:eastAsia="zh-CN"/>
              </w:rPr>
              <w:t>滤筒</w:t>
            </w:r>
            <w:r>
              <w:rPr>
                <w:rFonts w:hint="default" w:ascii="Times New Roman" w:hAnsi="Times New Roman" w:cs="Times New Roman"/>
                <w:bCs/>
                <w:color w:val="auto"/>
              </w:rPr>
              <w:t>除尘器处理后由18m</w:t>
            </w:r>
            <w:r>
              <w:rPr>
                <w:rFonts w:hint="default" w:ascii="Times New Roman" w:hAnsi="Times New Roman" w:cs="Times New Roman"/>
                <w:bCs/>
                <w:color w:val="auto"/>
                <w:szCs w:val="24"/>
              </w:rPr>
              <w:t>高排气筒排放。</w:t>
            </w:r>
            <w:r>
              <w:rPr>
                <w:rFonts w:hint="default" w:ascii="Times New Roman" w:hAnsi="Times New Roman" w:cs="Times New Roman"/>
                <w:bCs/>
                <w:color w:val="auto"/>
                <w:szCs w:val="24"/>
                <w:lang w:val="en-US" w:eastAsia="zh-CN"/>
              </w:rPr>
              <w:t>治理措施</w:t>
            </w:r>
            <w:r>
              <w:rPr>
                <w:rFonts w:hint="default" w:ascii="Times New Roman" w:hAnsi="Times New Roman" w:cs="Times New Roman"/>
                <w:bCs/>
                <w:color w:val="auto"/>
                <w:szCs w:val="24"/>
              </w:rPr>
              <w:t>去除率9</w:t>
            </w:r>
            <w:r>
              <w:rPr>
                <w:rFonts w:hint="default" w:ascii="Times New Roman" w:hAnsi="Times New Roman" w:cs="Times New Roman"/>
                <w:bCs/>
                <w:color w:val="auto"/>
                <w:szCs w:val="24"/>
                <w:lang w:val="en-US" w:eastAsia="zh-CN"/>
              </w:rPr>
              <w:t>9</w:t>
            </w:r>
            <w:r>
              <w:rPr>
                <w:rFonts w:hint="default" w:ascii="Times New Roman" w:hAnsi="Times New Roman" w:cs="Times New Roman"/>
                <w:bCs/>
                <w:color w:val="auto"/>
                <w:szCs w:val="24"/>
              </w:rPr>
              <w:t>%，</w:t>
            </w:r>
            <w:r>
              <w:rPr>
                <w:rFonts w:hint="default" w:ascii="Times New Roman" w:hAnsi="Times New Roman" w:cs="Times New Roman"/>
                <w:bCs/>
                <w:color w:val="auto"/>
              </w:rPr>
              <w:t>以年生产时间</w:t>
            </w:r>
            <w:r>
              <w:rPr>
                <w:rFonts w:hint="default" w:ascii="Times New Roman" w:hAnsi="Times New Roman" w:cs="Times New Roman"/>
                <w:bCs/>
                <w:color w:val="auto"/>
                <w:lang w:val="en-US" w:eastAsia="zh-CN"/>
              </w:rPr>
              <w:t>5016</w:t>
            </w:r>
            <w:r>
              <w:rPr>
                <w:rFonts w:hint="default" w:ascii="Times New Roman" w:hAnsi="Times New Roman" w:cs="Times New Roman"/>
                <w:bCs/>
                <w:color w:val="auto"/>
              </w:rPr>
              <w:t>h计，</w:t>
            </w:r>
            <w:r>
              <w:rPr>
                <w:rFonts w:hint="default" w:ascii="Times New Roman" w:hAnsi="Times New Roman" w:cs="Times New Roman"/>
                <w:bCs/>
                <w:color w:val="auto"/>
                <w:szCs w:val="24"/>
              </w:rPr>
              <w:t>则</w:t>
            </w:r>
            <w:r>
              <w:rPr>
                <w:rFonts w:hint="default" w:ascii="Times New Roman" w:hAnsi="Times New Roman" w:cs="Times New Roman"/>
                <w:color w:val="auto"/>
                <w:szCs w:val="24"/>
              </w:rPr>
              <w:t>颗粒物</w:t>
            </w:r>
            <w:r>
              <w:rPr>
                <w:rFonts w:hint="default" w:ascii="Times New Roman" w:hAnsi="Times New Roman" w:cs="Times New Roman"/>
                <w:color w:val="auto"/>
                <w:szCs w:val="24"/>
                <w:lang w:val="en-US" w:eastAsia="zh-CN"/>
              </w:rPr>
              <w:t>排放量0.657t/a，</w:t>
            </w:r>
            <w:r>
              <w:rPr>
                <w:rFonts w:hint="default" w:ascii="Times New Roman" w:hAnsi="Times New Roman" w:cs="Times New Roman"/>
                <w:color w:val="auto"/>
                <w:szCs w:val="24"/>
              </w:rPr>
              <w:t>排放浓度</w:t>
            </w:r>
            <w:r>
              <w:rPr>
                <w:rFonts w:hint="default" w:ascii="Times New Roman" w:hAnsi="Times New Roman" w:cs="Times New Roman"/>
                <w:color w:val="auto"/>
                <w:szCs w:val="24"/>
                <w:lang w:val="en-US" w:eastAsia="zh-CN"/>
              </w:rPr>
              <w:t>12.939</w:t>
            </w:r>
            <w:r>
              <w:rPr>
                <w:rFonts w:hint="default" w:ascii="Times New Roman" w:hAnsi="Times New Roman" w:cs="Times New Roman"/>
                <w:color w:val="auto"/>
                <w:szCs w:val="24"/>
              </w:rPr>
              <w:t>mg/m</w:t>
            </w:r>
            <w:r>
              <w:rPr>
                <w:rFonts w:hint="default" w:ascii="Times New Roman" w:hAnsi="Times New Roman" w:cs="Times New Roman"/>
                <w:color w:val="auto"/>
                <w:szCs w:val="24"/>
                <w:vertAlign w:val="superscript"/>
              </w:rPr>
              <w:t>3</w:t>
            </w:r>
            <w:r>
              <w:rPr>
                <w:rFonts w:hint="default" w:ascii="Times New Roman" w:hAnsi="Times New Roman" w:cs="Times New Roman"/>
                <w:bCs/>
                <w:color w:val="auto"/>
                <w:szCs w:val="24"/>
              </w:rPr>
              <w:t>，排放速率</w:t>
            </w:r>
            <w:r>
              <w:rPr>
                <w:rFonts w:hint="default" w:ascii="Times New Roman" w:hAnsi="Times New Roman" w:cs="Times New Roman"/>
                <w:bCs/>
                <w:color w:val="auto"/>
                <w:szCs w:val="24"/>
                <w:lang w:val="en-US" w:eastAsia="zh-CN"/>
              </w:rPr>
              <w:t>0.131</w:t>
            </w:r>
            <w:r>
              <w:rPr>
                <w:rFonts w:hint="default" w:ascii="Times New Roman" w:hAnsi="Times New Roman" w:cs="Times New Roman"/>
                <w:bCs/>
                <w:color w:val="auto"/>
                <w:szCs w:val="24"/>
              </w:rPr>
              <w:t>kg/h，能达到《大气污染物综合排放标准》（GB16297-1996）表2限值（≤120</w:t>
            </w:r>
            <w:r>
              <w:rPr>
                <w:rFonts w:hint="default" w:ascii="Times New Roman" w:hAnsi="Times New Roman" w:cs="Times New Roman"/>
                <w:color w:val="auto"/>
                <w:szCs w:val="24"/>
              </w:rPr>
              <w:t>mg/m</w:t>
            </w:r>
            <w:r>
              <w:rPr>
                <w:rFonts w:hint="default" w:ascii="Times New Roman" w:hAnsi="Times New Roman" w:cs="Times New Roman"/>
                <w:color w:val="auto"/>
                <w:szCs w:val="24"/>
                <w:vertAlign w:val="superscript"/>
              </w:rPr>
              <w:t>3</w:t>
            </w:r>
            <w:r>
              <w:rPr>
                <w:rFonts w:hint="default" w:ascii="Times New Roman" w:hAnsi="Times New Roman" w:cs="Times New Roman"/>
                <w:bCs/>
                <w:color w:val="auto"/>
                <w:szCs w:val="24"/>
              </w:rPr>
              <w:t>，4.94kg/h）</w:t>
            </w:r>
            <w:r>
              <w:rPr>
                <w:rFonts w:hint="default" w:ascii="Times New Roman" w:hAnsi="Times New Roman" w:cs="Times New Roman"/>
                <w:color w:val="auto"/>
                <w:szCs w:val="24"/>
              </w:rPr>
              <w:t>。</w:t>
            </w:r>
          </w:p>
          <w:p w14:paraId="4B29F2E8">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w:t>
            </w:r>
            <w:r>
              <w:rPr>
                <w:rFonts w:hint="default" w:ascii="Times New Roman" w:hAnsi="Times New Roman" w:cs="Times New Roman"/>
                <w:color w:val="auto"/>
                <w:kern w:val="0"/>
                <w:sz w:val="24"/>
                <w:lang w:bidi="ar"/>
              </w:rPr>
              <w:t>表面处理废气</w:t>
            </w:r>
          </w:p>
          <w:p w14:paraId="54BBE9FF">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kern w:val="0"/>
                <w:sz w:val="24"/>
                <w:lang w:bidi="ar"/>
              </w:rPr>
              <w:t>本项目建设全封闭环保节能型表面处理生产线，酸洗过程中产生的酸雾经引风机引入碱液喷淋吸收塔（1用1备）处理后，经18m排气筒排放；低位回用酸</w:t>
            </w:r>
            <w:r>
              <w:rPr>
                <w:rFonts w:hint="default" w:ascii="Times New Roman" w:hAnsi="Times New Roman" w:cs="Times New Roman"/>
                <w:color w:val="auto"/>
                <w:kern w:val="0"/>
                <w:sz w:val="24"/>
                <w:lang w:val="en-US" w:eastAsia="zh-CN" w:bidi="ar"/>
              </w:rPr>
              <w:t>罐（</w:t>
            </w:r>
            <w:r>
              <w:rPr>
                <w:rFonts w:hint="default" w:ascii="Times New Roman" w:hAnsi="Times New Roman" w:cs="Times New Roman"/>
                <w:color w:val="auto"/>
                <w:kern w:val="0"/>
                <w:sz w:val="24"/>
                <w:lang w:bidi="ar"/>
              </w:rPr>
              <w:t>池</w:t>
            </w:r>
            <w:r>
              <w:rPr>
                <w:rFonts w:hint="default" w:ascii="Times New Roman" w:hAnsi="Times New Roman" w:cs="Times New Roman"/>
                <w:color w:val="auto"/>
                <w:kern w:val="0"/>
                <w:sz w:val="24"/>
                <w:lang w:eastAsia="zh-CN" w:bidi="ar"/>
              </w:rPr>
              <w:t>）</w:t>
            </w:r>
            <w:r>
              <w:rPr>
                <w:rFonts w:hint="default" w:ascii="Times New Roman" w:hAnsi="Times New Roman" w:cs="Times New Roman"/>
                <w:color w:val="auto"/>
                <w:kern w:val="0"/>
                <w:sz w:val="24"/>
                <w:lang w:bidi="ar"/>
              </w:rPr>
              <w:t>废气、低位废酸</w:t>
            </w:r>
            <w:r>
              <w:rPr>
                <w:rFonts w:hint="default" w:ascii="Times New Roman" w:hAnsi="Times New Roman" w:cs="Times New Roman"/>
                <w:color w:val="auto"/>
                <w:kern w:val="0"/>
                <w:sz w:val="24"/>
                <w:lang w:val="en-US" w:eastAsia="zh-CN" w:bidi="ar"/>
              </w:rPr>
              <w:t>罐（</w:t>
            </w:r>
            <w:r>
              <w:rPr>
                <w:rFonts w:hint="default" w:ascii="Times New Roman" w:hAnsi="Times New Roman" w:cs="Times New Roman"/>
                <w:color w:val="auto"/>
                <w:kern w:val="0"/>
                <w:sz w:val="24"/>
                <w:lang w:bidi="ar"/>
              </w:rPr>
              <w:t>池</w:t>
            </w:r>
            <w:r>
              <w:rPr>
                <w:rFonts w:hint="default" w:ascii="Times New Roman" w:hAnsi="Times New Roman" w:cs="Times New Roman"/>
                <w:color w:val="auto"/>
                <w:kern w:val="0"/>
                <w:sz w:val="24"/>
                <w:lang w:eastAsia="zh-CN" w:bidi="ar"/>
              </w:rPr>
              <w:t>）</w:t>
            </w:r>
            <w:r>
              <w:rPr>
                <w:rFonts w:hint="default" w:ascii="Times New Roman" w:hAnsi="Times New Roman" w:cs="Times New Roman"/>
                <w:color w:val="auto"/>
                <w:kern w:val="0"/>
                <w:sz w:val="24"/>
                <w:lang w:bidi="ar"/>
              </w:rPr>
              <w:t>废气经管道引入碱液喷淋吸收塔处理后，经18m排气筒排放（与酸洗槽废气共用）</w:t>
            </w:r>
            <w:r>
              <w:rPr>
                <w:rFonts w:hint="default" w:ascii="Times New Roman" w:hAnsi="Times New Roman" w:cs="Times New Roman"/>
                <w:color w:val="auto"/>
                <w:sz w:val="24"/>
              </w:rPr>
              <w:t>，设计</w:t>
            </w:r>
            <w:r>
              <w:rPr>
                <w:rFonts w:hint="default" w:ascii="Times New Roman" w:hAnsi="Times New Roman" w:cs="Times New Roman"/>
                <w:snapToGrid w:val="0"/>
                <w:color w:val="auto"/>
                <w:kern w:val="0"/>
                <w:sz w:val="24"/>
              </w:rPr>
              <w:t>风机风量为30000m</w:t>
            </w:r>
            <w:r>
              <w:rPr>
                <w:rFonts w:hint="default" w:ascii="Times New Roman" w:hAnsi="Times New Roman" w:cs="Times New Roman"/>
                <w:snapToGrid w:val="0"/>
                <w:color w:val="auto"/>
                <w:kern w:val="0"/>
                <w:sz w:val="24"/>
                <w:vertAlign w:val="superscript"/>
              </w:rPr>
              <w:t>3</w:t>
            </w:r>
            <w:r>
              <w:rPr>
                <w:rFonts w:hint="default" w:ascii="Times New Roman" w:hAnsi="Times New Roman" w:cs="Times New Roman"/>
                <w:snapToGrid w:val="0"/>
                <w:color w:val="auto"/>
                <w:kern w:val="0"/>
                <w:sz w:val="24"/>
              </w:rPr>
              <w:t>/h。</w:t>
            </w:r>
          </w:p>
          <w:p w14:paraId="7A7A571E">
            <w:pPr>
              <w:pStyle w:val="6"/>
              <w:ind w:firstLine="480" w:firstLineChars="20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I、酸洗槽</w:t>
            </w:r>
            <w:r>
              <w:rPr>
                <w:rFonts w:hint="default" w:ascii="Times New Roman" w:hAnsi="Times New Roman" w:eastAsia="宋体" w:cs="Times New Roman"/>
                <w:color w:val="auto"/>
                <w:szCs w:val="24"/>
                <w:lang w:eastAsia="zh-CN"/>
              </w:rPr>
              <w:t>、</w:t>
            </w:r>
            <w:r>
              <w:rPr>
                <w:rFonts w:hint="default" w:ascii="Times New Roman" w:hAnsi="Times New Roman" w:eastAsia="宋体" w:cs="Times New Roman"/>
                <w:color w:val="auto"/>
                <w:szCs w:val="24"/>
                <w:lang w:val="en-US" w:eastAsia="zh-CN"/>
              </w:rPr>
              <w:t>磷化槽</w:t>
            </w:r>
            <w:r>
              <w:rPr>
                <w:rFonts w:hint="default" w:ascii="Times New Roman" w:hAnsi="Times New Roman" w:eastAsia="宋体" w:cs="Times New Roman"/>
                <w:color w:val="auto"/>
                <w:szCs w:val="24"/>
              </w:rPr>
              <w:t>废气</w:t>
            </w:r>
          </w:p>
          <w:p w14:paraId="2201B390">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项目共设置6个酸洗槽，酸洗槽内盐酸的浓度6%~22%，受工件扰动等因素影响，酸洗池内将产生一定量的盐酸雾，盐酸雾一部分来自酸雾挥发，另一部分来自盐酸与金属反应，生成的氢气带出的酸。</w:t>
            </w:r>
          </w:p>
          <w:p w14:paraId="20A9702F">
            <w:pPr>
              <w:adjustRightInd w:val="0"/>
              <w:snapToGrid w:val="0"/>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项目设置3个磷化槽（2用1备），根据业主提供资料磷化液中硝酸含量18%~23%，磷化液加水进入磷化槽，槽中硝酸含量＜3%。</w:t>
            </w:r>
          </w:p>
          <w:p w14:paraId="39FBDAD2">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酸雾</w:t>
            </w:r>
            <w:r>
              <w:rPr>
                <w:rFonts w:hint="default" w:ascii="Times New Roman" w:hAnsi="Times New Roman" w:cs="Times New Roman"/>
                <w:color w:val="auto"/>
                <w:sz w:val="24"/>
              </w:rPr>
              <w:t>产生量的大小与生产规模、酸用量、酸浓度、作业条件、作业面面积大小都有密切的关系，槽内酸雾排放速率</w:t>
            </w:r>
            <w:r>
              <w:rPr>
                <w:rFonts w:hint="default" w:ascii="Times New Roman" w:hAnsi="Times New Roman" w:cs="Times New Roman"/>
                <w:color w:val="auto"/>
                <w:spacing w:val="-5"/>
                <w:sz w:val="24"/>
              </w:rPr>
              <w:t>参照《污染源源强核算技术指南 电镀》（HJ984-2018）中废气污染物产生量产污系数法</w:t>
            </w:r>
            <w:r>
              <w:rPr>
                <w:rFonts w:hint="default" w:ascii="Times New Roman" w:hAnsi="Times New Roman" w:cs="Times New Roman"/>
                <w:color w:val="auto"/>
                <w:spacing w:val="-6"/>
                <w:sz w:val="24"/>
              </w:rPr>
              <w:t>计算</w:t>
            </w:r>
            <w:r>
              <w:rPr>
                <w:rFonts w:hint="default" w:ascii="Times New Roman" w:hAnsi="Times New Roman" w:cs="Times New Roman"/>
                <w:color w:val="auto"/>
                <w:spacing w:val="-4"/>
                <w:sz w:val="24"/>
              </w:rPr>
              <w:t>，计算公式如下：</w:t>
            </w:r>
          </w:p>
          <w:p w14:paraId="07925013">
            <w:pPr>
              <w:adjustRightInd w:val="0"/>
              <w:snapToGrid w:val="0"/>
              <w:spacing w:line="360" w:lineRule="auto"/>
              <w:ind w:firstLine="476" w:firstLineChars="200"/>
              <w:rPr>
                <w:rFonts w:hint="default" w:ascii="Times New Roman" w:hAnsi="Times New Roman" w:cs="Times New Roman"/>
                <w:color w:val="auto"/>
                <w:spacing w:val="-1"/>
                <w:sz w:val="24"/>
              </w:rPr>
            </w:pPr>
            <w:r>
              <w:rPr>
                <w:rFonts w:hint="default" w:ascii="Times New Roman" w:hAnsi="Times New Roman" w:cs="Times New Roman"/>
                <w:color w:val="auto"/>
                <w:spacing w:val="-1"/>
                <w:sz w:val="24"/>
              </w:rPr>
              <w:drawing>
                <wp:inline distT="0" distB="0" distL="114300" distR="114300">
                  <wp:extent cx="1530985" cy="494030"/>
                  <wp:effectExtent l="0" t="0" r="12065" b="1270"/>
                  <wp:docPr id="21" name="图片 21" descr="1726792926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726792926322"/>
                          <pic:cNvPicPr>
                            <a:picLocks noChangeAspect="1"/>
                          </pic:cNvPicPr>
                        </pic:nvPicPr>
                        <pic:blipFill>
                          <a:blip r:embed="rId21"/>
                          <a:stretch>
                            <a:fillRect/>
                          </a:stretch>
                        </pic:blipFill>
                        <pic:spPr>
                          <a:xfrm>
                            <a:off x="0" y="0"/>
                            <a:ext cx="1530985" cy="494030"/>
                          </a:xfrm>
                          <a:prstGeom prst="rect">
                            <a:avLst/>
                          </a:prstGeom>
                        </pic:spPr>
                      </pic:pic>
                    </a:graphicData>
                  </a:graphic>
                </wp:inline>
              </w:drawing>
            </w:r>
          </w:p>
          <w:p w14:paraId="6BBD0461">
            <w:pPr>
              <w:adjustRightInd w:val="0"/>
              <w:snapToGrid w:val="0"/>
              <w:spacing w:line="360" w:lineRule="auto"/>
              <w:ind w:firstLine="476" w:firstLineChars="200"/>
              <w:rPr>
                <w:rFonts w:hint="default" w:ascii="Times New Roman" w:hAnsi="Times New Roman" w:cs="Times New Roman"/>
                <w:color w:val="auto"/>
                <w:sz w:val="24"/>
              </w:rPr>
            </w:pPr>
            <w:r>
              <w:rPr>
                <w:rFonts w:hint="default" w:ascii="Times New Roman" w:hAnsi="Times New Roman" w:cs="Times New Roman"/>
                <w:color w:val="auto"/>
                <w:spacing w:val="-1"/>
                <w:sz w:val="24"/>
              </w:rPr>
              <w:t>式中，</w:t>
            </w:r>
            <w:r>
              <w:rPr>
                <w:rFonts w:hint="default" w:ascii="Times New Roman" w:hAnsi="Times New Roman" w:eastAsia="Times New Roman" w:cs="Times New Roman"/>
                <w:color w:val="auto"/>
                <w:spacing w:val="-1"/>
                <w:sz w:val="24"/>
              </w:rPr>
              <w:t>D—核算时段内污染物产生量，t</w:t>
            </w:r>
            <w:r>
              <w:rPr>
                <w:rFonts w:hint="default" w:ascii="Times New Roman" w:hAnsi="Times New Roman" w:cs="Times New Roman"/>
                <w:color w:val="auto"/>
                <w:spacing w:val="-1"/>
                <w:sz w:val="24"/>
              </w:rPr>
              <w:t>；</w:t>
            </w:r>
          </w:p>
          <w:p w14:paraId="3A0FEECA">
            <w:pPr>
              <w:adjustRightInd w:val="0"/>
              <w:snapToGrid w:val="0"/>
              <w:spacing w:line="360" w:lineRule="auto"/>
              <w:ind w:firstLine="456" w:firstLineChars="200"/>
              <w:rPr>
                <w:rFonts w:hint="default" w:ascii="Times New Roman" w:hAnsi="Times New Roman" w:eastAsia="Times New Roman" w:cs="Times New Roman"/>
                <w:color w:val="auto"/>
                <w:spacing w:val="-6"/>
                <w:sz w:val="24"/>
              </w:rPr>
            </w:pPr>
            <w:r>
              <w:rPr>
                <w:rFonts w:hint="default" w:ascii="Times New Roman" w:hAnsi="Times New Roman" w:eastAsia="Times New Roman" w:cs="Times New Roman"/>
                <w:color w:val="auto"/>
                <w:spacing w:val="-6"/>
                <w:sz w:val="24"/>
              </w:rPr>
              <w:t>Gs—单位镀槽液面面积单位时间废气污染物产生量，g/(m</w:t>
            </w:r>
            <w:r>
              <w:rPr>
                <w:rFonts w:hint="default" w:ascii="Times New Roman" w:hAnsi="Times New Roman" w:eastAsia="Times New Roman" w:cs="Times New Roman"/>
                <w:color w:val="auto"/>
                <w:spacing w:val="-6"/>
                <w:sz w:val="24"/>
                <w:vertAlign w:val="superscript"/>
              </w:rPr>
              <w:t>2</w:t>
            </w:r>
            <w:r>
              <w:rPr>
                <w:rFonts w:hint="default" w:ascii="Times New Roman" w:hAnsi="Times New Roman" w:eastAsia="Times New Roman" w:cs="Times New Roman"/>
                <w:color w:val="auto"/>
                <w:spacing w:val="-6"/>
                <w:sz w:val="24"/>
              </w:rPr>
              <w:t>·h)</w:t>
            </w:r>
            <w:r>
              <w:rPr>
                <w:rFonts w:hint="default" w:ascii="Times New Roman" w:hAnsi="Times New Roman" w:cs="Times New Roman"/>
                <w:color w:val="auto"/>
                <w:spacing w:val="-6"/>
                <w:sz w:val="24"/>
              </w:rPr>
              <w:t>，参照表B.1产污系数</w:t>
            </w:r>
            <w:r>
              <w:rPr>
                <w:rFonts w:hint="default" w:ascii="Times New Roman" w:hAnsi="Times New Roman" w:eastAsia="Times New Roman" w:cs="Times New Roman"/>
                <w:color w:val="auto"/>
                <w:spacing w:val="-6"/>
                <w:sz w:val="24"/>
              </w:rPr>
              <w:t>；</w:t>
            </w:r>
          </w:p>
          <w:p w14:paraId="0BE94E66">
            <w:pPr>
              <w:adjustRightInd w:val="0"/>
              <w:snapToGrid w:val="0"/>
              <w:spacing w:line="360" w:lineRule="auto"/>
              <w:ind w:firstLine="476" w:firstLineChars="200"/>
              <w:rPr>
                <w:rFonts w:hint="default" w:ascii="Times New Roman" w:hAnsi="Times New Roman" w:cs="Times New Roman"/>
                <w:color w:val="auto"/>
                <w:sz w:val="24"/>
              </w:rPr>
            </w:pPr>
            <w:r>
              <w:rPr>
                <w:rFonts w:hint="default" w:ascii="Times New Roman" w:hAnsi="Times New Roman" w:eastAsia="Times New Roman" w:cs="Times New Roman"/>
                <w:color w:val="auto"/>
                <w:spacing w:val="-1"/>
                <w:sz w:val="24"/>
              </w:rPr>
              <w:t>A—镀槽液面面积，m</w:t>
            </w:r>
            <w:r>
              <w:rPr>
                <w:rFonts w:hint="default" w:ascii="Times New Roman" w:hAnsi="Times New Roman" w:eastAsia="Times New Roman" w:cs="Times New Roman"/>
                <w:color w:val="auto"/>
                <w:spacing w:val="-1"/>
                <w:sz w:val="24"/>
                <w:vertAlign w:val="superscript"/>
              </w:rPr>
              <w:t>2</w:t>
            </w:r>
            <w:r>
              <w:rPr>
                <w:rFonts w:hint="default" w:ascii="Times New Roman" w:hAnsi="Times New Roman" w:eastAsia="Times New Roman" w:cs="Times New Roman"/>
                <w:color w:val="auto"/>
                <w:spacing w:val="-1"/>
                <w:sz w:val="24"/>
              </w:rPr>
              <w:t>；</w:t>
            </w:r>
          </w:p>
          <w:p w14:paraId="3F4831B9">
            <w:pPr>
              <w:adjustRightInd w:val="0"/>
              <w:snapToGrid w:val="0"/>
              <w:spacing w:line="360" w:lineRule="auto"/>
              <w:ind w:firstLine="484" w:firstLineChars="200"/>
              <w:rPr>
                <w:rFonts w:hint="default" w:ascii="Times New Roman" w:hAnsi="Times New Roman" w:eastAsia="Times New Roman" w:cs="Times New Roman"/>
                <w:color w:val="auto"/>
                <w:spacing w:val="1"/>
                <w:sz w:val="24"/>
              </w:rPr>
            </w:pPr>
            <w:r>
              <w:rPr>
                <w:rFonts w:hint="default" w:ascii="Times New Roman" w:hAnsi="Times New Roman" w:eastAsia="Times New Roman" w:cs="Times New Roman"/>
                <w:color w:val="auto"/>
                <w:spacing w:val="1"/>
                <w:sz w:val="24"/>
              </w:rPr>
              <w:t>t—核算时段内污染物产生时间，h。</w:t>
            </w:r>
          </w:p>
          <w:p w14:paraId="61FA203B">
            <w:pPr>
              <w:adjustRightInd w:val="0"/>
              <w:snapToGrid w:val="0"/>
              <w:spacing w:line="360" w:lineRule="auto"/>
              <w:ind w:firstLine="472" w:firstLineChars="200"/>
              <w:rPr>
                <w:rFonts w:hint="default" w:ascii="Times New Roman" w:hAnsi="Times New Roman" w:cs="Times New Roman"/>
                <w:color w:val="auto"/>
                <w:sz w:val="24"/>
              </w:rPr>
            </w:pPr>
            <w:r>
              <w:rPr>
                <w:rFonts w:hint="default" w:ascii="Times New Roman" w:hAnsi="Times New Roman" w:cs="Times New Roman"/>
                <w:color w:val="auto"/>
                <w:spacing w:val="-2"/>
                <w:sz w:val="24"/>
              </w:rPr>
              <w:t>项目表面处理生产线</w:t>
            </w:r>
            <w:r>
              <w:rPr>
                <w:rFonts w:hint="default" w:ascii="Times New Roman" w:hAnsi="Times New Roman" w:cs="Times New Roman"/>
                <w:color w:val="auto"/>
                <w:spacing w:val="-2"/>
                <w:sz w:val="24"/>
                <w:lang w:val="en-US" w:eastAsia="zh-CN"/>
              </w:rPr>
              <w:t>设备</w:t>
            </w:r>
            <w:r>
              <w:rPr>
                <w:rFonts w:hint="default" w:ascii="Times New Roman" w:hAnsi="Times New Roman" w:cs="Times New Roman"/>
                <w:color w:val="auto"/>
                <w:spacing w:val="-2"/>
                <w:sz w:val="24"/>
              </w:rPr>
              <w:t>及</w:t>
            </w:r>
            <w:r>
              <w:rPr>
                <w:rFonts w:hint="default" w:ascii="Times New Roman" w:hAnsi="Times New Roman" w:cs="Times New Roman"/>
                <w:color w:val="auto"/>
                <w:spacing w:val="-2"/>
                <w:sz w:val="24"/>
                <w:lang w:val="en-US" w:eastAsia="zh-CN"/>
              </w:rPr>
              <w:t>废气</w:t>
            </w:r>
            <w:r>
              <w:rPr>
                <w:rFonts w:hint="default" w:ascii="Times New Roman" w:hAnsi="Times New Roman" w:cs="Times New Roman"/>
                <w:color w:val="auto"/>
                <w:spacing w:val="-2"/>
                <w:sz w:val="24"/>
              </w:rPr>
              <w:t>产生情况详见下表。</w:t>
            </w:r>
          </w:p>
          <w:p w14:paraId="1A5BE616">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表4.2-2  项目生产线酸雾废气蒸发面积情况表</w:t>
            </w:r>
          </w:p>
          <w:tbl>
            <w:tblPr>
              <w:tblStyle w:val="84"/>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402"/>
              <w:gridCol w:w="1044"/>
              <w:gridCol w:w="1832"/>
              <w:gridCol w:w="1832"/>
              <w:gridCol w:w="2262"/>
            </w:tblGrid>
            <w:tr w14:paraId="10A8B2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37" w:type="pct"/>
                  <w:tcBorders>
                    <w:tl2br w:val="nil"/>
                    <w:tr2bl w:val="nil"/>
                  </w:tcBorders>
                  <w:vAlign w:val="center"/>
                </w:tcPr>
                <w:p w14:paraId="0FEECA2D">
                  <w:pPr>
                    <w:adjustRightInd w:val="0"/>
                    <w:snapToGrid w:val="0"/>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产污设备</w:t>
                  </w:r>
                </w:p>
              </w:tc>
              <w:tc>
                <w:tcPr>
                  <w:tcW w:w="623" w:type="pct"/>
                  <w:tcBorders>
                    <w:tl2br w:val="nil"/>
                    <w:tr2bl w:val="nil"/>
                  </w:tcBorders>
                  <w:vAlign w:val="center"/>
                </w:tcPr>
                <w:p w14:paraId="562A1F20">
                  <w:pPr>
                    <w:adjustRightInd w:val="0"/>
                    <w:snapToGrid w:val="0"/>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污染物</w:t>
                  </w:r>
                </w:p>
              </w:tc>
              <w:tc>
                <w:tcPr>
                  <w:tcW w:w="1094" w:type="pct"/>
                  <w:tcBorders>
                    <w:tl2br w:val="nil"/>
                    <w:tr2bl w:val="nil"/>
                  </w:tcBorders>
                  <w:vAlign w:val="center"/>
                </w:tcPr>
                <w:p w14:paraId="2E8F9758">
                  <w:pPr>
                    <w:adjustRightInd w:val="0"/>
                    <w:snapToGrid w:val="0"/>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浓度</w:t>
                  </w:r>
                </w:p>
              </w:tc>
              <w:tc>
                <w:tcPr>
                  <w:tcW w:w="1094" w:type="pct"/>
                  <w:tcBorders>
                    <w:tl2br w:val="nil"/>
                    <w:tr2bl w:val="nil"/>
                  </w:tcBorders>
                  <w:vAlign w:val="center"/>
                </w:tcPr>
                <w:p w14:paraId="5CE28879">
                  <w:pPr>
                    <w:adjustRightInd w:val="0"/>
                    <w:snapToGrid w:val="0"/>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液槽尺寸 m</w:t>
                  </w:r>
                </w:p>
              </w:tc>
              <w:tc>
                <w:tcPr>
                  <w:tcW w:w="1350" w:type="pct"/>
                  <w:tcBorders>
                    <w:tl2br w:val="nil"/>
                    <w:tr2bl w:val="nil"/>
                  </w:tcBorders>
                  <w:vAlign w:val="center"/>
                </w:tcPr>
                <w:p w14:paraId="7F2E793E">
                  <w:pPr>
                    <w:adjustRightInd w:val="0"/>
                    <w:snapToGrid w:val="0"/>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产污系数（g/m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·h）</w:t>
                  </w:r>
                </w:p>
              </w:tc>
            </w:tr>
            <w:tr w14:paraId="38F92B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37" w:type="pct"/>
                  <w:tcBorders>
                    <w:tl2br w:val="nil"/>
                    <w:tr2bl w:val="nil"/>
                  </w:tcBorders>
                  <w:vAlign w:val="center"/>
                </w:tcPr>
                <w:p w14:paraId="2D60BE00">
                  <w:pPr>
                    <w:adjustRightInd w:val="0"/>
                    <w:snapToGrid w:val="0"/>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酸洗槽1</w:t>
                  </w:r>
                </w:p>
              </w:tc>
              <w:tc>
                <w:tcPr>
                  <w:tcW w:w="623" w:type="pct"/>
                  <w:tcBorders>
                    <w:tl2br w:val="nil"/>
                    <w:tr2bl w:val="nil"/>
                  </w:tcBorders>
                  <w:vAlign w:val="center"/>
                </w:tcPr>
                <w:p w14:paraId="120F5BEA">
                  <w:pPr>
                    <w:adjustRightInd w:val="0"/>
                    <w:snapToGrid w:val="0"/>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氯化氢</w:t>
                  </w:r>
                </w:p>
              </w:tc>
              <w:tc>
                <w:tcPr>
                  <w:tcW w:w="1094" w:type="pct"/>
                  <w:tcBorders>
                    <w:tl2br w:val="nil"/>
                    <w:tr2bl w:val="nil"/>
                  </w:tcBorders>
                  <w:vAlign w:val="center"/>
                </w:tcPr>
                <w:p w14:paraId="7EB0C002">
                  <w:pPr>
                    <w:adjustRightInd w:val="0"/>
                    <w:snapToGrid w:val="0"/>
                    <w:spacing w:line="280" w:lineRule="exact"/>
                    <w:jc w:val="center"/>
                    <w:rPr>
                      <w:rFonts w:hint="default" w:ascii="Times New Roman" w:hAnsi="Times New Roman" w:cs="Times New Roman"/>
                      <w:color w:val="auto"/>
                      <w:szCs w:val="21"/>
                    </w:rPr>
                  </w:pPr>
                </w:p>
              </w:tc>
              <w:tc>
                <w:tcPr>
                  <w:tcW w:w="1094" w:type="pct"/>
                  <w:tcBorders>
                    <w:tl2br w:val="nil"/>
                    <w:tr2bl w:val="nil"/>
                  </w:tcBorders>
                  <w:vAlign w:val="center"/>
                </w:tcPr>
                <w:p w14:paraId="771649C5">
                  <w:pPr>
                    <w:adjustRightInd w:val="0"/>
                    <w:snapToGrid w:val="0"/>
                    <w:spacing w:line="280" w:lineRule="exact"/>
                    <w:jc w:val="center"/>
                    <w:rPr>
                      <w:rFonts w:hint="default" w:ascii="Times New Roman" w:hAnsi="Times New Roman" w:cs="Times New Roman"/>
                      <w:color w:val="auto"/>
                      <w:szCs w:val="21"/>
                    </w:rPr>
                  </w:pPr>
                </w:p>
              </w:tc>
              <w:tc>
                <w:tcPr>
                  <w:tcW w:w="1350" w:type="pct"/>
                  <w:tcBorders>
                    <w:tl2br w:val="nil"/>
                    <w:tr2bl w:val="nil"/>
                  </w:tcBorders>
                  <w:vAlign w:val="center"/>
                </w:tcPr>
                <w:p w14:paraId="56F71C8A">
                  <w:pPr>
                    <w:adjustRightInd w:val="0"/>
                    <w:snapToGrid w:val="0"/>
                    <w:spacing w:line="280" w:lineRule="exact"/>
                    <w:jc w:val="center"/>
                    <w:rPr>
                      <w:rFonts w:hint="default" w:ascii="Times New Roman" w:hAnsi="Times New Roman" w:cs="Times New Roman"/>
                      <w:color w:val="auto"/>
                      <w:szCs w:val="21"/>
                    </w:rPr>
                  </w:pPr>
                </w:p>
              </w:tc>
            </w:tr>
            <w:tr w14:paraId="05C82C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37" w:type="pct"/>
                  <w:tcBorders>
                    <w:tl2br w:val="nil"/>
                    <w:tr2bl w:val="nil"/>
                  </w:tcBorders>
                  <w:vAlign w:val="center"/>
                </w:tcPr>
                <w:p w14:paraId="0316868E">
                  <w:pPr>
                    <w:adjustRightInd w:val="0"/>
                    <w:snapToGrid w:val="0"/>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酸洗槽2</w:t>
                  </w:r>
                </w:p>
              </w:tc>
              <w:tc>
                <w:tcPr>
                  <w:tcW w:w="623" w:type="pct"/>
                  <w:tcBorders>
                    <w:tl2br w:val="nil"/>
                    <w:tr2bl w:val="nil"/>
                  </w:tcBorders>
                  <w:vAlign w:val="center"/>
                </w:tcPr>
                <w:p w14:paraId="04ECA4A9">
                  <w:pPr>
                    <w:adjustRightInd w:val="0"/>
                    <w:snapToGrid w:val="0"/>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氯化氢</w:t>
                  </w:r>
                </w:p>
              </w:tc>
              <w:tc>
                <w:tcPr>
                  <w:tcW w:w="1094" w:type="pct"/>
                  <w:tcBorders>
                    <w:tl2br w:val="nil"/>
                    <w:tr2bl w:val="nil"/>
                  </w:tcBorders>
                  <w:vAlign w:val="center"/>
                </w:tcPr>
                <w:p w14:paraId="71098EFA">
                  <w:pPr>
                    <w:adjustRightInd w:val="0"/>
                    <w:snapToGrid w:val="0"/>
                    <w:spacing w:line="280" w:lineRule="exact"/>
                    <w:jc w:val="center"/>
                    <w:rPr>
                      <w:rFonts w:hint="default" w:ascii="Times New Roman" w:hAnsi="Times New Roman" w:cs="Times New Roman"/>
                      <w:color w:val="auto"/>
                      <w:szCs w:val="21"/>
                    </w:rPr>
                  </w:pPr>
                </w:p>
              </w:tc>
              <w:tc>
                <w:tcPr>
                  <w:tcW w:w="1094" w:type="pct"/>
                  <w:tcBorders>
                    <w:tl2br w:val="nil"/>
                    <w:tr2bl w:val="nil"/>
                  </w:tcBorders>
                  <w:vAlign w:val="center"/>
                </w:tcPr>
                <w:p w14:paraId="327995B1">
                  <w:pPr>
                    <w:adjustRightInd w:val="0"/>
                    <w:snapToGrid w:val="0"/>
                    <w:spacing w:line="280" w:lineRule="exact"/>
                    <w:jc w:val="center"/>
                    <w:rPr>
                      <w:rFonts w:hint="default" w:ascii="Times New Roman" w:hAnsi="Times New Roman" w:cs="Times New Roman"/>
                      <w:color w:val="auto"/>
                      <w:szCs w:val="21"/>
                    </w:rPr>
                  </w:pPr>
                </w:p>
              </w:tc>
              <w:tc>
                <w:tcPr>
                  <w:tcW w:w="1350" w:type="pct"/>
                  <w:vMerge w:val="restart"/>
                  <w:tcBorders>
                    <w:tl2br w:val="nil"/>
                    <w:tr2bl w:val="nil"/>
                  </w:tcBorders>
                  <w:vAlign w:val="center"/>
                </w:tcPr>
                <w:p w14:paraId="115097E2">
                  <w:pPr>
                    <w:adjustRightInd w:val="0"/>
                    <w:snapToGrid w:val="0"/>
                    <w:spacing w:line="280" w:lineRule="exact"/>
                    <w:jc w:val="center"/>
                    <w:rPr>
                      <w:rFonts w:hint="default" w:ascii="Times New Roman" w:hAnsi="Times New Roman" w:cs="Times New Roman"/>
                      <w:color w:val="auto"/>
                      <w:szCs w:val="21"/>
                    </w:rPr>
                  </w:pPr>
                </w:p>
              </w:tc>
            </w:tr>
            <w:tr w14:paraId="7AE440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37" w:type="pct"/>
                  <w:tcBorders>
                    <w:tl2br w:val="nil"/>
                    <w:tr2bl w:val="nil"/>
                  </w:tcBorders>
                  <w:vAlign w:val="center"/>
                </w:tcPr>
                <w:p w14:paraId="07BCD853">
                  <w:pPr>
                    <w:adjustRightInd w:val="0"/>
                    <w:snapToGrid w:val="0"/>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酸洗槽3</w:t>
                  </w:r>
                </w:p>
              </w:tc>
              <w:tc>
                <w:tcPr>
                  <w:tcW w:w="623" w:type="pct"/>
                  <w:tcBorders>
                    <w:tl2br w:val="nil"/>
                    <w:tr2bl w:val="nil"/>
                  </w:tcBorders>
                  <w:vAlign w:val="center"/>
                </w:tcPr>
                <w:p w14:paraId="692E73F8">
                  <w:pPr>
                    <w:adjustRightInd w:val="0"/>
                    <w:snapToGrid w:val="0"/>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氯化氢</w:t>
                  </w:r>
                </w:p>
              </w:tc>
              <w:tc>
                <w:tcPr>
                  <w:tcW w:w="1094" w:type="pct"/>
                  <w:tcBorders>
                    <w:tl2br w:val="nil"/>
                    <w:tr2bl w:val="nil"/>
                  </w:tcBorders>
                  <w:vAlign w:val="center"/>
                </w:tcPr>
                <w:p w14:paraId="4ABACD4F">
                  <w:pPr>
                    <w:adjustRightInd w:val="0"/>
                    <w:snapToGrid w:val="0"/>
                    <w:spacing w:line="280" w:lineRule="exact"/>
                    <w:jc w:val="center"/>
                    <w:rPr>
                      <w:rFonts w:hint="default" w:ascii="Times New Roman" w:hAnsi="Times New Roman" w:cs="Times New Roman"/>
                      <w:color w:val="auto"/>
                      <w:szCs w:val="21"/>
                    </w:rPr>
                  </w:pPr>
                </w:p>
              </w:tc>
              <w:tc>
                <w:tcPr>
                  <w:tcW w:w="1094" w:type="pct"/>
                  <w:tcBorders>
                    <w:tl2br w:val="nil"/>
                    <w:tr2bl w:val="nil"/>
                  </w:tcBorders>
                  <w:vAlign w:val="center"/>
                </w:tcPr>
                <w:p w14:paraId="37CD97BA">
                  <w:pPr>
                    <w:adjustRightInd w:val="0"/>
                    <w:snapToGrid w:val="0"/>
                    <w:spacing w:line="280" w:lineRule="exact"/>
                    <w:jc w:val="center"/>
                    <w:rPr>
                      <w:rFonts w:hint="default" w:ascii="Times New Roman" w:hAnsi="Times New Roman" w:cs="Times New Roman"/>
                      <w:color w:val="auto"/>
                      <w:szCs w:val="21"/>
                    </w:rPr>
                  </w:pPr>
                </w:p>
              </w:tc>
              <w:tc>
                <w:tcPr>
                  <w:tcW w:w="1350" w:type="pct"/>
                  <w:vMerge w:val="continue"/>
                  <w:tcBorders>
                    <w:tl2br w:val="nil"/>
                    <w:tr2bl w:val="nil"/>
                  </w:tcBorders>
                  <w:vAlign w:val="center"/>
                </w:tcPr>
                <w:p w14:paraId="6FAACD1F">
                  <w:pPr>
                    <w:adjustRightInd w:val="0"/>
                    <w:snapToGrid w:val="0"/>
                    <w:spacing w:line="280" w:lineRule="exact"/>
                    <w:jc w:val="center"/>
                    <w:rPr>
                      <w:rFonts w:hint="default" w:ascii="Times New Roman" w:hAnsi="Times New Roman" w:cs="Times New Roman"/>
                      <w:color w:val="auto"/>
                      <w:szCs w:val="21"/>
                    </w:rPr>
                  </w:pPr>
                </w:p>
              </w:tc>
            </w:tr>
            <w:tr w14:paraId="2020F8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37" w:type="pct"/>
                  <w:tcBorders>
                    <w:tl2br w:val="nil"/>
                    <w:tr2bl w:val="nil"/>
                  </w:tcBorders>
                  <w:vAlign w:val="center"/>
                </w:tcPr>
                <w:p w14:paraId="3D09EDB2">
                  <w:pPr>
                    <w:adjustRightInd w:val="0"/>
                    <w:snapToGrid w:val="0"/>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酸洗槽4</w:t>
                  </w:r>
                </w:p>
              </w:tc>
              <w:tc>
                <w:tcPr>
                  <w:tcW w:w="623" w:type="pct"/>
                  <w:tcBorders>
                    <w:tl2br w:val="nil"/>
                    <w:tr2bl w:val="nil"/>
                  </w:tcBorders>
                  <w:vAlign w:val="center"/>
                </w:tcPr>
                <w:p w14:paraId="5CFA8307">
                  <w:pPr>
                    <w:adjustRightInd w:val="0"/>
                    <w:snapToGrid w:val="0"/>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氯化氢</w:t>
                  </w:r>
                </w:p>
              </w:tc>
              <w:tc>
                <w:tcPr>
                  <w:tcW w:w="1094" w:type="pct"/>
                  <w:tcBorders>
                    <w:tl2br w:val="nil"/>
                    <w:tr2bl w:val="nil"/>
                  </w:tcBorders>
                  <w:vAlign w:val="center"/>
                </w:tcPr>
                <w:p w14:paraId="105D4DB4">
                  <w:pPr>
                    <w:adjustRightInd w:val="0"/>
                    <w:snapToGrid w:val="0"/>
                    <w:spacing w:line="280" w:lineRule="exact"/>
                    <w:jc w:val="center"/>
                    <w:rPr>
                      <w:rFonts w:hint="default" w:ascii="Times New Roman" w:hAnsi="Times New Roman" w:cs="Times New Roman"/>
                      <w:color w:val="auto"/>
                      <w:szCs w:val="21"/>
                    </w:rPr>
                  </w:pPr>
                </w:p>
              </w:tc>
              <w:tc>
                <w:tcPr>
                  <w:tcW w:w="1094" w:type="pct"/>
                  <w:tcBorders>
                    <w:tl2br w:val="nil"/>
                    <w:tr2bl w:val="nil"/>
                  </w:tcBorders>
                  <w:vAlign w:val="center"/>
                </w:tcPr>
                <w:p w14:paraId="0C267659">
                  <w:pPr>
                    <w:adjustRightInd w:val="0"/>
                    <w:snapToGrid w:val="0"/>
                    <w:spacing w:line="280" w:lineRule="exact"/>
                    <w:jc w:val="center"/>
                    <w:rPr>
                      <w:rFonts w:hint="default" w:ascii="Times New Roman" w:hAnsi="Times New Roman" w:cs="Times New Roman"/>
                      <w:color w:val="auto"/>
                      <w:szCs w:val="21"/>
                    </w:rPr>
                  </w:pPr>
                </w:p>
              </w:tc>
              <w:tc>
                <w:tcPr>
                  <w:tcW w:w="1350" w:type="pct"/>
                  <w:vMerge w:val="restart"/>
                  <w:tcBorders>
                    <w:tl2br w:val="nil"/>
                    <w:tr2bl w:val="nil"/>
                  </w:tcBorders>
                  <w:vAlign w:val="center"/>
                </w:tcPr>
                <w:p w14:paraId="56C3EC42">
                  <w:pPr>
                    <w:adjustRightInd w:val="0"/>
                    <w:snapToGrid w:val="0"/>
                    <w:spacing w:line="280" w:lineRule="exact"/>
                    <w:jc w:val="center"/>
                    <w:rPr>
                      <w:rFonts w:hint="default" w:ascii="Times New Roman" w:hAnsi="Times New Roman" w:cs="Times New Roman"/>
                      <w:color w:val="auto"/>
                      <w:szCs w:val="21"/>
                    </w:rPr>
                  </w:pPr>
                </w:p>
              </w:tc>
            </w:tr>
            <w:tr w14:paraId="142250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37" w:type="pct"/>
                  <w:tcBorders>
                    <w:tl2br w:val="nil"/>
                    <w:tr2bl w:val="nil"/>
                  </w:tcBorders>
                  <w:vAlign w:val="center"/>
                </w:tcPr>
                <w:p w14:paraId="5C926CCD">
                  <w:pPr>
                    <w:adjustRightInd w:val="0"/>
                    <w:snapToGrid w:val="0"/>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酸洗槽5</w:t>
                  </w:r>
                </w:p>
              </w:tc>
              <w:tc>
                <w:tcPr>
                  <w:tcW w:w="623" w:type="pct"/>
                  <w:tcBorders>
                    <w:tl2br w:val="nil"/>
                    <w:tr2bl w:val="nil"/>
                  </w:tcBorders>
                  <w:vAlign w:val="center"/>
                </w:tcPr>
                <w:p w14:paraId="3A8F6512">
                  <w:pPr>
                    <w:adjustRightInd w:val="0"/>
                    <w:snapToGrid w:val="0"/>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氯化氢</w:t>
                  </w:r>
                </w:p>
              </w:tc>
              <w:tc>
                <w:tcPr>
                  <w:tcW w:w="1094" w:type="pct"/>
                  <w:tcBorders>
                    <w:tl2br w:val="nil"/>
                    <w:tr2bl w:val="nil"/>
                  </w:tcBorders>
                  <w:vAlign w:val="center"/>
                </w:tcPr>
                <w:p w14:paraId="069E0423">
                  <w:pPr>
                    <w:adjustRightInd w:val="0"/>
                    <w:snapToGrid w:val="0"/>
                    <w:spacing w:line="280" w:lineRule="exact"/>
                    <w:jc w:val="center"/>
                    <w:rPr>
                      <w:rFonts w:hint="default" w:ascii="Times New Roman" w:hAnsi="Times New Roman" w:cs="Times New Roman"/>
                      <w:color w:val="auto"/>
                      <w:szCs w:val="21"/>
                    </w:rPr>
                  </w:pPr>
                </w:p>
              </w:tc>
              <w:tc>
                <w:tcPr>
                  <w:tcW w:w="1094" w:type="pct"/>
                  <w:tcBorders>
                    <w:tl2br w:val="nil"/>
                    <w:tr2bl w:val="nil"/>
                  </w:tcBorders>
                  <w:vAlign w:val="center"/>
                </w:tcPr>
                <w:p w14:paraId="4ABBA686">
                  <w:pPr>
                    <w:adjustRightInd w:val="0"/>
                    <w:snapToGrid w:val="0"/>
                    <w:spacing w:line="280" w:lineRule="exact"/>
                    <w:jc w:val="center"/>
                    <w:rPr>
                      <w:rFonts w:hint="default" w:ascii="Times New Roman" w:hAnsi="Times New Roman" w:cs="Times New Roman"/>
                      <w:color w:val="auto"/>
                      <w:szCs w:val="21"/>
                    </w:rPr>
                  </w:pPr>
                </w:p>
              </w:tc>
              <w:tc>
                <w:tcPr>
                  <w:tcW w:w="1350" w:type="pct"/>
                  <w:vMerge w:val="continue"/>
                  <w:tcBorders>
                    <w:tl2br w:val="nil"/>
                    <w:tr2bl w:val="nil"/>
                  </w:tcBorders>
                  <w:vAlign w:val="center"/>
                </w:tcPr>
                <w:p w14:paraId="07B7444B">
                  <w:pPr>
                    <w:adjustRightInd w:val="0"/>
                    <w:snapToGrid w:val="0"/>
                    <w:spacing w:line="280" w:lineRule="exact"/>
                    <w:jc w:val="center"/>
                    <w:rPr>
                      <w:rFonts w:hint="default" w:ascii="Times New Roman" w:hAnsi="Times New Roman" w:cs="Times New Roman"/>
                      <w:color w:val="auto"/>
                      <w:szCs w:val="21"/>
                    </w:rPr>
                  </w:pPr>
                </w:p>
              </w:tc>
            </w:tr>
            <w:tr w14:paraId="31CEC8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37" w:type="pct"/>
                  <w:tcBorders>
                    <w:tl2br w:val="nil"/>
                    <w:tr2bl w:val="nil"/>
                  </w:tcBorders>
                  <w:vAlign w:val="center"/>
                </w:tcPr>
                <w:p w14:paraId="02F991BF">
                  <w:pPr>
                    <w:adjustRightInd w:val="0"/>
                    <w:snapToGrid w:val="0"/>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酸洗槽6</w:t>
                  </w:r>
                </w:p>
              </w:tc>
              <w:tc>
                <w:tcPr>
                  <w:tcW w:w="623" w:type="pct"/>
                  <w:tcBorders>
                    <w:tl2br w:val="nil"/>
                    <w:tr2bl w:val="nil"/>
                  </w:tcBorders>
                  <w:vAlign w:val="center"/>
                </w:tcPr>
                <w:p w14:paraId="79DF6724">
                  <w:pPr>
                    <w:adjustRightInd w:val="0"/>
                    <w:snapToGrid w:val="0"/>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氯化氢</w:t>
                  </w:r>
                </w:p>
              </w:tc>
              <w:tc>
                <w:tcPr>
                  <w:tcW w:w="1094" w:type="pct"/>
                  <w:tcBorders>
                    <w:tl2br w:val="nil"/>
                    <w:tr2bl w:val="nil"/>
                  </w:tcBorders>
                  <w:vAlign w:val="center"/>
                </w:tcPr>
                <w:p w14:paraId="29555D6A">
                  <w:pPr>
                    <w:adjustRightInd w:val="0"/>
                    <w:snapToGrid w:val="0"/>
                    <w:spacing w:line="280" w:lineRule="exact"/>
                    <w:jc w:val="center"/>
                    <w:rPr>
                      <w:rFonts w:hint="default" w:ascii="Times New Roman" w:hAnsi="Times New Roman" w:cs="Times New Roman"/>
                      <w:color w:val="auto"/>
                      <w:szCs w:val="21"/>
                    </w:rPr>
                  </w:pPr>
                </w:p>
              </w:tc>
              <w:tc>
                <w:tcPr>
                  <w:tcW w:w="1094" w:type="pct"/>
                  <w:tcBorders>
                    <w:tl2br w:val="nil"/>
                    <w:tr2bl w:val="nil"/>
                  </w:tcBorders>
                  <w:vAlign w:val="center"/>
                </w:tcPr>
                <w:p w14:paraId="5B7E52AF">
                  <w:pPr>
                    <w:adjustRightInd w:val="0"/>
                    <w:snapToGrid w:val="0"/>
                    <w:spacing w:line="280" w:lineRule="exact"/>
                    <w:jc w:val="center"/>
                    <w:rPr>
                      <w:rFonts w:hint="default" w:ascii="Times New Roman" w:hAnsi="Times New Roman" w:cs="Times New Roman"/>
                      <w:color w:val="auto"/>
                      <w:szCs w:val="21"/>
                    </w:rPr>
                  </w:pPr>
                </w:p>
              </w:tc>
              <w:tc>
                <w:tcPr>
                  <w:tcW w:w="1350" w:type="pct"/>
                  <w:tcBorders>
                    <w:tl2br w:val="nil"/>
                    <w:tr2bl w:val="nil"/>
                  </w:tcBorders>
                  <w:vAlign w:val="center"/>
                </w:tcPr>
                <w:p w14:paraId="013D5675">
                  <w:pPr>
                    <w:adjustRightInd w:val="0"/>
                    <w:snapToGrid w:val="0"/>
                    <w:spacing w:line="280" w:lineRule="exact"/>
                    <w:jc w:val="center"/>
                    <w:rPr>
                      <w:rFonts w:hint="default" w:ascii="Times New Roman" w:hAnsi="Times New Roman" w:cs="Times New Roman"/>
                      <w:color w:val="auto"/>
                      <w:szCs w:val="21"/>
                    </w:rPr>
                  </w:pPr>
                </w:p>
              </w:tc>
            </w:tr>
            <w:tr w14:paraId="046F76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37" w:type="pct"/>
                  <w:tcBorders>
                    <w:tl2br w:val="nil"/>
                    <w:tr2bl w:val="nil"/>
                  </w:tcBorders>
                  <w:vAlign w:val="center"/>
                </w:tcPr>
                <w:p w14:paraId="4F1BBE24">
                  <w:pPr>
                    <w:adjustRightInd w:val="0"/>
                    <w:snapToGrid w:val="0"/>
                    <w:spacing w:line="280" w:lineRule="exact"/>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磷化槽1</w:t>
                  </w:r>
                </w:p>
              </w:tc>
              <w:tc>
                <w:tcPr>
                  <w:tcW w:w="623" w:type="pct"/>
                  <w:tcBorders>
                    <w:tl2br w:val="nil"/>
                    <w:tr2bl w:val="nil"/>
                  </w:tcBorders>
                  <w:vAlign w:val="center"/>
                </w:tcPr>
                <w:p w14:paraId="26B26257">
                  <w:pPr>
                    <w:adjustRightInd w:val="0"/>
                    <w:snapToGrid w:val="0"/>
                    <w:spacing w:line="280" w:lineRule="exact"/>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NOx</w:t>
                  </w:r>
                </w:p>
              </w:tc>
              <w:tc>
                <w:tcPr>
                  <w:tcW w:w="1094" w:type="pct"/>
                  <w:tcBorders>
                    <w:tl2br w:val="nil"/>
                    <w:tr2bl w:val="nil"/>
                  </w:tcBorders>
                  <w:vAlign w:val="center"/>
                </w:tcPr>
                <w:p w14:paraId="23B76B89">
                  <w:pPr>
                    <w:adjustRightInd w:val="0"/>
                    <w:snapToGrid w:val="0"/>
                    <w:spacing w:line="280" w:lineRule="exact"/>
                    <w:jc w:val="center"/>
                    <w:rPr>
                      <w:rFonts w:hint="default" w:ascii="Times New Roman" w:hAnsi="Times New Roman" w:eastAsia="宋体" w:cs="Times New Roman"/>
                      <w:color w:val="auto"/>
                      <w:szCs w:val="21"/>
                      <w:lang w:val="en-US" w:eastAsia="zh-CN"/>
                    </w:rPr>
                  </w:pPr>
                </w:p>
              </w:tc>
              <w:tc>
                <w:tcPr>
                  <w:tcW w:w="1094" w:type="pct"/>
                  <w:tcBorders>
                    <w:tl2br w:val="nil"/>
                    <w:tr2bl w:val="nil"/>
                  </w:tcBorders>
                  <w:vAlign w:val="center"/>
                </w:tcPr>
                <w:p w14:paraId="5A6DE9C5">
                  <w:pPr>
                    <w:adjustRightInd w:val="0"/>
                    <w:snapToGrid w:val="0"/>
                    <w:spacing w:line="280" w:lineRule="exact"/>
                    <w:jc w:val="center"/>
                    <w:rPr>
                      <w:rFonts w:hint="default" w:ascii="Times New Roman" w:hAnsi="Times New Roman" w:cs="Times New Roman"/>
                      <w:color w:val="auto"/>
                      <w:szCs w:val="21"/>
                    </w:rPr>
                  </w:pPr>
                </w:p>
              </w:tc>
              <w:tc>
                <w:tcPr>
                  <w:tcW w:w="1350" w:type="pct"/>
                  <w:tcBorders>
                    <w:tl2br w:val="nil"/>
                    <w:tr2bl w:val="nil"/>
                  </w:tcBorders>
                  <w:vAlign w:val="center"/>
                </w:tcPr>
                <w:p w14:paraId="52101525">
                  <w:pPr>
                    <w:adjustRightInd w:val="0"/>
                    <w:snapToGrid w:val="0"/>
                    <w:spacing w:line="280" w:lineRule="exact"/>
                    <w:jc w:val="center"/>
                    <w:rPr>
                      <w:rFonts w:hint="default" w:ascii="Times New Roman" w:hAnsi="Times New Roman" w:eastAsia="宋体" w:cs="Times New Roman"/>
                      <w:color w:val="auto"/>
                      <w:szCs w:val="21"/>
                      <w:lang w:val="en-US" w:eastAsia="zh-CN"/>
                    </w:rPr>
                  </w:pPr>
                </w:p>
              </w:tc>
            </w:tr>
            <w:tr w14:paraId="58398E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37" w:type="pct"/>
                  <w:tcBorders>
                    <w:tl2br w:val="nil"/>
                    <w:tr2bl w:val="nil"/>
                  </w:tcBorders>
                  <w:vAlign w:val="center"/>
                </w:tcPr>
                <w:p w14:paraId="2B5BE1A1">
                  <w:pPr>
                    <w:adjustRightInd w:val="0"/>
                    <w:snapToGrid w:val="0"/>
                    <w:spacing w:line="280" w:lineRule="exact"/>
                    <w:jc w:val="center"/>
                    <w:rPr>
                      <w:rFonts w:hint="default" w:ascii="Times New Roman" w:hAnsi="Times New Roman" w:cs="Times New Roman"/>
                      <w:color w:val="auto"/>
                      <w:szCs w:val="21"/>
                      <w:lang w:val="en-US"/>
                    </w:rPr>
                  </w:pPr>
                  <w:r>
                    <w:rPr>
                      <w:rFonts w:hint="default" w:ascii="Times New Roman" w:hAnsi="Times New Roman" w:cs="Times New Roman"/>
                      <w:color w:val="auto"/>
                      <w:szCs w:val="21"/>
                      <w:lang w:val="en-US" w:eastAsia="zh-CN"/>
                    </w:rPr>
                    <w:t>磷化槽2</w:t>
                  </w:r>
                </w:p>
              </w:tc>
              <w:tc>
                <w:tcPr>
                  <w:tcW w:w="623" w:type="pct"/>
                  <w:tcBorders>
                    <w:tl2br w:val="nil"/>
                    <w:tr2bl w:val="nil"/>
                  </w:tcBorders>
                  <w:vAlign w:val="center"/>
                </w:tcPr>
                <w:p w14:paraId="624B3985">
                  <w:pPr>
                    <w:adjustRightInd w:val="0"/>
                    <w:snapToGrid w:val="0"/>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NOx</w:t>
                  </w:r>
                </w:p>
              </w:tc>
              <w:tc>
                <w:tcPr>
                  <w:tcW w:w="1094" w:type="pct"/>
                  <w:tcBorders>
                    <w:tl2br w:val="nil"/>
                    <w:tr2bl w:val="nil"/>
                  </w:tcBorders>
                  <w:vAlign w:val="center"/>
                </w:tcPr>
                <w:p w14:paraId="4DF60725">
                  <w:pPr>
                    <w:adjustRightInd w:val="0"/>
                    <w:snapToGrid w:val="0"/>
                    <w:spacing w:line="280" w:lineRule="exact"/>
                    <w:jc w:val="center"/>
                    <w:rPr>
                      <w:rFonts w:hint="default" w:ascii="Times New Roman" w:hAnsi="Times New Roman" w:cs="Times New Roman"/>
                      <w:color w:val="auto"/>
                      <w:szCs w:val="21"/>
                    </w:rPr>
                  </w:pPr>
                </w:p>
              </w:tc>
              <w:tc>
                <w:tcPr>
                  <w:tcW w:w="1094" w:type="pct"/>
                  <w:tcBorders>
                    <w:tl2br w:val="nil"/>
                    <w:tr2bl w:val="nil"/>
                  </w:tcBorders>
                  <w:vAlign w:val="center"/>
                </w:tcPr>
                <w:p w14:paraId="79C3BE04">
                  <w:pPr>
                    <w:adjustRightInd w:val="0"/>
                    <w:snapToGrid w:val="0"/>
                    <w:spacing w:line="280" w:lineRule="exact"/>
                    <w:jc w:val="center"/>
                    <w:rPr>
                      <w:rFonts w:hint="default" w:ascii="Times New Roman" w:hAnsi="Times New Roman" w:cs="Times New Roman"/>
                      <w:color w:val="auto"/>
                      <w:szCs w:val="21"/>
                    </w:rPr>
                  </w:pPr>
                </w:p>
              </w:tc>
              <w:tc>
                <w:tcPr>
                  <w:tcW w:w="1350" w:type="pct"/>
                  <w:tcBorders>
                    <w:tl2br w:val="nil"/>
                    <w:tr2bl w:val="nil"/>
                  </w:tcBorders>
                  <w:vAlign w:val="center"/>
                </w:tcPr>
                <w:p w14:paraId="25008447">
                  <w:pPr>
                    <w:adjustRightInd w:val="0"/>
                    <w:snapToGrid w:val="0"/>
                    <w:spacing w:line="280" w:lineRule="exact"/>
                    <w:jc w:val="center"/>
                    <w:rPr>
                      <w:rFonts w:hint="default" w:ascii="Times New Roman" w:hAnsi="Times New Roman" w:cs="Times New Roman"/>
                      <w:color w:val="auto"/>
                      <w:szCs w:val="21"/>
                      <w:lang w:val="en-US"/>
                    </w:rPr>
                  </w:pPr>
                </w:p>
              </w:tc>
            </w:tr>
          </w:tbl>
          <w:p w14:paraId="1591BAC8">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表4.2-3  酸雾产生情况一览表</w:t>
            </w:r>
          </w:p>
          <w:tbl>
            <w:tblPr>
              <w:tblStyle w:val="84"/>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430"/>
              <w:gridCol w:w="975"/>
              <w:gridCol w:w="1462"/>
              <w:gridCol w:w="1087"/>
              <w:gridCol w:w="1430"/>
              <w:gridCol w:w="994"/>
              <w:gridCol w:w="994"/>
            </w:tblGrid>
            <w:tr w14:paraId="2C7026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854" w:type="pct"/>
                  <w:tcBorders>
                    <w:tl2br w:val="nil"/>
                    <w:tr2bl w:val="nil"/>
                  </w:tcBorders>
                  <w:vAlign w:val="center"/>
                </w:tcPr>
                <w:p w14:paraId="7CEB6070">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名称</w:t>
                  </w:r>
                </w:p>
              </w:tc>
              <w:tc>
                <w:tcPr>
                  <w:tcW w:w="582" w:type="pct"/>
                  <w:tcBorders>
                    <w:tl2br w:val="nil"/>
                    <w:tr2bl w:val="nil"/>
                  </w:tcBorders>
                  <w:vAlign w:val="center"/>
                </w:tcPr>
                <w:p w14:paraId="5DAD2B73">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污染物</w:t>
                  </w:r>
                </w:p>
              </w:tc>
              <w:tc>
                <w:tcPr>
                  <w:tcW w:w="873" w:type="pct"/>
                  <w:tcBorders>
                    <w:tl2br w:val="nil"/>
                    <w:tr2bl w:val="nil"/>
                  </w:tcBorders>
                  <w:vAlign w:val="center"/>
                </w:tcPr>
                <w:p w14:paraId="53F289D8">
                  <w:pPr>
                    <w:adjustRightInd w:val="0"/>
                    <w:snapToGrid w:val="0"/>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蒸发面积，m</w:t>
                  </w:r>
                  <w:r>
                    <w:rPr>
                      <w:rFonts w:hint="default" w:ascii="Times New Roman" w:hAnsi="Times New Roman" w:cs="Times New Roman"/>
                      <w:color w:val="auto"/>
                      <w:szCs w:val="21"/>
                      <w:vertAlign w:val="superscript"/>
                    </w:rPr>
                    <w:t>2</w:t>
                  </w:r>
                </w:p>
              </w:tc>
              <w:tc>
                <w:tcPr>
                  <w:tcW w:w="649" w:type="pct"/>
                  <w:tcBorders>
                    <w:tl2br w:val="nil"/>
                    <w:tr2bl w:val="nil"/>
                  </w:tcBorders>
                  <w:vAlign w:val="center"/>
                </w:tcPr>
                <w:p w14:paraId="7DF949E2">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产污系数</w:t>
                  </w:r>
                </w:p>
              </w:tc>
              <w:tc>
                <w:tcPr>
                  <w:tcW w:w="854" w:type="pct"/>
                  <w:tcBorders>
                    <w:tl2br w:val="nil"/>
                    <w:tr2bl w:val="nil"/>
                  </w:tcBorders>
                  <w:vAlign w:val="center"/>
                </w:tcPr>
                <w:p w14:paraId="7A9B40EF">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年工作时间 h/a</w:t>
                  </w:r>
                </w:p>
              </w:tc>
              <w:tc>
                <w:tcPr>
                  <w:tcW w:w="593" w:type="pct"/>
                  <w:tcBorders>
                    <w:tl2br w:val="nil"/>
                    <w:tr2bl w:val="nil"/>
                  </w:tcBorders>
                  <w:vAlign w:val="center"/>
                </w:tcPr>
                <w:p w14:paraId="7E06C769">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产生量</w:t>
                  </w:r>
                </w:p>
                <w:p w14:paraId="30DEB5F5">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t/a</w:t>
                  </w:r>
                </w:p>
              </w:tc>
              <w:tc>
                <w:tcPr>
                  <w:tcW w:w="593" w:type="pct"/>
                  <w:tcBorders>
                    <w:tl2br w:val="nil"/>
                    <w:tr2bl w:val="nil"/>
                  </w:tcBorders>
                  <w:vAlign w:val="center"/>
                </w:tcPr>
                <w:p w14:paraId="011B5058">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产生速率 kg/h</w:t>
                  </w:r>
                </w:p>
              </w:tc>
            </w:tr>
            <w:tr w14:paraId="22820F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854" w:type="pct"/>
                  <w:tcBorders>
                    <w:tl2br w:val="nil"/>
                    <w:tr2bl w:val="nil"/>
                  </w:tcBorders>
                  <w:vAlign w:val="center"/>
                </w:tcPr>
                <w:p w14:paraId="644086E2">
                  <w:pPr>
                    <w:adjustRightInd w:val="0"/>
                    <w:snapToGrid w:val="0"/>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酸洗槽1</w:t>
                  </w:r>
                </w:p>
              </w:tc>
              <w:tc>
                <w:tcPr>
                  <w:tcW w:w="582" w:type="pct"/>
                  <w:tcBorders>
                    <w:tl2br w:val="nil"/>
                    <w:tr2bl w:val="nil"/>
                  </w:tcBorders>
                  <w:vAlign w:val="center"/>
                </w:tcPr>
                <w:p w14:paraId="04AB0E52">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rPr>
                    <w:t>氯化氢</w:t>
                  </w:r>
                </w:p>
              </w:tc>
              <w:tc>
                <w:tcPr>
                  <w:tcW w:w="873" w:type="pct"/>
                  <w:tcBorders>
                    <w:tl2br w:val="nil"/>
                    <w:tr2bl w:val="nil"/>
                  </w:tcBorders>
                  <w:vAlign w:val="center"/>
                </w:tcPr>
                <w:p w14:paraId="2DE288BA">
                  <w:pPr>
                    <w:adjustRightInd w:val="0"/>
                    <w:snapToGrid w:val="0"/>
                    <w:spacing w:line="280" w:lineRule="exact"/>
                    <w:jc w:val="center"/>
                    <w:rPr>
                      <w:rFonts w:hint="default" w:ascii="Times New Roman" w:hAnsi="Times New Roman" w:cs="Times New Roman"/>
                      <w:color w:val="auto"/>
                      <w:szCs w:val="21"/>
                    </w:rPr>
                  </w:pPr>
                </w:p>
              </w:tc>
              <w:tc>
                <w:tcPr>
                  <w:tcW w:w="649" w:type="pct"/>
                  <w:tcBorders>
                    <w:tl2br w:val="nil"/>
                    <w:tr2bl w:val="nil"/>
                  </w:tcBorders>
                  <w:vAlign w:val="center"/>
                </w:tcPr>
                <w:p w14:paraId="3E5B3068">
                  <w:pPr>
                    <w:adjustRightInd w:val="0"/>
                    <w:snapToGrid w:val="0"/>
                    <w:jc w:val="center"/>
                    <w:rPr>
                      <w:rFonts w:hint="default" w:ascii="Times New Roman" w:hAnsi="Times New Roman" w:cs="Times New Roman"/>
                      <w:color w:val="auto"/>
                      <w:szCs w:val="21"/>
                    </w:rPr>
                  </w:pPr>
                </w:p>
              </w:tc>
              <w:tc>
                <w:tcPr>
                  <w:tcW w:w="854" w:type="pct"/>
                  <w:tcBorders>
                    <w:tl2br w:val="nil"/>
                    <w:tr2bl w:val="nil"/>
                  </w:tcBorders>
                  <w:vAlign w:val="center"/>
                </w:tcPr>
                <w:p w14:paraId="361610E2">
                  <w:pPr>
                    <w:adjustRightInd w:val="0"/>
                    <w:snapToGrid w:val="0"/>
                    <w:jc w:val="center"/>
                    <w:rPr>
                      <w:rFonts w:hint="default" w:ascii="Times New Roman" w:hAnsi="Times New Roman" w:cs="Times New Roman"/>
                      <w:color w:val="auto"/>
                      <w:szCs w:val="21"/>
                    </w:rPr>
                  </w:pPr>
                </w:p>
              </w:tc>
              <w:tc>
                <w:tcPr>
                  <w:tcW w:w="593" w:type="pct"/>
                  <w:tcBorders>
                    <w:tl2br w:val="nil"/>
                    <w:tr2bl w:val="nil"/>
                  </w:tcBorders>
                  <w:vAlign w:val="center"/>
                </w:tcPr>
                <w:p w14:paraId="5BC89845">
                  <w:pPr>
                    <w:widowControl/>
                    <w:jc w:val="center"/>
                    <w:textAlignment w:val="center"/>
                    <w:rPr>
                      <w:rFonts w:hint="default" w:ascii="Times New Roman" w:hAnsi="Times New Roman" w:cs="Times New Roman"/>
                      <w:color w:val="auto"/>
                      <w:szCs w:val="21"/>
                    </w:rPr>
                  </w:pPr>
                </w:p>
              </w:tc>
              <w:tc>
                <w:tcPr>
                  <w:tcW w:w="593" w:type="pct"/>
                  <w:tcBorders>
                    <w:tl2br w:val="nil"/>
                    <w:tr2bl w:val="nil"/>
                  </w:tcBorders>
                  <w:vAlign w:val="center"/>
                </w:tcPr>
                <w:p w14:paraId="5CD6767C">
                  <w:pPr>
                    <w:widowControl/>
                    <w:jc w:val="center"/>
                    <w:textAlignment w:val="center"/>
                    <w:rPr>
                      <w:rFonts w:hint="default" w:ascii="Times New Roman" w:hAnsi="Times New Roman" w:cs="Times New Roman"/>
                      <w:color w:val="auto"/>
                      <w:szCs w:val="21"/>
                    </w:rPr>
                  </w:pPr>
                </w:p>
              </w:tc>
            </w:tr>
            <w:tr w14:paraId="4B8741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854" w:type="pct"/>
                  <w:tcBorders>
                    <w:tl2br w:val="nil"/>
                    <w:tr2bl w:val="nil"/>
                  </w:tcBorders>
                  <w:vAlign w:val="center"/>
                </w:tcPr>
                <w:p w14:paraId="3D0137CD">
                  <w:pPr>
                    <w:adjustRightInd w:val="0"/>
                    <w:snapToGrid w:val="0"/>
                    <w:spacing w:line="280" w:lineRule="exact"/>
                    <w:jc w:val="center"/>
                    <w:rPr>
                      <w:rFonts w:hint="default" w:ascii="Times New Roman" w:hAnsi="Times New Roman" w:cs="Times New Roman"/>
                      <w:b/>
                      <w:bCs/>
                      <w:color w:val="auto"/>
                      <w:sz w:val="24"/>
                    </w:rPr>
                  </w:pPr>
                  <w:r>
                    <w:rPr>
                      <w:rFonts w:hint="default" w:ascii="Times New Roman" w:hAnsi="Times New Roman" w:cs="Times New Roman"/>
                      <w:color w:val="auto"/>
                      <w:szCs w:val="21"/>
                    </w:rPr>
                    <w:t>酸洗槽2</w:t>
                  </w:r>
                </w:p>
              </w:tc>
              <w:tc>
                <w:tcPr>
                  <w:tcW w:w="582" w:type="pct"/>
                  <w:tcBorders>
                    <w:tl2br w:val="nil"/>
                    <w:tr2bl w:val="nil"/>
                  </w:tcBorders>
                  <w:vAlign w:val="center"/>
                </w:tcPr>
                <w:p w14:paraId="44015EEA">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氯化氢</w:t>
                  </w:r>
                </w:p>
              </w:tc>
              <w:tc>
                <w:tcPr>
                  <w:tcW w:w="873" w:type="pct"/>
                  <w:tcBorders>
                    <w:tl2br w:val="nil"/>
                    <w:tr2bl w:val="nil"/>
                  </w:tcBorders>
                  <w:vAlign w:val="center"/>
                </w:tcPr>
                <w:p w14:paraId="0A658A2E">
                  <w:pPr>
                    <w:adjustRightInd w:val="0"/>
                    <w:snapToGrid w:val="0"/>
                    <w:spacing w:line="280" w:lineRule="exact"/>
                    <w:jc w:val="center"/>
                    <w:rPr>
                      <w:rFonts w:hint="default" w:ascii="Times New Roman" w:hAnsi="Times New Roman" w:cs="Times New Roman"/>
                      <w:color w:val="auto"/>
                      <w:szCs w:val="21"/>
                    </w:rPr>
                  </w:pPr>
                </w:p>
              </w:tc>
              <w:tc>
                <w:tcPr>
                  <w:tcW w:w="649" w:type="pct"/>
                  <w:tcBorders>
                    <w:tl2br w:val="nil"/>
                    <w:tr2bl w:val="nil"/>
                  </w:tcBorders>
                  <w:vAlign w:val="center"/>
                </w:tcPr>
                <w:p w14:paraId="430B7C24">
                  <w:pPr>
                    <w:adjustRightInd w:val="0"/>
                    <w:snapToGrid w:val="0"/>
                    <w:jc w:val="center"/>
                    <w:rPr>
                      <w:rFonts w:hint="default" w:ascii="Times New Roman" w:hAnsi="Times New Roman" w:cs="Times New Roman"/>
                      <w:color w:val="auto"/>
                      <w:spacing w:val="-6"/>
                      <w:szCs w:val="21"/>
                    </w:rPr>
                  </w:pPr>
                </w:p>
              </w:tc>
              <w:tc>
                <w:tcPr>
                  <w:tcW w:w="854" w:type="pct"/>
                  <w:tcBorders>
                    <w:tl2br w:val="nil"/>
                    <w:tr2bl w:val="nil"/>
                  </w:tcBorders>
                  <w:vAlign w:val="center"/>
                </w:tcPr>
                <w:p w14:paraId="2B631F8A">
                  <w:pPr>
                    <w:adjustRightInd w:val="0"/>
                    <w:snapToGrid w:val="0"/>
                    <w:jc w:val="center"/>
                    <w:rPr>
                      <w:rFonts w:hint="default" w:ascii="Times New Roman" w:hAnsi="Times New Roman" w:cs="Times New Roman"/>
                      <w:color w:val="auto"/>
                      <w:szCs w:val="21"/>
                    </w:rPr>
                  </w:pPr>
                </w:p>
              </w:tc>
              <w:tc>
                <w:tcPr>
                  <w:tcW w:w="593" w:type="pct"/>
                  <w:tcBorders>
                    <w:tl2br w:val="nil"/>
                    <w:tr2bl w:val="nil"/>
                  </w:tcBorders>
                  <w:vAlign w:val="center"/>
                </w:tcPr>
                <w:p w14:paraId="18504CE1">
                  <w:pPr>
                    <w:widowControl/>
                    <w:jc w:val="center"/>
                    <w:textAlignment w:val="center"/>
                    <w:rPr>
                      <w:rFonts w:hint="default" w:ascii="Times New Roman" w:hAnsi="Times New Roman" w:cs="Times New Roman"/>
                      <w:color w:val="auto"/>
                      <w:szCs w:val="21"/>
                    </w:rPr>
                  </w:pPr>
                </w:p>
              </w:tc>
              <w:tc>
                <w:tcPr>
                  <w:tcW w:w="593" w:type="pct"/>
                  <w:tcBorders>
                    <w:tl2br w:val="nil"/>
                    <w:tr2bl w:val="nil"/>
                  </w:tcBorders>
                  <w:vAlign w:val="center"/>
                </w:tcPr>
                <w:p w14:paraId="29FA37B2">
                  <w:pPr>
                    <w:widowControl/>
                    <w:jc w:val="center"/>
                    <w:textAlignment w:val="center"/>
                    <w:rPr>
                      <w:rFonts w:hint="default" w:ascii="Times New Roman" w:hAnsi="Times New Roman" w:cs="Times New Roman"/>
                      <w:color w:val="auto"/>
                      <w:szCs w:val="21"/>
                    </w:rPr>
                  </w:pPr>
                </w:p>
              </w:tc>
            </w:tr>
            <w:tr w14:paraId="453632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854" w:type="pct"/>
                  <w:tcBorders>
                    <w:tl2br w:val="nil"/>
                    <w:tr2bl w:val="nil"/>
                  </w:tcBorders>
                  <w:vAlign w:val="center"/>
                </w:tcPr>
                <w:p w14:paraId="7DC7C1E6">
                  <w:pPr>
                    <w:adjustRightInd w:val="0"/>
                    <w:snapToGrid w:val="0"/>
                    <w:spacing w:line="280" w:lineRule="exact"/>
                    <w:jc w:val="center"/>
                    <w:rPr>
                      <w:rFonts w:hint="default" w:ascii="Times New Roman" w:hAnsi="Times New Roman" w:cs="Times New Roman"/>
                      <w:b/>
                      <w:bCs/>
                      <w:color w:val="auto"/>
                      <w:sz w:val="24"/>
                    </w:rPr>
                  </w:pPr>
                  <w:r>
                    <w:rPr>
                      <w:rFonts w:hint="default" w:ascii="Times New Roman" w:hAnsi="Times New Roman" w:cs="Times New Roman"/>
                      <w:color w:val="auto"/>
                      <w:szCs w:val="21"/>
                    </w:rPr>
                    <w:t>酸洗槽3</w:t>
                  </w:r>
                </w:p>
              </w:tc>
              <w:tc>
                <w:tcPr>
                  <w:tcW w:w="582" w:type="pct"/>
                  <w:tcBorders>
                    <w:tl2br w:val="nil"/>
                    <w:tr2bl w:val="nil"/>
                  </w:tcBorders>
                  <w:vAlign w:val="center"/>
                </w:tcPr>
                <w:p w14:paraId="1B64E678">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氯化氢</w:t>
                  </w:r>
                </w:p>
              </w:tc>
              <w:tc>
                <w:tcPr>
                  <w:tcW w:w="873" w:type="pct"/>
                  <w:tcBorders>
                    <w:tl2br w:val="nil"/>
                    <w:tr2bl w:val="nil"/>
                  </w:tcBorders>
                  <w:vAlign w:val="center"/>
                </w:tcPr>
                <w:p w14:paraId="34B7B005">
                  <w:pPr>
                    <w:adjustRightInd w:val="0"/>
                    <w:snapToGrid w:val="0"/>
                    <w:spacing w:line="280" w:lineRule="exact"/>
                    <w:jc w:val="center"/>
                    <w:rPr>
                      <w:rFonts w:hint="default" w:ascii="Times New Roman" w:hAnsi="Times New Roman" w:cs="Times New Roman"/>
                      <w:color w:val="auto"/>
                      <w:szCs w:val="21"/>
                    </w:rPr>
                  </w:pPr>
                </w:p>
              </w:tc>
              <w:tc>
                <w:tcPr>
                  <w:tcW w:w="649" w:type="pct"/>
                  <w:tcBorders>
                    <w:tl2br w:val="nil"/>
                    <w:tr2bl w:val="nil"/>
                  </w:tcBorders>
                  <w:vAlign w:val="center"/>
                </w:tcPr>
                <w:p w14:paraId="66CF8D31">
                  <w:pPr>
                    <w:adjustRightInd w:val="0"/>
                    <w:snapToGrid w:val="0"/>
                    <w:jc w:val="center"/>
                    <w:rPr>
                      <w:rFonts w:hint="default" w:ascii="Times New Roman" w:hAnsi="Times New Roman" w:cs="Times New Roman"/>
                      <w:color w:val="auto"/>
                      <w:spacing w:val="-6"/>
                      <w:szCs w:val="21"/>
                    </w:rPr>
                  </w:pPr>
                </w:p>
              </w:tc>
              <w:tc>
                <w:tcPr>
                  <w:tcW w:w="854" w:type="pct"/>
                  <w:tcBorders>
                    <w:tl2br w:val="nil"/>
                    <w:tr2bl w:val="nil"/>
                  </w:tcBorders>
                  <w:vAlign w:val="center"/>
                </w:tcPr>
                <w:p w14:paraId="37C0252F">
                  <w:pPr>
                    <w:adjustRightInd w:val="0"/>
                    <w:snapToGrid w:val="0"/>
                    <w:jc w:val="center"/>
                    <w:rPr>
                      <w:rFonts w:hint="default" w:ascii="Times New Roman" w:hAnsi="Times New Roman" w:cs="Times New Roman"/>
                      <w:color w:val="auto"/>
                      <w:szCs w:val="21"/>
                    </w:rPr>
                  </w:pPr>
                </w:p>
              </w:tc>
              <w:tc>
                <w:tcPr>
                  <w:tcW w:w="593" w:type="pct"/>
                  <w:tcBorders>
                    <w:tl2br w:val="nil"/>
                    <w:tr2bl w:val="nil"/>
                  </w:tcBorders>
                  <w:vAlign w:val="center"/>
                </w:tcPr>
                <w:p w14:paraId="65A20AF7">
                  <w:pPr>
                    <w:widowControl/>
                    <w:jc w:val="center"/>
                    <w:textAlignment w:val="center"/>
                    <w:rPr>
                      <w:rFonts w:hint="default" w:ascii="Times New Roman" w:hAnsi="Times New Roman" w:cs="Times New Roman"/>
                      <w:color w:val="auto"/>
                      <w:szCs w:val="21"/>
                    </w:rPr>
                  </w:pPr>
                </w:p>
              </w:tc>
              <w:tc>
                <w:tcPr>
                  <w:tcW w:w="593" w:type="pct"/>
                  <w:tcBorders>
                    <w:tl2br w:val="nil"/>
                    <w:tr2bl w:val="nil"/>
                  </w:tcBorders>
                  <w:vAlign w:val="center"/>
                </w:tcPr>
                <w:p w14:paraId="31E50259">
                  <w:pPr>
                    <w:widowControl/>
                    <w:jc w:val="center"/>
                    <w:textAlignment w:val="center"/>
                    <w:rPr>
                      <w:rFonts w:hint="default" w:ascii="Times New Roman" w:hAnsi="Times New Roman" w:cs="Times New Roman"/>
                      <w:color w:val="auto"/>
                      <w:szCs w:val="21"/>
                    </w:rPr>
                  </w:pPr>
                </w:p>
              </w:tc>
            </w:tr>
            <w:tr w14:paraId="188EDD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854" w:type="pct"/>
                  <w:tcBorders>
                    <w:tl2br w:val="nil"/>
                    <w:tr2bl w:val="nil"/>
                  </w:tcBorders>
                  <w:vAlign w:val="center"/>
                </w:tcPr>
                <w:p w14:paraId="2081E28F">
                  <w:pPr>
                    <w:adjustRightInd w:val="0"/>
                    <w:snapToGrid w:val="0"/>
                    <w:spacing w:line="280" w:lineRule="exact"/>
                    <w:jc w:val="center"/>
                    <w:rPr>
                      <w:rFonts w:hint="default" w:ascii="Times New Roman" w:hAnsi="Times New Roman" w:cs="Times New Roman"/>
                      <w:b/>
                      <w:bCs/>
                      <w:color w:val="auto"/>
                      <w:sz w:val="24"/>
                    </w:rPr>
                  </w:pPr>
                  <w:r>
                    <w:rPr>
                      <w:rFonts w:hint="default" w:ascii="Times New Roman" w:hAnsi="Times New Roman" w:cs="Times New Roman"/>
                      <w:color w:val="auto"/>
                      <w:szCs w:val="21"/>
                    </w:rPr>
                    <w:t>酸洗槽4</w:t>
                  </w:r>
                </w:p>
              </w:tc>
              <w:tc>
                <w:tcPr>
                  <w:tcW w:w="582" w:type="pct"/>
                  <w:tcBorders>
                    <w:tl2br w:val="nil"/>
                    <w:tr2bl w:val="nil"/>
                  </w:tcBorders>
                  <w:vAlign w:val="center"/>
                </w:tcPr>
                <w:p w14:paraId="091B9AFE">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氯化氢</w:t>
                  </w:r>
                </w:p>
              </w:tc>
              <w:tc>
                <w:tcPr>
                  <w:tcW w:w="873" w:type="pct"/>
                  <w:tcBorders>
                    <w:tl2br w:val="nil"/>
                    <w:tr2bl w:val="nil"/>
                  </w:tcBorders>
                  <w:vAlign w:val="center"/>
                </w:tcPr>
                <w:p w14:paraId="53EF5509">
                  <w:pPr>
                    <w:adjustRightInd w:val="0"/>
                    <w:snapToGrid w:val="0"/>
                    <w:spacing w:line="280" w:lineRule="exact"/>
                    <w:jc w:val="center"/>
                    <w:rPr>
                      <w:rFonts w:hint="default" w:ascii="Times New Roman" w:hAnsi="Times New Roman" w:cs="Times New Roman"/>
                      <w:color w:val="auto"/>
                      <w:szCs w:val="21"/>
                    </w:rPr>
                  </w:pPr>
                </w:p>
              </w:tc>
              <w:tc>
                <w:tcPr>
                  <w:tcW w:w="649" w:type="pct"/>
                  <w:tcBorders>
                    <w:tl2br w:val="nil"/>
                    <w:tr2bl w:val="nil"/>
                  </w:tcBorders>
                  <w:vAlign w:val="center"/>
                </w:tcPr>
                <w:p w14:paraId="65552B65">
                  <w:pPr>
                    <w:adjustRightInd w:val="0"/>
                    <w:snapToGrid w:val="0"/>
                    <w:jc w:val="center"/>
                    <w:rPr>
                      <w:rFonts w:hint="default" w:ascii="Times New Roman" w:hAnsi="Times New Roman" w:cs="Times New Roman"/>
                      <w:color w:val="auto"/>
                      <w:spacing w:val="-6"/>
                      <w:szCs w:val="21"/>
                    </w:rPr>
                  </w:pPr>
                </w:p>
              </w:tc>
              <w:tc>
                <w:tcPr>
                  <w:tcW w:w="854" w:type="pct"/>
                  <w:tcBorders>
                    <w:tl2br w:val="nil"/>
                    <w:tr2bl w:val="nil"/>
                  </w:tcBorders>
                  <w:vAlign w:val="center"/>
                </w:tcPr>
                <w:p w14:paraId="1405D30A">
                  <w:pPr>
                    <w:adjustRightInd w:val="0"/>
                    <w:snapToGrid w:val="0"/>
                    <w:jc w:val="center"/>
                    <w:rPr>
                      <w:rFonts w:hint="default" w:ascii="Times New Roman" w:hAnsi="Times New Roman" w:cs="Times New Roman"/>
                      <w:color w:val="auto"/>
                      <w:szCs w:val="21"/>
                    </w:rPr>
                  </w:pPr>
                </w:p>
              </w:tc>
              <w:tc>
                <w:tcPr>
                  <w:tcW w:w="593" w:type="pct"/>
                  <w:tcBorders>
                    <w:tl2br w:val="nil"/>
                    <w:tr2bl w:val="nil"/>
                  </w:tcBorders>
                  <w:vAlign w:val="center"/>
                </w:tcPr>
                <w:p w14:paraId="4430F43F">
                  <w:pPr>
                    <w:widowControl/>
                    <w:jc w:val="center"/>
                    <w:textAlignment w:val="center"/>
                    <w:rPr>
                      <w:rFonts w:hint="default" w:ascii="Times New Roman" w:hAnsi="Times New Roman" w:cs="Times New Roman"/>
                      <w:color w:val="auto"/>
                      <w:szCs w:val="21"/>
                    </w:rPr>
                  </w:pPr>
                </w:p>
              </w:tc>
              <w:tc>
                <w:tcPr>
                  <w:tcW w:w="593" w:type="pct"/>
                  <w:tcBorders>
                    <w:tl2br w:val="nil"/>
                    <w:tr2bl w:val="nil"/>
                  </w:tcBorders>
                  <w:vAlign w:val="center"/>
                </w:tcPr>
                <w:p w14:paraId="08D1A9C0">
                  <w:pPr>
                    <w:widowControl/>
                    <w:jc w:val="center"/>
                    <w:textAlignment w:val="center"/>
                    <w:rPr>
                      <w:rFonts w:hint="default" w:ascii="Times New Roman" w:hAnsi="Times New Roman" w:cs="Times New Roman"/>
                      <w:color w:val="auto"/>
                      <w:szCs w:val="21"/>
                    </w:rPr>
                  </w:pPr>
                </w:p>
              </w:tc>
            </w:tr>
            <w:tr w14:paraId="5A8FB4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854" w:type="pct"/>
                  <w:tcBorders>
                    <w:tl2br w:val="nil"/>
                    <w:tr2bl w:val="nil"/>
                  </w:tcBorders>
                  <w:vAlign w:val="center"/>
                </w:tcPr>
                <w:p w14:paraId="0CA1CAA5">
                  <w:pPr>
                    <w:adjustRightInd w:val="0"/>
                    <w:snapToGrid w:val="0"/>
                    <w:spacing w:line="280" w:lineRule="exact"/>
                    <w:jc w:val="center"/>
                    <w:rPr>
                      <w:rFonts w:hint="default" w:ascii="Times New Roman" w:hAnsi="Times New Roman" w:cs="Times New Roman"/>
                      <w:b/>
                      <w:bCs/>
                      <w:color w:val="auto"/>
                      <w:sz w:val="24"/>
                    </w:rPr>
                  </w:pPr>
                  <w:r>
                    <w:rPr>
                      <w:rFonts w:hint="default" w:ascii="Times New Roman" w:hAnsi="Times New Roman" w:cs="Times New Roman"/>
                      <w:color w:val="auto"/>
                      <w:szCs w:val="21"/>
                    </w:rPr>
                    <w:t>酸洗槽5</w:t>
                  </w:r>
                </w:p>
              </w:tc>
              <w:tc>
                <w:tcPr>
                  <w:tcW w:w="582" w:type="pct"/>
                  <w:tcBorders>
                    <w:tl2br w:val="nil"/>
                    <w:tr2bl w:val="nil"/>
                  </w:tcBorders>
                  <w:vAlign w:val="center"/>
                </w:tcPr>
                <w:p w14:paraId="32C05346">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氯化氢</w:t>
                  </w:r>
                </w:p>
              </w:tc>
              <w:tc>
                <w:tcPr>
                  <w:tcW w:w="873" w:type="pct"/>
                  <w:tcBorders>
                    <w:tl2br w:val="nil"/>
                    <w:tr2bl w:val="nil"/>
                  </w:tcBorders>
                  <w:vAlign w:val="center"/>
                </w:tcPr>
                <w:p w14:paraId="1807A146">
                  <w:pPr>
                    <w:adjustRightInd w:val="0"/>
                    <w:snapToGrid w:val="0"/>
                    <w:spacing w:line="280" w:lineRule="exact"/>
                    <w:jc w:val="center"/>
                    <w:rPr>
                      <w:rFonts w:hint="default" w:ascii="Times New Roman" w:hAnsi="Times New Roman" w:cs="Times New Roman"/>
                      <w:color w:val="auto"/>
                      <w:szCs w:val="21"/>
                    </w:rPr>
                  </w:pPr>
                </w:p>
              </w:tc>
              <w:tc>
                <w:tcPr>
                  <w:tcW w:w="649" w:type="pct"/>
                  <w:tcBorders>
                    <w:tl2br w:val="nil"/>
                    <w:tr2bl w:val="nil"/>
                  </w:tcBorders>
                  <w:vAlign w:val="center"/>
                </w:tcPr>
                <w:p w14:paraId="004B2442">
                  <w:pPr>
                    <w:adjustRightInd w:val="0"/>
                    <w:snapToGrid w:val="0"/>
                    <w:jc w:val="center"/>
                    <w:rPr>
                      <w:rFonts w:hint="default" w:ascii="Times New Roman" w:hAnsi="Times New Roman" w:cs="Times New Roman"/>
                      <w:color w:val="auto"/>
                      <w:spacing w:val="-6"/>
                      <w:szCs w:val="21"/>
                    </w:rPr>
                  </w:pPr>
                </w:p>
              </w:tc>
              <w:tc>
                <w:tcPr>
                  <w:tcW w:w="854" w:type="pct"/>
                  <w:tcBorders>
                    <w:tl2br w:val="nil"/>
                    <w:tr2bl w:val="nil"/>
                  </w:tcBorders>
                  <w:vAlign w:val="center"/>
                </w:tcPr>
                <w:p w14:paraId="125D6324">
                  <w:pPr>
                    <w:adjustRightInd w:val="0"/>
                    <w:snapToGrid w:val="0"/>
                    <w:jc w:val="center"/>
                    <w:rPr>
                      <w:rFonts w:hint="default" w:ascii="Times New Roman" w:hAnsi="Times New Roman" w:cs="Times New Roman"/>
                      <w:color w:val="auto"/>
                      <w:szCs w:val="21"/>
                    </w:rPr>
                  </w:pPr>
                </w:p>
              </w:tc>
              <w:tc>
                <w:tcPr>
                  <w:tcW w:w="593" w:type="pct"/>
                  <w:tcBorders>
                    <w:tl2br w:val="nil"/>
                    <w:tr2bl w:val="nil"/>
                  </w:tcBorders>
                  <w:vAlign w:val="center"/>
                </w:tcPr>
                <w:p w14:paraId="7406E5DF">
                  <w:pPr>
                    <w:widowControl/>
                    <w:jc w:val="center"/>
                    <w:textAlignment w:val="center"/>
                    <w:rPr>
                      <w:rFonts w:hint="default" w:ascii="Times New Roman" w:hAnsi="Times New Roman" w:cs="Times New Roman"/>
                      <w:color w:val="auto"/>
                      <w:szCs w:val="21"/>
                    </w:rPr>
                  </w:pPr>
                </w:p>
              </w:tc>
              <w:tc>
                <w:tcPr>
                  <w:tcW w:w="593" w:type="pct"/>
                  <w:tcBorders>
                    <w:tl2br w:val="nil"/>
                    <w:tr2bl w:val="nil"/>
                  </w:tcBorders>
                  <w:vAlign w:val="center"/>
                </w:tcPr>
                <w:p w14:paraId="178B0301">
                  <w:pPr>
                    <w:widowControl/>
                    <w:jc w:val="center"/>
                    <w:textAlignment w:val="center"/>
                    <w:rPr>
                      <w:rFonts w:hint="default" w:ascii="Times New Roman" w:hAnsi="Times New Roman" w:cs="Times New Roman"/>
                      <w:color w:val="auto"/>
                      <w:szCs w:val="21"/>
                    </w:rPr>
                  </w:pPr>
                </w:p>
              </w:tc>
            </w:tr>
            <w:tr w14:paraId="7DE5DF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854" w:type="pct"/>
                  <w:tcBorders>
                    <w:tl2br w:val="nil"/>
                    <w:tr2bl w:val="nil"/>
                  </w:tcBorders>
                  <w:vAlign w:val="center"/>
                </w:tcPr>
                <w:p w14:paraId="075DF8E0">
                  <w:pPr>
                    <w:adjustRightInd w:val="0"/>
                    <w:snapToGrid w:val="0"/>
                    <w:spacing w:line="280" w:lineRule="exact"/>
                    <w:jc w:val="center"/>
                    <w:rPr>
                      <w:rFonts w:hint="default" w:ascii="Times New Roman" w:hAnsi="Times New Roman" w:cs="Times New Roman"/>
                      <w:b/>
                      <w:bCs/>
                      <w:color w:val="auto"/>
                      <w:sz w:val="24"/>
                    </w:rPr>
                  </w:pPr>
                  <w:r>
                    <w:rPr>
                      <w:rFonts w:hint="default" w:ascii="Times New Roman" w:hAnsi="Times New Roman" w:cs="Times New Roman"/>
                      <w:color w:val="auto"/>
                      <w:szCs w:val="21"/>
                    </w:rPr>
                    <w:t>酸洗槽6</w:t>
                  </w:r>
                </w:p>
              </w:tc>
              <w:tc>
                <w:tcPr>
                  <w:tcW w:w="582" w:type="pct"/>
                  <w:tcBorders>
                    <w:tl2br w:val="nil"/>
                    <w:tr2bl w:val="nil"/>
                  </w:tcBorders>
                  <w:vAlign w:val="center"/>
                </w:tcPr>
                <w:p w14:paraId="094F680F">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氯化氢</w:t>
                  </w:r>
                </w:p>
              </w:tc>
              <w:tc>
                <w:tcPr>
                  <w:tcW w:w="873" w:type="pct"/>
                  <w:tcBorders>
                    <w:tl2br w:val="nil"/>
                    <w:tr2bl w:val="nil"/>
                  </w:tcBorders>
                  <w:vAlign w:val="center"/>
                </w:tcPr>
                <w:p w14:paraId="08178D58">
                  <w:pPr>
                    <w:adjustRightInd w:val="0"/>
                    <w:snapToGrid w:val="0"/>
                    <w:spacing w:line="280" w:lineRule="exact"/>
                    <w:jc w:val="center"/>
                    <w:rPr>
                      <w:rFonts w:hint="default" w:ascii="Times New Roman" w:hAnsi="Times New Roman" w:cs="Times New Roman"/>
                      <w:color w:val="auto"/>
                      <w:szCs w:val="21"/>
                    </w:rPr>
                  </w:pPr>
                </w:p>
              </w:tc>
              <w:tc>
                <w:tcPr>
                  <w:tcW w:w="649" w:type="pct"/>
                  <w:tcBorders>
                    <w:tl2br w:val="nil"/>
                    <w:tr2bl w:val="nil"/>
                  </w:tcBorders>
                  <w:vAlign w:val="center"/>
                </w:tcPr>
                <w:p w14:paraId="1635060F">
                  <w:pPr>
                    <w:adjustRightInd w:val="0"/>
                    <w:snapToGrid w:val="0"/>
                    <w:jc w:val="center"/>
                    <w:rPr>
                      <w:rFonts w:hint="default" w:ascii="Times New Roman" w:hAnsi="Times New Roman" w:cs="Times New Roman"/>
                      <w:color w:val="auto"/>
                      <w:spacing w:val="-6"/>
                      <w:szCs w:val="21"/>
                    </w:rPr>
                  </w:pPr>
                </w:p>
              </w:tc>
              <w:tc>
                <w:tcPr>
                  <w:tcW w:w="854" w:type="pct"/>
                  <w:tcBorders>
                    <w:tl2br w:val="nil"/>
                    <w:tr2bl w:val="nil"/>
                  </w:tcBorders>
                  <w:vAlign w:val="center"/>
                </w:tcPr>
                <w:p w14:paraId="1912DB1E">
                  <w:pPr>
                    <w:adjustRightInd w:val="0"/>
                    <w:snapToGrid w:val="0"/>
                    <w:jc w:val="center"/>
                    <w:rPr>
                      <w:rFonts w:hint="default" w:ascii="Times New Roman" w:hAnsi="Times New Roman" w:cs="Times New Roman"/>
                      <w:color w:val="auto"/>
                      <w:szCs w:val="21"/>
                    </w:rPr>
                  </w:pPr>
                </w:p>
              </w:tc>
              <w:tc>
                <w:tcPr>
                  <w:tcW w:w="593" w:type="pct"/>
                  <w:tcBorders>
                    <w:tl2br w:val="nil"/>
                    <w:tr2bl w:val="nil"/>
                  </w:tcBorders>
                  <w:vAlign w:val="center"/>
                </w:tcPr>
                <w:p w14:paraId="0854BDA2">
                  <w:pPr>
                    <w:widowControl/>
                    <w:jc w:val="center"/>
                    <w:textAlignment w:val="center"/>
                    <w:rPr>
                      <w:rFonts w:hint="default" w:ascii="Times New Roman" w:hAnsi="Times New Roman" w:cs="Times New Roman"/>
                      <w:color w:val="auto"/>
                      <w:szCs w:val="21"/>
                    </w:rPr>
                  </w:pPr>
                </w:p>
              </w:tc>
              <w:tc>
                <w:tcPr>
                  <w:tcW w:w="593" w:type="pct"/>
                  <w:tcBorders>
                    <w:tl2br w:val="nil"/>
                    <w:tr2bl w:val="nil"/>
                  </w:tcBorders>
                  <w:vAlign w:val="center"/>
                </w:tcPr>
                <w:p w14:paraId="75A85611">
                  <w:pPr>
                    <w:widowControl/>
                    <w:jc w:val="center"/>
                    <w:textAlignment w:val="center"/>
                    <w:rPr>
                      <w:rFonts w:hint="default" w:ascii="Times New Roman" w:hAnsi="Times New Roman" w:cs="Times New Roman"/>
                      <w:color w:val="auto"/>
                      <w:szCs w:val="21"/>
                    </w:rPr>
                  </w:pPr>
                </w:p>
              </w:tc>
            </w:tr>
            <w:tr w14:paraId="3B68D6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854" w:type="pct"/>
                  <w:tcBorders>
                    <w:tl2br w:val="nil"/>
                    <w:tr2bl w:val="nil"/>
                  </w:tcBorders>
                  <w:vAlign w:val="center"/>
                </w:tcPr>
                <w:p w14:paraId="5B3B7ADC">
                  <w:pPr>
                    <w:adjustRightInd w:val="0"/>
                    <w:snapToGrid w:val="0"/>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磷化槽1</w:t>
                  </w:r>
                </w:p>
              </w:tc>
              <w:tc>
                <w:tcPr>
                  <w:tcW w:w="582" w:type="pct"/>
                  <w:tcBorders>
                    <w:tl2br w:val="nil"/>
                    <w:tr2bl w:val="nil"/>
                  </w:tcBorders>
                  <w:vAlign w:val="center"/>
                </w:tcPr>
                <w:p w14:paraId="33DCBB41">
                  <w:pPr>
                    <w:adjustRightInd w:val="0"/>
                    <w:snapToGrid w:val="0"/>
                    <w:spacing w:line="280" w:lineRule="exact"/>
                    <w:jc w:val="center"/>
                    <w:rPr>
                      <w:rFonts w:hint="default" w:ascii="Times New Roman" w:hAnsi="Times New Roman" w:cs="Times New Roman"/>
                      <w:color w:val="auto"/>
                    </w:rPr>
                  </w:pPr>
                  <w:r>
                    <w:rPr>
                      <w:rFonts w:hint="default" w:ascii="Times New Roman" w:hAnsi="Times New Roman" w:cs="Times New Roman"/>
                      <w:color w:val="auto"/>
                      <w:szCs w:val="21"/>
                      <w:lang w:val="en-US" w:eastAsia="zh-CN"/>
                    </w:rPr>
                    <w:t>NOx</w:t>
                  </w:r>
                </w:p>
              </w:tc>
              <w:tc>
                <w:tcPr>
                  <w:tcW w:w="873" w:type="pct"/>
                  <w:tcBorders>
                    <w:tl2br w:val="nil"/>
                    <w:tr2bl w:val="nil"/>
                  </w:tcBorders>
                  <w:vAlign w:val="center"/>
                </w:tcPr>
                <w:p w14:paraId="5AA590F4">
                  <w:pPr>
                    <w:adjustRightInd w:val="0"/>
                    <w:snapToGrid w:val="0"/>
                    <w:spacing w:line="280" w:lineRule="exact"/>
                    <w:jc w:val="center"/>
                    <w:rPr>
                      <w:rFonts w:hint="default" w:ascii="Times New Roman" w:hAnsi="Times New Roman" w:cs="Times New Roman"/>
                      <w:color w:val="auto"/>
                      <w:szCs w:val="21"/>
                    </w:rPr>
                  </w:pPr>
                </w:p>
              </w:tc>
              <w:tc>
                <w:tcPr>
                  <w:tcW w:w="649" w:type="pct"/>
                  <w:tcBorders>
                    <w:tl2br w:val="nil"/>
                    <w:tr2bl w:val="nil"/>
                  </w:tcBorders>
                  <w:vAlign w:val="center"/>
                </w:tcPr>
                <w:p w14:paraId="3EF3DC6C">
                  <w:pPr>
                    <w:adjustRightInd w:val="0"/>
                    <w:snapToGrid w:val="0"/>
                    <w:jc w:val="center"/>
                    <w:rPr>
                      <w:rFonts w:hint="default" w:ascii="Times New Roman" w:hAnsi="Times New Roman" w:cs="Times New Roman"/>
                      <w:color w:val="auto"/>
                      <w:szCs w:val="21"/>
                      <w:lang w:val="en-US"/>
                    </w:rPr>
                  </w:pPr>
                </w:p>
              </w:tc>
              <w:tc>
                <w:tcPr>
                  <w:tcW w:w="854" w:type="pct"/>
                  <w:tcBorders>
                    <w:tl2br w:val="nil"/>
                    <w:tr2bl w:val="nil"/>
                  </w:tcBorders>
                  <w:vAlign w:val="center"/>
                </w:tcPr>
                <w:p w14:paraId="413530A7">
                  <w:pPr>
                    <w:adjustRightInd w:val="0"/>
                    <w:snapToGrid w:val="0"/>
                    <w:jc w:val="center"/>
                    <w:rPr>
                      <w:rFonts w:hint="default" w:ascii="Times New Roman" w:hAnsi="Times New Roman" w:cs="Times New Roman"/>
                      <w:color w:val="auto"/>
                      <w:szCs w:val="21"/>
                    </w:rPr>
                  </w:pPr>
                </w:p>
              </w:tc>
              <w:tc>
                <w:tcPr>
                  <w:tcW w:w="593" w:type="pct"/>
                  <w:tcBorders>
                    <w:tl2br w:val="nil"/>
                    <w:tr2bl w:val="nil"/>
                  </w:tcBorders>
                  <w:vAlign w:val="center"/>
                </w:tcPr>
                <w:p w14:paraId="34CC897A">
                  <w:pPr>
                    <w:keepNext w:val="0"/>
                    <w:keepLines w:val="0"/>
                    <w:widowControl/>
                    <w:suppressLineNumbers w:val="0"/>
                    <w:jc w:val="center"/>
                    <w:textAlignment w:val="center"/>
                    <w:rPr>
                      <w:rFonts w:hint="default" w:ascii="Times New Roman" w:hAnsi="Times New Roman" w:eastAsia="宋体" w:cs="Times New Roman"/>
                      <w:color w:val="auto"/>
                      <w:kern w:val="0"/>
                      <w:szCs w:val="21"/>
                      <w:lang w:val="en-US" w:eastAsia="zh-CN" w:bidi="ar"/>
                    </w:rPr>
                  </w:pPr>
                </w:p>
              </w:tc>
              <w:tc>
                <w:tcPr>
                  <w:tcW w:w="593" w:type="pct"/>
                  <w:tcBorders>
                    <w:tl2br w:val="nil"/>
                    <w:tr2bl w:val="nil"/>
                  </w:tcBorders>
                  <w:vAlign w:val="center"/>
                </w:tcPr>
                <w:p w14:paraId="0675B895">
                  <w:pPr>
                    <w:keepNext w:val="0"/>
                    <w:keepLines w:val="0"/>
                    <w:widowControl/>
                    <w:suppressLineNumbers w:val="0"/>
                    <w:jc w:val="center"/>
                    <w:textAlignment w:val="center"/>
                    <w:rPr>
                      <w:rFonts w:hint="default" w:ascii="Times New Roman" w:hAnsi="Times New Roman" w:eastAsia="宋体" w:cs="Times New Roman"/>
                      <w:color w:val="auto"/>
                      <w:kern w:val="0"/>
                      <w:szCs w:val="21"/>
                      <w:lang w:val="en-US" w:eastAsia="zh-CN" w:bidi="ar"/>
                    </w:rPr>
                  </w:pPr>
                </w:p>
              </w:tc>
            </w:tr>
            <w:tr w14:paraId="2FEA6A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854" w:type="pct"/>
                  <w:tcBorders>
                    <w:tl2br w:val="nil"/>
                    <w:tr2bl w:val="nil"/>
                  </w:tcBorders>
                  <w:vAlign w:val="center"/>
                </w:tcPr>
                <w:p w14:paraId="0968900C">
                  <w:pPr>
                    <w:adjustRightInd w:val="0"/>
                    <w:snapToGrid w:val="0"/>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磷化槽2</w:t>
                  </w:r>
                </w:p>
              </w:tc>
              <w:tc>
                <w:tcPr>
                  <w:tcW w:w="582" w:type="pct"/>
                  <w:tcBorders>
                    <w:tl2br w:val="nil"/>
                    <w:tr2bl w:val="nil"/>
                  </w:tcBorders>
                  <w:vAlign w:val="center"/>
                </w:tcPr>
                <w:p w14:paraId="6E8EA5CC">
                  <w:pPr>
                    <w:adjustRightInd w:val="0"/>
                    <w:snapToGrid w:val="0"/>
                    <w:spacing w:line="280" w:lineRule="exact"/>
                    <w:jc w:val="center"/>
                    <w:rPr>
                      <w:rFonts w:hint="default" w:ascii="Times New Roman" w:hAnsi="Times New Roman" w:cs="Times New Roman"/>
                      <w:color w:val="auto"/>
                    </w:rPr>
                  </w:pPr>
                  <w:r>
                    <w:rPr>
                      <w:rFonts w:hint="default" w:ascii="Times New Roman" w:hAnsi="Times New Roman" w:cs="Times New Roman"/>
                      <w:color w:val="auto"/>
                      <w:szCs w:val="21"/>
                      <w:lang w:val="en-US" w:eastAsia="zh-CN"/>
                    </w:rPr>
                    <w:t>NOx</w:t>
                  </w:r>
                </w:p>
              </w:tc>
              <w:tc>
                <w:tcPr>
                  <w:tcW w:w="873" w:type="pct"/>
                  <w:tcBorders>
                    <w:tl2br w:val="nil"/>
                    <w:tr2bl w:val="nil"/>
                  </w:tcBorders>
                  <w:vAlign w:val="center"/>
                </w:tcPr>
                <w:p w14:paraId="0E1FC3F8">
                  <w:pPr>
                    <w:adjustRightInd w:val="0"/>
                    <w:snapToGrid w:val="0"/>
                    <w:spacing w:line="280" w:lineRule="exact"/>
                    <w:jc w:val="center"/>
                    <w:rPr>
                      <w:rFonts w:hint="default" w:ascii="Times New Roman" w:hAnsi="Times New Roman" w:cs="Times New Roman"/>
                      <w:color w:val="auto"/>
                      <w:szCs w:val="21"/>
                    </w:rPr>
                  </w:pPr>
                </w:p>
              </w:tc>
              <w:tc>
                <w:tcPr>
                  <w:tcW w:w="649" w:type="pct"/>
                  <w:tcBorders>
                    <w:tl2br w:val="nil"/>
                    <w:tr2bl w:val="nil"/>
                  </w:tcBorders>
                  <w:vAlign w:val="center"/>
                </w:tcPr>
                <w:p w14:paraId="22DABC19">
                  <w:pPr>
                    <w:adjustRightInd w:val="0"/>
                    <w:snapToGrid w:val="0"/>
                    <w:jc w:val="center"/>
                    <w:rPr>
                      <w:rFonts w:hint="default" w:ascii="Times New Roman" w:hAnsi="Times New Roman" w:cs="Times New Roman"/>
                      <w:color w:val="auto"/>
                      <w:szCs w:val="21"/>
                    </w:rPr>
                  </w:pPr>
                </w:p>
              </w:tc>
              <w:tc>
                <w:tcPr>
                  <w:tcW w:w="854" w:type="pct"/>
                  <w:tcBorders>
                    <w:tl2br w:val="nil"/>
                    <w:tr2bl w:val="nil"/>
                  </w:tcBorders>
                  <w:vAlign w:val="center"/>
                </w:tcPr>
                <w:p w14:paraId="35421D9C">
                  <w:pPr>
                    <w:adjustRightInd w:val="0"/>
                    <w:snapToGrid w:val="0"/>
                    <w:jc w:val="center"/>
                    <w:rPr>
                      <w:rFonts w:hint="default" w:ascii="Times New Roman" w:hAnsi="Times New Roman" w:cs="Times New Roman"/>
                      <w:color w:val="auto"/>
                      <w:szCs w:val="21"/>
                    </w:rPr>
                  </w:pPr>
                </w:p>
              </w:tc>
              <w:tc>
                <w:tcPr>
                  <w:tcW w:w="593" w:type="pct"/>
                  <w:tcBorders>
                    <w:tl2br w:val="nil"/>
                    <w:tr2bl w:val="nil"/>
                  </w:tcBorders>
                  <w:vAlign w:val="center"/>
                </w:tcPr>
                <w:p w14:paraId="77B3834B">
                  <w:pPr>
                    <w:keepNext w:val="0"/>
                    <w:keepLines w:val="0"/>
                    <w:widowControl/>
                    <w:suppressLineNumbers w:val="0"/>
                    <w:jc w:val="center"/>
                    <w:textAlignment w:val="center"/>
                    <w:rPr>
                      <w:rFonts w:hint="default" w:ascii="Times New Roman" w:hAnsi="Times New Roman" w:cs="Times New Roman"/>
                      <w:color w:val="auto"/>
                      <w:kern w:val="0"/>
                      <w:szCs w:val="21"/>
                      <w:lang w:val="en-US" w:bidi="ar"/>
                    </w:rPr>
                  </w:pPr>
                </w:p>
              </w:tc>
              <w:tc>
                <w:tcPr>
                  <w:tcW w:w="593" w:type="pct"/>
                  <w:tcBorders>
                    <w:tl2br w:val="nil"/>
                    <w:tr2bl w:val="nil"/>
                  </w:tcBorders>
                  <w:vAlign w:val="center"/>
                </w:tcPr>
                <w:p w14:paraId="33B80240">
                  <w:pPr>
                    <w:keepNext w:val="0"/>
                    <w:keepLines w:val="0"/>
                    <w:widowControl/>
                    <w:suppressLineNumbers w:val="0"/>
                    <w:jc w:val="center"/>
                    <w:textAlignment w:val="center"/>
                    <w:rPr>
                      <w:rFonts w:hint="default" w:ascii="Times New Roman" w:hAnsi="Times New Roman" w:cs="Times New Roman"/>
                      <w:color w:val="auto"/>
                      <w:kern w:val="0"/>
                      <w:szCs w:val="21"/>
                      <w:lang w:val="en-US" w:bidi="ar"/>
                    </w:rPr>
                  </w:pPr>
                </w:p>
              </w:tc>
            </w:tr>
          </w:tbl>
          <w:p w14:paraId="352A1AE6">
            <w:pPr>
              <w:keepNext w:val="0"/>
              <w:keepLines w:val="0"/>
              <w:pageBreakBefore w:val="0"/>
              <w:widowControl w:val="0"/>
              <w:kinsoku/>
              <w:wordWrap/>
              <w:overflowPunct/>
              <w:topLinePunct w:val="0"/>
              <w:autoSpaceDE/>
              <w:autoSpaceDN/>
              <w:bidi w:val="0"/>
              <w:adjustRightInd/>
              <w:snapToGrid w:val="0"/>
              <w:spacing w:before="190" w:beforeLines="50" w:line="360" w:lineRule="auto"/>
              <w:ind w:left="119" w:right="57" w:firstLine="482"/>
              <w:jc w:val="left"/>
              <w:textAlignment w:val="auto"/>
              <w:rPr>
                <w:rFonts w:hint="default" w:ascii="Times New Roman" w:hAnsi="Times New Roman" w:cs="Times New Roman"/>
                <w:color w:val="auto"/>
                <w:sz w:val="24"/>
              </w:rPr>
            </w:pPr>
            <w:r>
              <w:rPr>
                <w:rFonts w:hint="default" w:ascii="Times New Roman" w:hAnsi="Times New Roman" w:cs="Times New Roman"/>
                <w:color w:val="auto"/>
                <w:sz w:val="24"/>
              </w:rPr>
              <w:t>本项目表面处理生产线为全封闭负压式，</w:t>
            </w:r>
            <w:r>
              <w:rPr>
                <w:rFonts w:hint="default" w:ascii="Times New Roman" w:hAnsi="Times New Roman" w:cs="Times New Roman"/>
                <w:color w:val="auto"/>
                <w:sz w:val="24"/>
                <w:lang w:val="en-US" w:eastAsia="zh-CN"/>
              </w:rPr>
              <w:t>考虑隧道开关门可能产生酸雾溢出，本评价</w:t>
            </w:r>
            <w:r>
              <w:rPr>
                <w:rFonts w:hint="default" w:ascii="Times New Roman" w:hAnsi="Times New Roman" w:cs="Times New Roman" w:eastAsiaTheme="minorEastAsia"/>
                <w:snapToGrid w:val="0"/>
                <w:color w:val="auto"/>
                <w:kern w:val="0"/>
                <w:sz w:val="24"/>
              </w:rPr>
              <w:t>废气集气装置对酸雾捕集率按98%计算，</w:t>
            </w:r>
            <w:r>
              <w:rPr>
                <w:rFonts w:hint="default" w:ascii="Times New Roman" w:hAnsi="Times New Roman" w:cs="Times New Roman"/>
                <w:color w:val="auto"/>
                <w:sz w:val="24"/>
              </w:rPr>
              <w:t>产生的</w:t>
            </w:r>
            <w:r>
              <w:rPr>
                <w:rFonts w:hint="default" w:ascii="Times New Roman" w:hAnsi="Times New Roman" w:cs="Times New Roman"/>
                <w:color w:val="auto"/>
                <w:sz w:val="24"/>
                <w:lang w:val="en-US" w:eastAsia="zh-CN"/>
              </w:rPr>
              <w:t>酸雾</w:t>
            </w:r>
            <w:r>
              <w:rPr>
                <w:rFonts w:hint="default" w:ascii="Times New Roman" w:hAnsi="Times New Roman" w:cs="Times New Roman"/>
                <w:color w:val="auto"/>
                <w:sz w:val="24"/>
              </w:rPr>
              <w:t>收集后经喷淋塔处理后由18m高排气筒DA008排放。</w:t>
            </w:r>
          </w:p>
          <w:p w14:paraId="1597F939">
            <w:pPr>
              <w:pStyle w:val="160"/>
              <w:keepNext w:val="0"/>
              <w:keepLines w:val="0"/>
              <w:pageBreakBefore w:val="0"/>
              <w:widowControl w:val="0"/>
              <w:kinsoku/>
              <w:wordWrap/>
              <w:overflowPunct/>
              <w:topLinePunct w:val="0"/>
              <w:autoSpaceDE/>
              <w:autoSpaceDN/>
              <w:bidi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Ⅱ、盐酸储罐呼吸废气</w:t>
            </w:r>
          </w:p>
          <w:p w14:paraId="0192A567">
            <w:pPr>
              <w:keepNext w:val="0"/>
              <w:keepLines w:val="0"/>
              <w:pageBreakBefore w:val="0"/>
              <w:widowControl w:val="0"/>
              <w:kinsoku/>
              <w:wordWrap/>
              <w:overflowPunct/>
              <w:topLinePunct w:val="0"/>
              <w:autoSpaceDE/>
              <w:autoSpaceDN/>
              <w:bidi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项目盐酸储罐为固定顶罐，此类储罐的废气主要来源于大、小呼吸废气排放。</w:t>
            </w:r>
          </w:p>
          <w:p w14:paraId="60CD3125">
            <w:pPr>
              <w:keepNext w:val="0"/>
              <w:keepLines w:val="0"/>
              <w:pageBreakBefore w:val="0"/>
              <w:widowControl w:val="0"/>
              <w:kinsoku/>
              <w:wordWrap/>
              <w:overflowPunct/>
              <w:topLinePunct w:val="0"/>
              <w:autoSpaceDE/>
              <w:autoSpaceDN/>
              <w:bidi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大呼吸气</w:t>
            </w:r>
          </w:p>
          <w:p w14:paraId="754EB872">
            <w:pPr>
              <w:keepNext w:val="0"/>
              <w:keepLines w:val="0"/>
              <w:pageBreakBefore w:val="0"/>
              <w:widowControl w:val="0"/>
              <w:kinsoku/>
              <w:wordWrap/>
              <w:overflowPunct/>
              <w:topLinePunct w:val="0"/>
              <w:autoSpaceDE/>
              <w:autoSpaceDN/>
              <w:bidi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大呼吸是由于装料与卸料而产生的气体挥发损失，该废气由下式进行估算：</w:t>
            </w:r>
          </w:p>
          <w:p w14:paraId="3592EB3D">
            <w:pPr>
              <w:keepNext w:val="0"/>
              <w:keepLines w:val="0"/>
              <w:pageBreakBefore w:val="0"/>
              <w:widowControl w:val="0"/>
              <w:kinsoku/>
              <w:wordWrap/>
              <w:overflowPunct/>
              <w:topLinePunct w:val="0"/>
              <w:autoSpaceDE/>
              <w:autoSpaceDN/>
              <w:bidi w:val="0"/>
              <w:snapToGrid w:val="0"/>
              <w:spacing w:line="360" w:lineRule="auto"/>
              <w:ind w:firstLine="480" w:firstLineChars="200"/>
              <w:jc w:val="center"/>
              <w:rPr>
                <w:rFonts w:hint="default" w:ascii="Times New Roman" w:hAnsi="Times New Roman" w:cs="Times New Roman"/>
                <w:color w:val="auto"/>
                <w:sz w:val="24"/>
              </w:rPr>
            </w:pPr>
            <w:r>
              <w:rPr>
                <w:rFonts w:hint="default" w:ascii="Times New Roman" w:hAnsi="Times New Roman" w:cs="Times New Roman"/>
                <w:color w:val="auto"/>
                <w:sz w:val="24"/>
              </w:rPr>
              <w:t>L</w:t>
            </w:r>
            <w:r>
              <w:rPr>
                <w:rFonts w:hint="default" w:ascii="Times New Roman" w:hAnsi="Times New Roman" w:cs="Times New Roman"/>
                <w:color w:val="auto"/>
                <w:sz w:val="24"/>
                <w:vertAlign w:val="subscript"/>
              </w:rPr>
              <w:t>W</w:t>
            </w:r>
            <w:r>
              <w:rPr>
                <w:rFonts w:hint="default" w:ascii="Times New Roman" w:hAnsi="Times New Roman" w:cs="Times New Roman"/>
                <w:color w:val="auto"/>
                <w:sz w:val="24"/>
              </w:rPr>
              <w:t>=4.188×10</w:t>
            </w:r>
            <w:r>
              <w:rPr>
                <w:rFonts w:hint="default" w:ascii="Times New Roman" w:hAnsi="Times New Roman" w:cs="Times New Roman"/>
                <w:color w:val="auto"/>
                <w:sz w:val="24"/>
                <w:vertAlign w:val="superscript"/>
              </w:rPr>
              <w:t>-7</w:t>
            </w:r>
            <w:r>
              <w:rPr>
                <w:rFonts w:hint="default" w:ascii="Times New Roman" w:hAnsi="Times New Roman" w:cs="Times New Roman"/>
                <w:color w:val="auto"/>
                <w:sz w:val="24"/>
              </w:rPr>
              <w:t>×M×P×K</w:t>
            </w:r>
            <w:r>
              <w:rPr>
                <w:rFonts w:hint="default" w:ascii="Times New Roman" w:hAnsi="Times New Roman" w:cs="Times New Roman"/>
                <w:color w:val="auto"/>
                <w:sz w:val="24"/>
                <w:vertAlign w:val="subscript"/>
              </w:rPr>
              <w:t>N</w:t>
            </w:r>
            <w:r>
              <w:rPr>
                <w:rFonts w:hint="default" w:ascii="Times New Roman" w:hAnsi="Times New Roman" w:cs="Times New Roman"/>
                <w:color w:val="auto"/>
                <w:sz w:val="24"/>
              </w:rPr>
              <w:t>×K</w:t>
            </w:r>
            <w:r>
              <w:rPr>
                <w:rFonts w:hint="default" w:ascii="Times New Roman" w:hAnsi="Times New Roman" w:cs="Times New Roman"/>
                <w:color w:val="auto"/>
                <w:sz w:val="24"/>
                <w:vertAlign w:val="subscript"/>
              </w:rPr>
              <w:t>C</w:t>
            </w:r>
            <w:r>
              <w:rPr>
                <w:rFonts w:hint="default" w:ascii="Times New Roman" w:hAnsi="Times New Roman" w:cs="Times New Roman"/>
                <w:color w:val="auto"/>
                <w:sz w:val="24"/>
              </w:rPr>
              <w:t xml:space="preserve">            式1</w:t>
            </w:r>
          </w:p>
          <w:p w14:paraId="55C1A649">
            <w:pPr>
              <w:keepNext w:val="0"/>
              <w:keepLines w:val="0"/>
              <w:pageBreakBefore w:val="0"/>
              <w:widowControl w:val="0"/>
              <w:kinsoku/>
              <w:wordWrap/>
              <w:overflowPunct/>
              <w:topLinePunct w:val="0"/>
              <w:autoSpaceDE/>
              <w:autoSpaceDN/>
              <w:bidi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式中：L</w:t>
            </w:r>
            <w:r>
              <w:rPr>
                <w:rFonts w:hint="default" w:ascii="Times New Roman" w:hAnsi="Times New Roman" w:cs="Times New Roman"/>
                <w:color w:val="auto"/>
                <w:sz w:val="24"/>
                <w:vertAlign w:val="subscript"/>
              </w:rPr>
              <w:t>W</w:t>
            </w:r>
            <w:r>
              <w:rPr>
                <w:rFonts w:hint="default" w:ascii="Times New Roman" w:hAnsi="Times New Roman" w:cs="Times New Roman"/>
                <w:color w:val="auto"/>
                <w:sz w:val="24"/>
              </w:rPr>
              <w:t>——固定顶罐的工作损失（kg/m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投入量），项目3</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rPr>
              <w:t>%盐酸年使用量为2250t/a、密度为1.149g/mL，即年投入量为2585m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p>
          <w:p w14:paraId="319B346A">
            <w:pPr>
              <w:keepNext w:val="0"/>
              <w:keepLines w:val="0"/>
              <w:pageBreakBefore w:val="0"/>
              <w:widowControl w:val="0"/>
              <w:kinsoku/>
              <w:wordWrap/>
              <w:overflowPunct/>
              <w:topLinePunct w:val="0"/>
              <w:autoSpaceDE/>
              <w:autoSpaceDN/>
              <w:bidi w:val="0"/>
              <w:snapToGrid w:val="0"/>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M——储罐内蒸汽的分子量；</w:t>
            </w:r>
          </w:p>
          <w:p w14:paraId="6862E8E6">
            <w:pPr>
              <w:keepNext w:val="0"/>
              <w:keepLines w:val="0"/>
              <w:pageBreakBefore w:val="0"/>
              <w:widowControl w:val="0"/>
              <w:kinsoku/>
              <w:wordWrap/>
              <w:overflowPunct/>
              <w:topLinePunct w:val="0"/>
              <w:autoSpaceDE/>
              <w:autoSpaceDN/>
              <w:bidi w:val="0"/>
              <w:snapToGrid w:val="0"/>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P——大量液体状态下，真实蒸气压，3</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rPr>
              <w:t>%盐酸为1413.2Pa；</w:t>
            </w:r>
          </w:p>
          <w:p w14:paraId="41539100">
            <w:pPr>
              <w:keepNext w:val="0"/>
              <w:keepLines w:val="0"/>
              <w:pageBreakBefore w:val="0"/>
              <w:widowControl w:val="0"/>
              <w:kinsoku/>
              <w:wordWrap/>
              <w:overflowPunct/>
              <w:topLinePunct w:val="0"/>
              <w:autoSpaceDE/>
              <w:autoSpaceDN/>
              <w:bidi w:val="0"/>
              <w:snapToGrid w:val="0"/>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K</w:t>
            </w:r>
            <w:r>
              <w:rPr>
                <w:rFonts w:hint="default" w:ascii="Times New Roman" w:hAnsi="Times New Roman" w:cs="Times New Roman"/>
                <w:color w:val="auto"/>
                <w:sz w:val="24"/>
                <w:vertAlign w:val="subscript"/>
              </w:rPr>
              <w:t>N</w:t>
            </w:r>
            <w:r>
              <w:rPr>
                <w:rFonts w:hint="default" w:ascii="Times New Roman" w:hAnsi="Times New Roman" w:cs="Times New Roman"/>
                <w:color w:val="auto"/>
                <w:sz w:val="24"/>
              </w:rPr>
              <w:t>——周转因子（无量纲），取值按年周转次数（K）确定，当K≤36时，K</w:t>
            </w:r>
            <w:r>
              <w:rPr>
                <w:rFonts w:hint="default" w:ascii="Times New Roman" w:hAnsi="Times New Roman" w:cs="Times New Roman"/>
                <w:color w:val="auto"/>
                <w:sz w:val="24"/>
                <w:vertAlign w:val="subscript"/>
              </w:rPr>
              <w:t>N</w:t>
            </w:r>
            <w:r>
              <w:rPr>
                <w:rFonts w:hint="default" w:ascii="Times New Roman" w:hAnsi="Times New Roman" w:cs="Times New Roman"/>
                <w:color w:val="auto"/>
                <w:sz w:val="24"/>
              </w:rPr>
              <w:t>=1；36＜K≤220时，K</w:t>
            </w:r>
            <w:r>
              <w:rPr>
                <w:rFonts w:hint="default" w:ascii="Times New Roman" w:hAnsi="Times New Roman" w:cs="Times New Roman"/>
                <w:color w:val="auto"/>
                <w:sz w:val="24"/>
                <w:vertAlign w:val="subscript"/>
              </w:rPr>
              <w:t>N</w:t>
            </w:r>
            <w:r>
              <w:rPr>
                <w:rFonts w:hint="default" w:ascii="Times New Roman" w:hAnsi="Times New Roman" w:cs="Times New Roman"/>
                <w:color w:val="auto"/>
                <w:sz w:val="24"/>
              </w:rPr>
              <w:t>=11.467×K</w:t>
            </w:r>
            <w:r>
              <w:rPr>
                <w:rFonts w:hint="default" w:ascii="Times New Roman" w:hAnsi="Times New Roman" w:cs="Times New Roman"/>
                <w:color w:val="auto"/>
                <w:sz w:val="24"/>
                <w:vertAlign w:val="superscript"/>
              </w:rPr>
              <w:t>-0.7026</w:t>
            </w:r>
            <w:r>
              <w:rPr>
                <w:rFonts w:hint="default" w:ascii="Times New Roman" w:hAnsi="Times New Roman" w:cs="Times New Roman"/>
                <w:color w:val="auto"/>
                <w:sz w:val="24"/>
              </w:rPr>
              <w:t>；K＞220时，K</w:t>
            </w:r>
            <w:r>
              <w:rPr>
                <w:rFonts w:hint="default" w:ascii="Times New Roman" w:hAnsi="Times New Roman" w:cs="Times New Roman"/>
                <w:color w:val="auto"/>
                <w:sz w:val="24"/>
                <w:vertAlign w:val="subscript"/>
              </w:rPr>
              <w:t>N</w:t>
            </w:r>
            <w:r>
              <w:rPr>
                <w:rFonts w:hint="default" w:ascii="Times New Roman" w:hAnsi="Times New Roman" w:cs="Times New Roman"/>
                <w:color w:val="auto"/>
                <w:sz w:val="24"/>
              </w:rPr>
              <w:t>=0.26；</w:t>
            </w:r>
          </w:p>
          <w:p w14:paraId="37DD8FE1">
            <w:pPr>
              <w:keepNext w:val="0"/>
              <w:keepLines w:val="0"/>
              <w:pageBreakBefore w:val="0"/>
              <w:widowControl w:val="0"/>
              <w:kinsoku/>
              <w:wordWrap/>
              <w:overflowPunct/>
              <w:topLinePunct w:val="0"/>
              <w:autoSpaceDE/>
              <w:autoSpaceDN/>
              <w:bidi w:val="0"/>
              <w:snapToGrid w:val="0"/>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K</w:t>
            </w:r>
            <w:r>
              <w:rPr>
                <w:rFonts w:hint="default" w:ascii="Times New Roman" w:hAnsi="Times New Roman" w:cs="Times New Roman"/>
                <w:color w:val="auto"/>
                <w:sz w:val="24"/>
                <w:vertAlign w:val="subscript"/>
              </w:rPr>
              <w:t>C</w:t>
            </w:r>
            <w:r>
              <w:rPr>
                <w:rFonts w:hint="default" w:ascii="Times New Roman" w:hAnsi="Times New Roman" w:cs="Times New Roman"/>
                <w:color w:val="auto"/>
                <w:sz w:val="24"/>
              </w:rPr>
              <w:t>——产品因子（石油原油取0.65，其他液体取1.0）。</w:t>
            </w:r>
          </w:p>
          <w:p w14:paraId="52178FA6">
            <w:pPr>
              <w:keepNext w:val="0"/>
              <w:keepLines w:val="0"/>
              <w:pageBreakBefore w:val="0"/>
              <w:widowControl w:val="0"/>
              <w:kinsoku/>
              <w:wordWrap/>
              <w:overflowPunct/>
              <w:topLinePunct w:val="0"/>
              <w:autoSpaceDE/>
              <w:autoSpaceDN/>
              <w:bidi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小呼吸</w:t>
            </w:r>
          </w:p>
          <w:p w14:paraId="4EB597DD">
            <w:pPr>
              <w:keepNext w:val="0"/>
              <w:keepLines w:val="0"/>
              <w:pageBreakBefore w:val="0"/>
              <w:widowControl w:val="0"/>
              <w:kinsoku/>
              <w:wordWrap/>
              <w:overflowPunct/>
              <w:topLinePunct w:val="0"/>
              <w:autoSpaceDE/>
              <w:autoSpaceDN/>
              <w:bidi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小呼吸是由于温度和大气压力变化引起蒸汽的膨胀和收缩而产生蒸汽排出，该废气量由下式进行估算：</w:t>
            </w:r>
          </w:p>
          <w:p w14:paraId="2B1EEA7A">
            <w:pPr>
              <w:keepNext w:val="0"/>
              <w:keepLines w:val="0"/>
              <w:pageBreakBefore w:val="0"/>
              <w:widowControl w:val="0"/>
              <w:kinsoku/>
              <w:wordWrap/>
              <w:overflowPunct/>
              <w:topLinePunct w:val="0"/>
              <w:autoSpaceDE/>
              <w:autoSpaceDN/>
              <w:bidi w:val="0"/>
              <w:snapToGrid w:val="0"/>
              <w:spacing w:line="360" w:lineRule="auto"/>
              <w:ind w:firstLine="480" w:firstLineChars="200"/>
              <w:jc w:val="center"/>
              <w:rPr>
                <w:rFonts w:hint="default" w:ascii="Times New Roman" w:hAnsi="Times New Roman" w:cs="Times New Roman"/>
                <w:color w:val="auto"/>
                <w:sz w:val="24"/>
              </w:rPr>
            </w:pPr>
            <w:r>
              <w:rPr>
                <w:rFonts w:hint="default" w:ascii="Times New Roman" w:hAnsi="Times New Roman" w:cs="Times New Roman"/>
                <w:color w:val="auto"/>
                <w:sz w:val="24"/>
              </w:rPr>
              <w:object>
                <v:shape id="_x0000_i1025" o:spt="75" type="#_x0000_t75" style="height:21pt;width:316pt;" o:ole="t" filled="f" o:preferrelative="t" stroked="f" coordsize="21600,21600">
                  <v:path/>
                  <v:fill on="f" focussize="0,0"/>
                  <v:stroke on="f" joinstyle="miter"/>
                  <v:imagedata r:id="rId23" o:title=""/>
                  <o:lock v:ext="edit" aspectratio="t"/>
                  <w10:wrap type="none"/>
                  <w10:anchorlock/>
                </v:shape>
                <o:OLEObject Type="Embed" ProgID="Equation.KSEE3" ShapeID="_x0000_i1025" DrawAspect="Content" ObjectID="_1468075725" r:id="rId22">
                  <o:LockedField>false</o:LockedField>
                </o:OLEObject>
              </w:object>
            </w:r>
          </w:p>
          <w:p w14:paraId="5BBC3FB8">
            <w:pPr>
              <w:keepNext w:val="0"/>
              <w:keepLines w:val="0"/>
              <w:pageBreakBefore w:val="0"/>
              <w:widowControl w:val="0"/>
              <w:kinsoku/>
              <w:wordWrap/>
              <w:overflowPunct/>
              <w:topLinePunct w:val="0"/>
              <w:autoSpaceDE/>
              <w:autoSpaceDN/>
              <w:bidi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式中：L</w:t>
            </w:r>
            <w:r>
              <w:rPr>
                <w:rFonts w:hint="default" w:ascii="Times New Roman" w:hAnsi="Times New Roman" w:cs="Times New Roman"/>
                <w:color w:val="auto"/>
                <w:sz w:val="24"/>
                <w:vertAlign w:val="subscript"/>
              </w:rPr>
              <w:t>B</w:t>
            </w:r>
            <w:r>
              <w:rPr>
                <w:rFonts w:hint="default" w:ascii="Times New Roman" w:hAnsi="Times New Roman" w:cs="Times New Roman"/>
                <w:color w:val="auto"/>
                <w:sz w:val="24"/>
              </w:rPr>
              <w:t>——固定顶罐的呼吸排放量，kg/a；</w:t>
            </w:r>
          </w:p>
          <w:p w14:paraId="68114660">
            <w:pPr>
              <w:keepNext w:val="0"/>
              <w:keepLines w:val="0"/>
              <w:pageBreakBefore w:val="0"/>
              <w:widowControl w:val="0"/>
              <w:kinsoku/>
              <w:wordWrap/>
              <w:overflowPunct/>
              <w:topLinePunct w:val="0"/>
              <w:autoSpaceDE/>
              <w:autoSpaceDN/>
              <w:bidi w:val="0"/>
              <w:snapToGrid w:val="0"/>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M——储罐内蒸汽分子量；</w:t>
            </w:r>
          </w:p>
          <w:p w14:paraId="181165C6">
            <w:pPr>
              <w:keepNext w:val="0"/>
              <w:keepLines w:val="0"/>
              <w:pageBreakBefore w:val="0"/>
              <w:widowControl w:val="0"/>
              <w:kinsoku/>
              <w:wordWrap/>
              <w:overflowPunct/>
              <w:topLinePunct w:val="0"/>
              <w:autoSpaceDE/>
              <w:autoSpaceDN/>
              <w:bidi w:val="0"/>
              <w:snapToGrid w:val="0"/>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P——大量液体状态下，真实的蒸汽压力，Pa；</w:t>
            </w:r>
          </w:p>
          <w:p w14:paraId="5E4E2FFC">
            <w:pPr>
              <w:keepNext w:val="0"/>
              <w:keepLines w:val="0"/>
              <w:pageBreakBefore w:val="0"/>
              <w:widowControl w:val="0"/>
              <w:kinsoku/>
              <w:wordWrap/>
              <w:overflowPunct/>
              <w:topLinePunct w:val="0"/>
              <w:autoSpaceDE/>
              <w:autoSpaceDN/>
              <w:bidi w:val="0"/>
              <w:snapToGrid w:val="0"/>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D——罐的直径，m；</w:t>
            </w:r>
          </w:p>
          <w:p w14:paraId="33590A9D">
            <w:pPr>
              <w:keepNext w:val="0"/>
              <w:keepLines w:val="0"/>
              <w:pageBreakBefore w:val="0"/>
              <w:widowControl w:val="0"/>
              <w:kinsoku/>
              <w:wordWrap/>
              <w:overflowPunct/>
              <w:topLinePunct w:val="0"/>
              <w:autoSpaceDE/>
              <w:autoSpaceDN/>
              <w:bidi w:val="0"/>
              <w:snapToGrid w:val="0"/>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H——平均蒸汽空间高度，m；</w:t>
            </w:r>
          </w:p>
          <w:p w14:paraId="381DCE93">
            <w:pPr>
              <w:keepNext w:val="0"/>
              <w:keepLines w:val="0"/>
              <w:pageBreakBefore w:val="0"/>
              <w:widowControl w:val="0"/>
              <w:kinsoku/>
              <w:wordWrap/>
              <w:overflowPunct/>
              <w:topLinePunct w:val="0"/>
              <w:autoSpaceDE/>
              <w:autoSpaceDN/>
              <w:bidi w:val="0"/>
              <w:snapToGrid w:val="0"/>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△T——1天之内的平均温度差，℃；</w:t>
            </w:r>
          </w:p>
          <w:p w14:paraId="1555852B">
            <w:pPr>
              <w:keepNext w:val="0"/>
              <w:keepLines w:val="0"/>
              <w:pageBreakBefore w:val="0"/>
              <w:widowControl w:val="0"/>
              <w:kinsoku/>
              <w:wordWrap/>
              <w:overflowPunct/>
              <w:topLinePunct w:val="0"/>
              <w:autoSpaceDE/>
              <w:autoSpaceDN/>
              <w:bidi w:val="0"/>
              <w:snapToGrid w:val="0"/>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F</w:t>
            </w:r>
            <w:r>
              <w:rPr>
                <w:rFonts w:hint="default" w:ascii="Times New Roman" w:hAnsi="Times New Roman" w:cs="Times New Roman"/>
                <w:color w:val="auto"/>
                <w:sz w:val="24"/>
                <w:vertAlign w:val="subscript"/>
              </w:rPr>
              <w:t>P</w:t>
            </w:r>
            <w:r>
              <w:rPr>
                <w:rFonts w:hint="default" w:ascii="Times New Roman" w:hAnsi="Times New Roman" w:cs="Times New Roman"/>
                <w:color w:val="auto"/>
                <w:sz w:val="24"/>
              </w:rPr>
              <w:t>——涂层因子，无量纲，根据油漆状况取值在1~1.5之间；</w:t>
            </w:r>
          </w:p>
          <w:p w14:paraId="121AEDA1">
            <w:pPr>
              <w:keepNext w:val="0"/>
              <w:keepLines w:val="0"/>
              <w:pageBreakBefore w:val="0"/>
              <w:widowControl w:val="0"/>
              <w:kinsoku/>
              <w:wordWrap/>
              <w:overflowPunct/>
              <w:topLinePunct w:val="0"/>
              <w:autoSpaceDE/>
              <w:autoSpaceDN/>
              <w:bidi w:val="0"/>
              <w:snapToGrid w:val="0"/>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C——用于小直径罐的调节因子，无量纲；直径在0~9m之间的罐体，C=1-0.0123(D-9)</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；罐径大于9m的C=1；</w:t>
            </w:r>
          </w:p>
          <w:p w14:paraId="28BE4FE1">
            <w:pPr>
              <w:keepNext w:val="0"/>
              <w:keepLines w:val="0"/>
              <w:pageBreakBefore w:val="0"/>
              <w:widowControl w:val="0"/>
              <w:kinsoku/>
              <w:wordWrap/>
              <w:overflowPunct/>
              <w:topLinePunct w:val="0"/>
              <w:autoSpaceDE/>
              <w:autoSpaceDN/>
              <w:bidi w:val="0"/>
              <w:snapToGrid w:val="0"/>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K</w:t>
            </w:r>
            <w:r>
              <w:rPr>
                <w:rFonts w:hint="default" w:ascii="Times New Roman" w:hAnsi="Times New Roman" w:cs="Times New Roman"/>
                <w:color w:val="auto"/>
                <w:sz w:val="24"/>
                <w:vertAlign w:val="subscript"/>
              </w:rPr>
              <w:t>C</w:t>
            </w:r>
            <w:r>
              <w:rPr>
                <w:rFonts w:hint="default" w:ascii="Times New Roman" w:hAnsi="Times New Roman" w:cs="Times New Roman"/>
                <w:color w:val="auto"/>
                <w:sz w:val="24"/>
              </w:rPr>
              <w:t>——产品因子（石油原油取0.65，其他液体取1.0）。</w:t>
            </w:r>
          </w:p>
          <w:p w14:paraId="57231EE8">
            <w:pPr>
              <w:keepNext w:val="0"/>
              <w:keepLines w:val="0"/>
              <w:pageBreakBefore w:val="0"/>
              <w:widowControl w:val="0"/>
              <w:kinsoku/>
              <w:wordWrap/>
              <w:overflowPunct/>
              <w:topLinePunct w:val="0"/>
              <w:autoSpaceDE/>
              <w:autoSpaceDN/>
              <w:bidi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项目配套的储罐数量、类型及尺寸见表4.2-4。</w:t>
            </w:r>
          </w:p>
          <w:p w14:paraId="060830FF">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表4.2-4  储罐相关参数一览表</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6"/>
              <w:gridCol w:w="845"/>
              <w:gridCol w:w="1391"/>
              <w:gridCol w:w="1083"/>
              <w:gridCol w:w="1009"/>
              <w:gridCol w:w="1313"/>
              <w:gridCol w:w="1485"/>
            </w:tblGrid>
            <w:tr w14:paraId="59334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54" w:type="pct"/>
                  <w:tcMar>
                    <w:top w:w="0" w:type="dxa"/>
                    <w:left w:w="28" w:type="dxa"/>
                    <w:bottom w:w="0" w:type="dxa"/>
                    <w:right w:w="28" w:type="dxa"/>
                  </w:tcMar>
                  <w:vAlign w:val="center"/>
                </w:tcPr>
                <w:p w14:paraId="444BC2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kern w:val="0"/>
                      <w:sz w:val="21"/>
                      <w:szCs w:val="21"/>
                    </w:rPr>
                  </w:pPr>
                  <w:r>
                    <w:rPr>
                      <w:rFonts w:hint="default" w:ascii="Times New Roman" w:hAnsi="Times New Roman" w:cs="Times New Roman"/>
                      <w:b w:val="0"/>
                      <w:bCs w:val="0"/>
                      <w:color w:val="auto"/>
                      <w:kern w:val="0"/>
                      <w:sz w:val="21"/>
                      <w:szCs w:val="21"/>
                    </w:rPr>
                    <w:t>储罐名称</w:t>
                  </w:r>
                </w:p>
              </w:tc>
              <w:tc>
                <w:tcPr>
                  <w:tcW w:w="503" w:type="pct"/>
                  <w:tcMar>
                    <w:top w:w="0" w:type="dxa"/>
                    <w:left w:w="28" w:type="dxa"/>
                    <w:bottom w:w="0" w:type="dxa"/>
                    <w:right w:w="28" w:type="dxa"/>
                  </w:tcMar>
                  <w:vAlign w:val="center"/>
                </w:tcPr>
                <w:p w14:paraId="682A1A9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kern w:val="0"/>
                      <w:sz w:val="21"/>
                      <w:szCs w:val="21"/>
                    </w:rPr>
                  </w:pPr>
                  <w:r>
                    <w:rPr>
                      <w:rFonts w:hint="default" w:ascii="Times New Roman" w:hAnsi="Times New Roman" w:cs="Times New Roman"/>
                      <w:b w:val="0"/>
                      <w:bCs w:val="0"/>
                      <w:color w:val="auto"/>
                      <w:kern w:val="0"/>
                      <w:sz w:val="21"/>
                      <w:szCs w:val="21"/>
                    </w:rPr>
                    <w:t>直径</w:t>
                  </w:r>
                </w:p>
              </w:tc>
              <w:tc>
                <w:tcPr>
                  <w:tcW w:w="828" w:type="pct"/>
                  <w:tcMar>
                    <w:top w:w="0" w:type="dxa"/>
                    <w:left w:w="28" w:type="dxa"/>
                    <w:bottom w:w="0" w:type="dxa"/>
                    <w:right w:w="28" w:type="dxa"/>
                  </w:tcMar>
                  <w:vAlign w:val="center"/>
                </w:tcPr>
                <w:p w14:paraId="352415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kern w:val="0"/>
                      <w:sz w:val="21"/>
                      <w:szCs w:val="21"/>
                    </w:rPr>
                  </w:pPr>
                  <w:r>
                    <w:rPr>
                      <w:rFonts w:hint="default" w:ascii="Times New Roman" w:hAnsi="Times New Roman" w:cs="Times New Roman"/>
                      <w:b w:val="0"/>
                      <w:bCs w:val="0"/>
                      <w:color w:val="auto"/>
                      <w:kern w:val="0"/>
                      <w:sz w:val="21"/>
                      <w:szCs w:val="21"/>
                    </w:rPr>
                    <w:t>高度/长度</w:t>
                  </w:r>
                </w:p>
              </w:tc>
              <w:tc>
                <w:tcPr>
                  <w:tcW w:w="645" w:type="pct"/>
                  <w:tcMar>
                    <w:top w:w="0" w:type="dxa"/>
                    <w:left w:w="28" w:type="dxa"/>
                    <w:bottom w:w="0" w:type="dxa"/>
                    <w:right w:w="28" w:type="dxa"/>
                  </w:tcMar>
                  <w:vAlign w:val="center"/>
                </w:tcPr>
                <w:p w14:paraId="0DBCF6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kern w:val="0"/>
                      <w:sz w:val="21"/>
                      <w:szCs w:val="21"/>
                    </w:rPr>
                  </w:pPr>
                  <w:r>
                    <w:rPr>
                      <w:rFonts w:hint="default" w:ascii="Times New Roman" w:hAnsi="Times New Roman" w:cs="Times New Roman"/>
                      <w:b w:val="0"/>
                      <w:bCs w:val="0"/>
                      <w:color w:val="auto"/>
                      <w:kern w:val="0"/>
                      <w:sz w:val="21"/>
                      <w:szCs w:val="21"/>
                    </w:rPr>
                    <w:t>容积</w:t>
                  </w:r>
                </w:p>
              </w:tc>
              <w:tc>
                <w:tcPr>
                  <w:tcW w:w="601" w:type="pct"/>
                  <w:tcMar>
                    <w:top w:w="0" w:type="dxa"/>
                    <w:left w:w="28" w:type="dxa"/>
                    <w:bottom w:w="0" w:type="dxa"/>
                    <w:right w:w="28" w:type="dxa"/>
                  </w:tcMar>
                  <w:vAlign w:val="center"/>
                </w:tcPr>
                <w:p w14:paraId="58281BC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kern w:val="0"/>
                      <w:sz w:val="21"/>
                      <w:szCs w:val="21"/>
                    </w:rPr>
                  </w:pPr>
                  <w:r>
                    <w:rPr>
                      <w:rFonts w:hint="default" w:ascii="Times New Roman" w:hAnsi="Times New Roman" w:cs="Times New Roman"/>
                      <w:b w:val="0"/>
                      <w:bCs w:val="0"/>
                      <w:color w:val="auto"/>
                      <w:kern w:val="0"/>
                      <w:sz w:val="21"/>
                      <w:szCs w:val="21"/>
                    </w:rPr>
                    <w:t>类型</w:t>
                  </w:r>
                </w:p>
              </w:tc>
              <w:tc>
                <w:tcPr>
                  <w:tcW w:w="782" w:type="pct"/>
                  <w:tcMar>
                    <w:top w:w="0" w:type="dxa"/>
                    <w:left w:w="28" w:type="dxa"/>
                    <w:bottom w:w="0" w:type="dxa"/>
                    <w:right w:w="28" w:type="dxa"/>
                  </w:tcMar>
                  <w:vAlign w:val="center"/>
                </w:tcPr>
                <w:p w14:paraId="1BC265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kern w:val="0"/>
                      <w:sz w:val="21"/>
                      <w:szCs w:val="21"/>
                    </w:rPr>
                  </w:pPr>
                  <w:r>
                    <w:rPr>
                      <w:rFonts w:hint="default" w:ascii="Times New Roman" w:hAnsi="Times New Roman" w:cs="Times New Roman"/>
                      <w:b w:val="0"/>
                      <w:bCs w:val="0"/>
                      <w:color w:val="auto"/>
                      <w:kern w:val="0"/>
                      <w:sz w:val="21"/>
                      <w:szCs w:val="21"/>
                    </w:rPr>
                    <w:t>数量</w:t>
                  </w:r>
                </w:p>
              </w:tc>
              <w:tc>
                <w:tcPr>
                  <w:tcW w:w="884" w:type="pct"/>
                  <w:tcMar>
                    <w:top w:w="0" w:type="dxa"/>
                    <w:left w:w="28" w:type="dxa"/>
                    <w:bottom w:w="0" w:type="dxa"/>
                    <w:right w:w="28" w:type="dxa"/>
                  </w:tcMar>
                  <w:vAlign w:val="center"/>
                </w:tcPr>
                <w:p w14:paraId="048201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kern w:val="0"/>
                      <w:sz w:val="21"/>
                      <w:szCs w:val="21"/>
                    </w:rPr>
                  </w:pPr>
                  <w:r>
                    <w:rPr>
                      <w:rFonts w:hint="default" w:ascii="Times New Roman" w:hAnsi="Times New Roman" w:cs="Times New Roman"/>
                      <w:b w:val="0"/>
                      <w:bCs w:val="0"/>
                      <w:color w:val="auto"/>
                      <w:kern w:val="0"/>
                      <w:sz w:val="21"/>
                      <w:szCs w:val="21"/>
                    </w:rPr>
                    <w:t>年周转次数</w:t>
                  </w:r>
                </w:p>
              </w:tc>
            </w:tr>
            <w:tr w14:paraId="341BA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54" w:type="pct"/>
                  <w:tcMar>
                    <w:top w:w="0" w:type="dxa"/>
                    <w:left w:w="28" w:type="dxa"/>
                    <w:bottom w:w="0" w:type="dxa"/>
                    <w:right w:w="28" w:type="dxa"/>
                  </w:tcMar>
                  <w:vAlign w:val="center"/>
                </w:tcPr>
                <w:p w14:paraId="4A1A59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kern w:val="0"/>
                      <w:sz w:val="21"/>
                      <w:szCs w:val="21"/>
                    </w:rPr>
                  </w:pPr>
                  <w:r>
                    <w:rPr>
                      <w:rFonts w:hint="default" w:ascii="Times New Roman" w:hAnsi="Times New Roman" w:cs="Times New Roman"/>
                      <w:b w:val="0"/>
                      <w:bCs w:val="0"/>
                      <w:color w:val="auto"/>
                      <w:kern w:val="0"/>
                      <w:sz w:val="21"/>
                      <w:szCs w:val="21"/>
                    </w:rPr>
                    <w:t>盐酸</w:t>
                  </w:r>
                </w:p>
              </w:tc>
              <w:tc>
                <w:tcPr>
                  <w:tcW w:w="503" w:type="pct"/>
                  <w:tcMar>
                    <w:top w:w="0" w:type="dxa"/>
                    <w:left w:w="28" w:type="dxa"/>
                    <w:bottom w:w="0" w:type="dxa"/>
                    <w:right w:w="28" w:type="dxa"/>
                  </w:tcMar>
                  <w:vAlign w:val="center"/>
                </w:tcPr>
                <w:p w14:paraId="639DA3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kern w:val="0"/>
                      <w:sz w:val="21"/>
                      <w:szCs w:val="21"/>
                    </w:rPr>
                  </w:pPr>
                  <w:r>
                    <w:rPr>
                      <w:rFonts w:hint="default" w:ascii="Times New Roman" w:hAnsi="Times New Roman" w:cs="Times New Roman"/>
                      <w:b w:val="0"/>
                      <w:bCs w:val="0"/>
                      <w:color w:val="auto"/>
                      <w:kern w:val="0"/>
                      <w:sz w:val="21"/>
                      <w:szCs w:val="21"/>
                    </w:rPr>
                    <w:t>3.6</w:t>
                  </w:r>
                </w:p>
              </w:tc>
              <w:tc>
                <w:tcPr>
                  <w:tcW w:w="828" w:type="pct"/>
                  <w:tcMar>
                    <w:top w:w="0" w:type="dxa"/>
                    <w:left w:w="28" w:type="dxa"/>
                    <w:bottom w:w="0" w:type="dxa"/>
                    <w:right w:w="28" w:type="dxa"/>
                  </w:tcMar>
                  <w:vAlign w:val="center"/>
                </w:tcPr>
                <w:p w14:paraId="7BCE58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kern w:val="0"/>
                      <w:sz w:val="21"/>
                      <w:szCs w:val="21"/>
                    </w:rPr>
                  </w:pPr>
                  <w:r>
                    <w:rPr>
                      <w:rFonts w:hint="default" w:ascii="Times New Roman" w:hAnsi="Times New Roman" w:cs="Times New Roman"/>
                      <w:b w:val="0"/>
                      <w:bCs w:val="0"/>
                      <w:color w:val="auto"/>
                      <w:kern w:val="0"/>
                      <w:sz w:val="21"/>
                      <w:szCs w:val="21"/>
                    </w:rPr>
                    <w:t>5</w:t>
                  </w:r>
                </w:p>
              </w:tc>
              <w:tc>
                <w:tcPr>
                  <w:tcW w:w="645" w:type="pct"/>
                  <w:tcMar>
                    <w:top w:w="0" w:type="dxa"/>
                    <w:left w:w="28" w:type="dxa"/>
                    <w:bottom w:w="0" w:type="dxa"/>
                    <w:right w:w="28" w:type="dxa"/>
                  </w:tcMar>
                  <w:vAlign w:val="center"/>
                </w:tcPr>
                <w:p w14:paraId="615A76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kern w:val="0"/>
                      <w:sz w:val="21"/>
                      <w:szCs w:val="21"/>
                    </w:rPr>
                  </w:pPr>
                  <w:r>
                    <w:rPr>
                      <w:rFonts w:hint="default" w:ascii="Times New Roman" w:hAnsi="Times New Roman" w:cs="Times New Roman"/>
                      <w:b w:val="0"/>
                      <w:bCs w:val="0"/>
                      <w:color w:val="auto"/>
                      <w:kern w:val="0"/>
                      <w:sz w:val="21"/>
                      <w:szCs w:val="21"/>
                    </w:rPr>
                    <w:t>50m</w:t>
                  </w:r>
                  <w:r>
                    <w:rPr>
                      <w:rFonts w:hint="default" w:ascii="Times New Roman" w:hAnsi="Times New Roman" w:cs="Times New Roman"/>
                      <w:b w:val="0"/>
                      <w:bCs w:val="0"/>
                      <w:color w:val="auto"/>
                      <w:kern w:val="0"/>
                      <w:sz w:val="21"/>
                      <w:szCs w:val="21"/>
                      <w:vertAlign w:val="superscript"/>
                    </w:rPr>
                    <w:t>3</w:t>
                  </w:r>
                </w:p>
              </w:tc>
              <w:tc>
                <w:tcPr>
                  <w:tcW w:w="601" w:type="pct"/>
                  <w:tcMar>
                    <w:top w:w="0" w:type="dxa"/>
                    <w:left w:w="28" w:type="dxa"/>
                    <w:bottom w:w="0" w:type="dxa"/>
                    <w:right w:w="28" w:type="dxa"/>
                  </w:tcMar>
                  <w:vAlign w:val="center"/>
                </w:tcPr>
                <w:p w14:paraId="0321DEF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kern w:val="0"/>
                      <w:sz w:val="21"/>
                      <w:szCs w:val="21"/>
                    </w:rPr>
                  </w:pPr>
                  <w:r>
                    <w:rPr>
                      <w:rFonts w:hint="default" w:ascii="Times New Roman" w:hAnsi="Times New Roman" w:cs="Times New Roman"/>
                      <w:b w:val="0"/>
                      <w:bCs w:val="0"/>
                      <w:color w:val="auto"/>
                      <w:kern w:val="0"/>
                      <w:sz w:val="21"/>
                      <w:szCs w:val="21"/>
                    </w:rPr>
                    <w:t>卧式</w:t>
                  </w:r>
                </w:p>
              </w:tc>
              <w:tc>
                <w:tcPr>
                  <w:tcW w:w="782" w:type="pct"/>
                  <w:tcMar>
                    <w:top w:w="0" w:type="dxa"/>
                    <w:left w:w="28" w:type="dxa"/>
                    <w:bottom w:w="0" w:type="dxa"/>
                    <w:right w:w="28" w:type="dxa"/>
                  </w:tcMar>
                  <w:vAlign w:val="center"/>
                </w:tcPr>
                <w:p w14:paraId="6B9A51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kern w:val="0"/>
                      <w:sz w:val="21"/>
                      <w:szCs w:val="21"/>
                    </w:rPr>
                  </w:pPr>
                  <w:r>
                    <w:rPr>
                      <w:rFonts w:hint="default" w:ascii="Times New Roman" w:hAnsi="Times New Roman" w:cs="Times New Roman"/>
                      <w:b w:val="0"/>
                      <w:bCs w:val="0"/>
                      <w:color w:val="auto"/>
                      <w:kern w:val="0"/>
                      <w:sz w:val="21"/>
                      <w:szCs w:val="21"/>
                    </w:rPr>
                    <w:t>1个</w:t>
                  </w:r>
                </w:p>
              </w:tc>
              <w:tc>
                <w:tcPr>
                  <w:tcW w:w="884" w:type="pct"/>
                  <w:tcMar>
                    <w:top w:w="0" w:type="dxa"/>
                    <w:left w:w="28" w:type="dxa"/>
                    <w:bottom w:w="0" w:type="dxa"/>
                    <w:right w:w="28" w:type="dxa"/>
                  </w:tcMar>
                  <w:vAlign w:val="center"/>
                </w:tcPr>
                <w:p w14:paraId="282CDF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lang w:val="en-US" w:eastAsia="zh-CN"/>
                    </w:rPr>
                  </w:pPr>
                  <w:r>
                    <w:rPr>
                      <w:rFonts w:hint="default" w:ascii="Times New Roman" w:hAnsi="Times New Roman" w:cs="Times New Roman"/>
                      <w:b w:val="0"/>
                      <w:bCs w:val="0"/>
                      <w:color w:val="auto"/>
                      <w:kern w:val="0"/>
                      <w:sz w:val="21"/>
                      <w:szCs w:val="21"/>
                      <w:lang w:val="en-US" w:eastAsia="zh-CN"/>
                    </w:rPr>
                    <w:t>57</w:t>
                  </w:r>
                </w:p>
              </w:tc>
            </w:tr>
          </w:tbl>
          <w:p w14:paraId="518D713E">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表4.2-5  各参数取值一览表</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783"/>
              <w:gridCol w:w="783"/>
              <w:gridCol w:w="783"/>
              <w:gridCol w:w="783"/>
              <w:gridCol w:w="783"/>
              <w:gridCol w:w="783"/>
              <w:gridCol w:w="783"/>
              <w:gridCol w:w="783"/>
              <w:gridCol w:w="792"/>
            </w:tblGrid>
            <w:tr w14:paraId="74F9F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95" w:type="pct"/>
                  <w:tcBorders>
                    <w:tl2br w:val="nil"/>
                    <w:tr2bl w:val="nil"/>
                  </w:tcBorders>
                  <w:tcMar>
                    <w:top w:w="0" w:type="dxa"/>
                    <w:left w:w="28" w:type="dxa"/>
                    <w:bottom w:w="0" w:type="dxa"/>
                    <w:right w:w="28" w:type="dxa"/>
                  </w:tcMar>
                  <w:vAlign w:val="center"/>
                </w:tcPr>
                <w:p w14:paraId="734F1F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类别</w:t>
                  </w:r>
                </w:p>
              </w:tc>
              <w:tc>
                <w:tcPr>
                  <w:tcW w:w="466" w:type="pct"/>
                  <w:tcBorders>
                    <w:tl2br w:val="nil"/>
                    <w:tr2bl w:val="nil"/>
                  </w:tcBorders>
                  <w:tcMar>
                    <w:top w:w="0" w:type="dxa"/>
                    <w:left w:w="28" w:type="dxa"/>
                    <w:bottom w:w="0" w:type="dxa"/>
                    <w:right w:w="28" w:type="dxa"/>
                  </w:tcMar>
                  <w:vAlign w:val="center"/>
                </w:tcPr>
                <w:p w14:paraId="2FEBA98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M</w:t>
                  </w:r>
                </w:p>
              </w:tc>
              <w:tc>
                <w:tcPr>
                  <w:tcW w:w="466" w:type="pct"/>
                  <w:tcBorders>
                    <w:tl2br w:val="nil"/>
                    <w:tr2bl w:val="nil"/>
                  </w:tcBorders>
                  <w:tcMar>
                    <w:top w:w="0" w:type="dxa"/>
                    <w:left w:w="28" w:type="dxa"/>
                    <w:bottom w:w="0" w:type="dxa"/>
                    <w:right w:w="28" w:type="dxa"/>
                  </w:tcMar>
                  <w:vAlign w:val="center"/>
                </w:tcPr>
                <w:p w14:paraId="610621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P</w:t>
                  </w:r>
                </w:p>
              </w:tc>
              <w:tc>
                <w:tcPr>
                  <w:tcW w:w="466" w:type="pct"/>
                  <w:tcBorders>
                    <w:tl2br w:val="nil"/>
                    <w:tr2bl w:val="nil"/>
                  </w:tcBorders>
                  <w:tcMar>
                    <w:top w:w="0" w:type="dxa"/>
                    <w:left w:w="28" w:type="dxa"/>
                    <w:bottom w:w="0" w:type="dxa"/>
                    <w:right w:w="28" w:type="dxa"/>
                  </w:tcMar>
                  <w:vAlign w:val="center"/>
                </w:tcPr>
                <w:p w14:paraId="7FF951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D</w:t>
                  </w:r>
                </w:p>
              </w:tc>
              <w:tc>
                <w:tcPr>
                  <w:tcW w:w="466" w:type="pct"/>
                  <w:tcBorders>
                    <w:tl2br w:val="nil"/>
                    <w:tr2bl w:val="nil"/>
                  </w:tcBorders>
                  <w:tcMar>
                    <w:top w:w="0" w:type="dxa"/>
                    <w:left w:w="28" w:type="dxa"/>
                    <w:bottom w:w="0" w:type="dxa"/>
                    <w:right w:w="28" w:type="dxa"/>
                  </w:tcMar>
                  <w:vAlign w:val="center"/>
                </w:tcPr>
                <w:p w14:paraId="76E509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H</w:t>
                  </w:r>
                </w:p>
              </w:tc>
              <w:tc>
                <w:tcPr>
                  <w:tcW w:w="466" w:type="pct"/>
                  <w:tcBorders>
                    <w:tl2br w:val="nil"/>
                    <w:tr2bl w:val="nil"/>
                  </w:tcBorders>
                  <w:tcMar>
                    <w:top w:w="0" w:type="dxa"/>
                    <w:left w:w="28" w:type="dxa"/>
                    <w:bottom w:w="0" w:type="dxa"/>
                    <w:right w:w="28" w:type="dxa"/>
                  </w:tcMar>
                  <w:vAlign w:val="center"/>
                </w:tcPr>
                <w:p w14:paraId="764D6E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△T</w:t>
                  </w:r>
                </w:p>
              </w:tc>
              <w:tc>
                <w:tcPr>
                  <w:tcW w:w="466" w:type="pct"/>
                  <w:tcBorders>
                    <w:tl2br w:val="nil"/>
                    <w:tr2bl w:val="nil"/>
                  </w:tcBorders>
                  <w:tcMar>
                    <w:top w:w="0" w:type="dxa"/>
                    <w:left w:w="28" w:type="dxa"/>
                    <w:bottom w:w="0" w:type="dxa"/>
                    <w:right w:w="28" w:type="dxa"/>
                  </w:tcMar>
                  <w:vAlign w:val="center"/>
                </w:tcPr>
                <w:p w14:paraId="4DB195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F</w:t>
                  </w:r>
                  <w:r>
                    <w:rPr>
                      <w:rFonts w:hint="default" w:ascii="Times New Roman" w:hAnsi="Times New Roman" w:eastAsia="宋体" w:cs="Times New Roman"/>
                      <w:b w:val="0"/>
                      <w:bCs w:val="0"/>
                      <w:color w:val="auto"/>
                      <w:kern w:val="0"/>
                      <w:sz w:val="21"/>
                      <w:szCs w:val="21"/>
                      <w:vertAlign w:val="subscript"/>
                    </w:rPr>
                    <w:t>P</w:t>
                  </w:r>
                </w:p>
              </w:tc>
              <w:tc>
                <w:tcPr>
                  <w:tcW w:w="466" w:type="pct"/>
                  <w:tcBorders>
                    <w:tl2br w:val="nil"/>
                    <w:tr2bl w:val="nil"/>
                  </w:tcBorders>
                  <w:tcMar>
                    <w:top w:w="0" w:type="dxa"/>
                    <w:left w:w="28" w:type="dxa"/>
                    <w:bottom w:w="0" w:type="dxa"/>
                    <w:right w:w="28" w:type="dxa"/>
                  </w:tcMar>
                  <w:vAlign w:val="center"/>
                </w:tcPr>
                <w:p w14:paraId="6D2537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C</w:t>
                  </w:r>
                </w:p>
              </w:tc>
              <w:tc>
                <w:tcPr>
                  <w:tcW w:w="466" w:type="pct"/>
                  <w:tcBorders>
                    <w:tl2br w:val="nil"/>
                    <w:tr2bl w:val="nil"/>
                  </w:tcBorders>
                  <w:tcMar>
                    <w:top w:w="0" w:type="dxa"/>
                    <w:left w:w="28" w:type="dxa"/>
                    <w:bottom w:w="0" w:type="dxa"/>
                    <w:right w:w="28" w:type="dxa"/>
                  </w:tcMar>
                  <w:vAlign w:val="center"/>
                </w:tcPr>
                <w:p w14:paraId="0F331A9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K</w:t>
                  </w:r>
                  <w:r>
                    <w:rPr>
                      <w:rFonts w:hint="default" w:ascii="Times New Roman" w:hAnsi="Times New Roman" w:eastAsia="宋体" w:cs="Times New Roman"/>
                      <w:b w:val="0"/>
                      <w:bCs w:val="0"/>
                      <w:color w:val="auto"/>
                      <w:kern w:val="0"/>
                      <w:sz w:val="21"/>
                      <w:szCs w:val="21"/>
                      <w:vertAlign w:val="subscript"/>
                    </w:rPr>
                    <w:t>N</w:t>
                  </w:r>
                </w:p>
              </w:tc>
              <w:tc>
                <w:tcPr>
                  <w:tcW w:w="471" w:type="pct"/>
                  <w:tcBorders>
                    <w:tl2br w:val="nil"/>
                    <w:tr2bl w:val="nil"/>
                  </w:tcBorders>
                  <w:tcMar>
                    <w:top w:w="0" w:type="dxa"/>
                    <w:left w:w="28" w:type="dxa"/>
                    <w:bottom w:w="0" w:type="dxa"/>
                    <w:right w:w="28" w:type="dxa"/>
                  </w:tcMar>
                  <w:vAlign w:val="center"/>
                </w:tcPr>
                <w:p w14:paraId="0D83D2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K</w:t>
                  </w:r>
                  <w:r>
                    <w:rPr>
                      <w:rFonts w:hint="default" w:ascii="Times New Roman" w:hAnsi="Times New Roman" w:eastAsia="宋体" w:cs="Times New Roman"/>
                      <w:b w:val="0"/>
                      <w:bCs w:val="0"/>
                      <w:color w:val="auto"/>
                      <w:kern w:val="0"/>
                      <w:sz w:val="21"/>
                      <w:szCs w:val="21"/>
                      <w:vertAlign w:val="subscript"/>
                    </w:rPr>
                    <w:t>C</w:t>
                  </w:r>
                </w:p>
              </w:tc>
            </w:tr>
            <w:tr w14:paraId="76085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5" w:type="pct"/>
                  <w:tcBorders>
                    <w:tl2br w:val="nil"/>
                    <w:tr2bl w:val="nil"/>
                  </w:tcBorders>
                  <w:tcMar>
                    <w:top w:w="0" w:type="dxa"/>
                    <w:left w:w="28" w:type="dxa"/>
                    <w:bottom w:w="0" w:type="dxa"/>
                    <w:right w:w="28" w:type="dxa"/>
                  </w:tcMar>
                  <w:vAlign w:val="center"/>
                </w:tcPr>
                <w:p w14:paraId="0AD160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3</w:t>
                  </w:r>
                  <w:r>
                    <w:rPr>
                      <w:rFonts w:hint="default" w:ascii="Times New Roman" w:hAnsi="Times New Roman" w:eastAsia="宋体" w:cs="Times New Roman"/>
                      <w:b w:val="0"/>
                      <w:bCs w:val="0"/>
                      <w:color w:val="auto"/>
                      <w:kern w:val="0"/>
                      <w:sz w:val="21"/>
                      <w:szCs w:val="21"/>
                      <w:lang w:val="en-US" w:eastAsia="zh-CN"/>
                    </w:rPr>
                    <w:t>2</w:t>
                  </w:r>
                  <w:r>
                    <w:rPr>
                      <w:rFonts w:hint="default" w:ascii="Times New Roman" w:hAnsi="Times New Roman" w:eastAsia="宋体" w:cs="Times New Roman"/>
                      <w:b w:val="0"/>
                      <w:bCs w:val="0"/>
                      <w:color w:val="auto"/>
                      <w:kern w:val="0"/>
                      <w:sz w:val="21"/>
                      <w:szCs w:val="21"/>
                    </w:rPr>
                    <w:t>%盐酸</w:t>
                  </w:r>
                </w:p>
              </w:tc>
              <w:tc>
                <w:tcPr>
                  <w:tcW w:w="466" w:type="pct"/>
                  <w:tcBorders>
                    <w:tl2br w:val="nil"/>
                    <w:tr2bl w:val="nil"/>
                  </w:tcBorders>
                  <w:tcMar>
                    <w:top w:w="0" w:type="dxa"/>
                    <w:left w:w="28" w:type="dxa"/>
                    <w:bottom w:w="0" w:type="dxa"/>
                    <w:right w:w="28" w:type="dxa"/>
                  </w:tcMar>
                  <w:vAlign w:val="center"/>
                </w:tcPr>
                <w:p w14:paraId="5043AA8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36.5</w:t>
                  </w:r>
                </w:p>
              </w:tc>
              <w:tc>
                <w:tcPr>
                  <w:tcW w:w="466" w:type="pct"/>
                  <w:tcBorders>
                    <w:tl2br w:val="nil"/>
                    <w:tr2bl w:val="nil"/>
                  </w:tcBorders>
                  <w:tcMar>
                    <w:top w:w="0" w:type="dxa"/>
                    <w:left w:w="28" w:type="dxa"/>
                    <w:bottom w:w="0" w:type="dxa"/>
                    <w:right w:w="28" w:type="dxa"/>
                  </w:tcMar>
                  <w:vAlign w:val="center"/>
                </w:tcPr>
                <w:p w14:paraId="1E4910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672</w:t>
                  </w:r>
                </w:p>
              </w:tc>
              <w:tc>
                <w:tcPr>
                  <w:tcW w:w="466" w:type="pct"/>
                  <w:tcBorders>
                    <w:tl2br w:val="nil"/>
                    <w:tr2bl w:val="nil"/>
                  </w:tcBorders>
                  <w:tcMar>
                    <w:top w:w="0" w:type="dxa"/>
                    <w:left w:w="28" w:type="dxa"/>
                    <w:bottom w:w="0" w:type="dxa"/>
                    <w:right w:w="28" w:type="dxa"/>
                  </w:tcMar>
                  <w:vAlign w:val="center"/>
                </w:tcPr>
                <w:p w14:paraId="7B3FDF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3.6</w:t>
                  </w:r>
                </w:p>
              </w:tc>
              <w:tc>
                <w:tcPr>
                  <w:tcW w:w="466" w:type="pct"/>
                  <w:tcBorders>
                    <w:tl2br w:val="nil"/>
                    <w:tr2bl w:val="nil"/>
                  </w:tcBorders>
                  <w:tcMar>
                    <w:top w:w="0" w:type="dxa"/>
                    <w:left w:w="28" w:type="dxa"/>
                    <w:bottom w:w="0" w:type="dxa"/>
                    <w:right w:w="28" w:type="dxa"/>
                  </w:tcMar>
                  <w:vAlign w:val="center"/>
                </w:tcPr>
                <w:p w14:paraId="1E37AE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5</w:t>
                  </w:r>
                </w:p>
              </w:tc>
              <w:tc>
                <w:tcPr>
                  <w:tcW w:w="466" w:type="pct"/>
                  <w:tcBorders>
                    <w:tl2br w:val="nil"/>
                    <w:tr2bl w:val="nil"/>
                  </w:tcBorders>
                  <w:tcMar>
                    <w:top w:w="0" w:type="dxa"/>
                    <w:left w:w="28" w:type="dxa"/>
                    <w:bottom w:w="0" w:type="dxa"/>
                    <w:right w:w="28" w:type="dxa"/>
                  </w:tcMar>
                  <w:vAlign w:val="center"/>
                </w:tcPr>
                <w:p w14:paraId="3898A8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10</w:t>
                  </w:r>
                </w:p>
              </w:tc>
              <w:tc>
                <w:tcPr>
                  <w:tcW w:w="466" w:type="pct"/>
                  <w:tcBorders>
                    <w:tl2br w:val="nil"/>
                    <w:tr2bl w:val="nil"/>
                  </w:tcBorders>
                  <w:tcMar>
                    <w:top w:w="0" w:type="dxa"/>
                    <w:left w:w="28" w:type="dxa"/>
                    <w:bottom w:w="0" w:type="dxa"/>
                    <w:right w:w="28" w:type="dxa"/>
                  </w:tcMar>
                  <w:vAlign w:val="center"/>
                </w:tcPr>
                <w:p w14:paraId="20D40F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1.2</w:t>
                  </w:r>
                </w:p>
              </w:tc>
              <w:tc>
                <w:tcPr>
                  <w:tcW w:w="466" w:type="pct"/>
                  <w:tcBorders>
                    <w:tl2br w:val="nil"/>
                    <w:tr2bl w:val="nil"/>
                  </w:tcBorders>
                  <w:tcMar>
                    <w:top w:w="0" w:type="dxa"/>
                    <w:left w:w="28" w:type="dxa"/>
                    <w:bottom w:w="0" w:type="dxa"/>
                    <w:right w:w="28" w:type="dxa"/>
                  </w:tcMar>
                  <w:vAlign w:val="center"/>
                </w:tcPr>
                <w:p w14:paraId="717FA0A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0.64</w:t>
                  </w:r>
                </w:p>
              </w:tc>
              <w:tc>
                <w:tcPr>
                  <w:tcW w:w="466" w:type="pct"/>
                  <w:tcBorders>
                    <w:tl2br w:val="nil"/>
                    <w:tr2bl w:val="nil"/>
                  </w:tcBorders>
                  <w:tcMar>
                    <w:top w:w="0" w:type="dxa"/>
                    <w:left w:w="28" w:type="dxa"/>
                    <w:bottom w:w="0" w:type="dxa"/>
                    <w:right w:w="28" w:type="dxa"/>
                  </w:tcMar>
                  <w:vAlign w:val="center"/>
                </w:tcPr>
                <w:p w14:paraId="2F8366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0.86</w:t>
                  </w:r>
                </w:p>
              </w:tc>
              <w:tc>
                <w:tcPr>
                  <w:tcW w:w="471" w:type="pct"/>
                  <w:tcBorders>
                    <w:tl2br w:val="nil"/>
                    <w:tr2bl w:val="nil"/>
                  </w:tcBorders>
                  <w:tcMar>
                    <w:top w:w="0" w:type="dxa"/>
                    <w:left w:w="28" w:type="dxa"/>
                    <w:bottom w:w="0" w:type="dxa"/>
                    <w:right w:w="28" w:type="dxa"/>
                  </w:tcMar>
                  <w:vAlign w:val="center"/>
                </w:tcPr>
                <w:p w14:paraId="05C0C94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1.0</w:t>
                  </w:r>
                </w:p>
              </w:tc>
            </w:tr>
          </w:tbl>
          <w:p w14:paraId="2127251F">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表4.2-6  盐酸储罐呼吸废气产生情况一览表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9"/>
              <w:gridCol w:w="2385"/>
              <w:gridCol w:w="2694"/>
              <w:gridCol w:w="2086"/>
            </w:tblGrid>
            <w:tr w14:paraId="6ED18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32" w:type="pct"/>
                  <w:tcMar>
                    <w:top w:w="0" w:type="dxa"/>
                    <w:left w:w="28" w:type="dxa"/>
                    <w:bottom w:w="0" w:type="dxa"/>
                    <w:right w:w="28" w:type="dxa"/>
                  </w:tcMar>
                  <w:vAlign w:val="center"/>
                </w:tcPr>
                <w:p w14:paraId="00D4B9C1">
                  <w:pPr>
                    <w:spacing w:line="240" w:lineRule="exact"/>
                    <w:jc w:val="center"/>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类别</w:t>
                  </w:r>
                </w:p>
              </w:tc>
              <w:tc>
                <w:tcPr>
                  <w:tcW w:w="1420" w:type="pct"/>
                  <w:tcMar>
                    <w:top w:w="0" w:type="dxa"/>
                    <w:left w:w="28" w:type="dxa"/>
                    <w:bottom w:w="0" w:type="dxa"/>
                    <w:right w:w="28" w:type="dxa"/>
                  </w:tcMar>
                  <w:vAlign w:val="center"/>
                </w:tcPr>
                <w:p w14:paraId="01877F55">
                  <w:pPr>
                    <w:spacing w:line="240" w:lineRule="exact"/>
                    <w:jc w:val="center"/>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大呼吸气（kg/a）</w:t>
                  </w:r>
                </w:p>
              </w:tc>
              <w:tc>
                <w:tcPr>
                  <w:tcW w:w="1604" w:type="pct"/>
                  <w:tcMar>
                    <w:top w:w="0" w:type="dxa"/>
                    <w:left w:w="28" w:type="dxa"/>
                    <w:bottom w:w="0" w:type="dxa"/>
                    <w:right w:w="28" w:type="dxa"/>
                  </w:tcMar>
                  <w:vAlign w:val="center"/>
                </w:tcPr>
                <w:p w14:paraId="25F3EE2C">
                  <w:pPr>
                    <w:spacing w:line="240" w:lineRule="exact"/>
                    <w:jc w:val="center"/>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小呼吸气（kg/a）</w:t>
                  </w:r>
                </w:p>
              </w:tc>
              <w:tc>
                <w:tcPr>
                  <w:tcW w:w="1242" w:type="pct"/>
                  <w:tcMar>
                    <w:top w:w="0" w:type="dxa"/>
                    <w:left w:w="28" w:type="dxa"/>
                    <w:bottom w:w="0" w:type="dxa"/>
                    <w:right w:w="28" w:type="dxa"/>
                  </w:tcMar>
                  <w:vAlign w:val="center"/>
                </w:tcPr>
                <w:p w14:paraId="2F05C348">
                  <w:pPr>
                    <w:spacing w:line="240" w:lineRule="exact"/>
                    <w:jc w:val="center"/>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合计（kg/a）</w:t>
                  </w:r>
                </w:p>
              </w:tc>
            </w:tr>
            <w:tr w14:paraId="688EB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32" w:type="pct"/>
                  <w:tcMar>
                    <w:top w:w="0" w:type="dxa"/>
                    <w:left w:w="28" w:type="dxa"/>
                    <w:bottom w:w="0" w:type="dxa"/>
                    <w:right w:w="28" w:type="dxa"/>
                  </w:tcMar>
                  <w:vAlign w:val="center"/>
                </w:tcPr>
                <w:p w14:paraId="3587826C">
                  <w:pPr>
                    <w:spacing w:line="240" w:lineRule="exact"/>
                    <w:jc w:val="center"/>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HCl</w:t>
                  </w:r>
                </w:p>
              </w:tc>
              <w:tc>
                <w:tcPr>
                  <w:tcW w:w="1420" w:type="pct"/>
                  <w:tcMar>
                    <w:top w:w="0" w:type="dxa"/>
                    <w:left w:w="28" w:type="dxa"/>
                    <w:bottom w:w="0" w:type="dxa"/>
                    <w:right w:w="28" w:type="dxa"/>
                  </w:tcMar>
                  <w:vAlign w:val="center"/>
                </w:tcPr>
                <w:p w14:paraId="6F10646B">
                  <w:pPr>
                    <w:spacing w:line="240" w:lineRule="exact"/>
                    <w:jc w:val="center"/>
                    <w:rPr>
                      <w:rFonts w:hint="default" w:ascii="Times New Roman" w:hAnsi="Times New Roman" w:eastAsia="宋体" w:cs="Times New Roman"/>
                      <w:b w:val="0"/>
                      <w:bCs w:val="0"/>
                      <w:color w:val="auto"/>
                      <w:kern w:val="0"/>
                      <w:sz w:val="21"/>
                      <w:szCs w:val="21"/>
                      <w:lang w:val="en-US" w:eastAsia="zh-CN"/>
                    </w:rPr>
                  </w:pPr>
                  <w:r>
                    <w:rPr>
                      <w:rFonts w:hint="default" w:ascii="Times New Roman" w:hAnsi="Times New Roman" w:eastAsia="宋体" w:cs="Times New Roman"/>
                      <w:b w:val="0"/>
                      <w:bCs w:val="0"/>
                      <w:color w:val="auto"/>
                      <w:kern w:val="0"/>
                      <w:sz w:val="21"/>
                      <w:szCs w:val="21"/>
                      <w:lang w:val="en-US" w:eastAsia="zh-CN"/>
                    </w:rPr>
                    <w:t>37.53</w:t>
                  </w:r>
                </w:p>
              </w:tc>
              <w:tc>
                <w:tcPr>
                  <w:tcW w:w="1604" w:type="pct"/>
                  <w:tcMar>
                    <w:top w:w="0" w:type="dxa"/>
                    <w:left w:w="28" w:type="dxa"/>
                    <w:bottom w:w="0" w:type="dxa"/>
                    <w:right w:w="28" w:type="dxa"/>
                  </w:tcMar>
                  <w:vAlign w:val="center"/>
                </w:tcPr>
                <w:p w14:paraId="5D45196E">
                  <w:pPr>
                    <w:spacing w:line="240" w:lineRule="exact"/>
                    <w:jc w:val="center"/>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17.41</w:t>
                  </w:r>
                </w:p>
              </w:tc>
              <w:tc>
                <w:tcPr>
                  <w:tcW w:w="1242" w:type="pct"/>
                  <w:tcMar>
                    <w:top w:w="0" w:type="dxa"/>
                    <w:left w:w="28" w:type="dxa"/>
                    <w:bottom w:w="0" w:type="dxa"/>
                    <w:right w:w="28" w:type="dxa"/>
                  </w:tcMar>
                  <w:vAlign w:val="center"/>
                </w:tcPr>
                <w:p w14:paraId="38848498">
                  <w:pPr>
                    <w:spacing w:line="240" w:lineRule="exact"/>
                    <w:jc w:val="center"/>
                    <w:rPr>
                      <w:rFonts w:hint="default" w:ascii="Times New Roman" w:hAnsi="Times New Roman" w:eastAsia="宋体" w:cs="Times New Roman"/>
                      <w:b w:val="0"/>
                      <w:bCs w:val="0"/>
                      <w:color w:val="auto"/>
                      <w:kern w:val="0"/>
                      <w:sz w:val="21"/>
                      <w:szCs w:val="21"/>
                      <w:lang w:val="en-US" w:eastAsia="zh-CN"/>
                    </w:rPr>
                  </w:pPr>
                  <w:r>
                    <w:rPr>
                      <w:rFonts w:hint="default" w:ascii="Times New Roman" w:hAnsi="Times New Roman" w:eastAsia="宋体" w:cs="Times New Roman"/>
                      <w:b w:val="0"/>
                      <w:bCs w:val="0"/>
                      <w:color w:val="auto"/>
                      <w:kern w:val="0"/>
                      <w:sz w:val="21"/>
                      <w:szCs w:val="21"/>
                      <w:lang w:val="en-US" w:eastAsia="zh-CN"/>
                    </w:rPr>
                    <w:t>54.94</w:t>
                  </w:r>
                </w:p>
              </w:tc>
            </w:tr>
          </w:tbl>
          <w:p w14:paraId="02C1DE07">
            <w:pPr>
              <w:pStyle w:val="10"/>
              <w:keepNext w:val="0"/>
              <w:keepLines w:val="0"/>
              <w:pageBreakBefore w:val="0"/>
              <w:widowControl w:val="0"/>
              <w:kinsoku/>
              <w:wordWrap/>
              <w:overflowPunct/>
              <w:topLinePunct w:val="0"/>
              <w:autoSpaceDE/>
              <w:autoSpaceDN/>
              <w:bidi w:val="0"/>
              <w:adjustRightInd w:val="0"/>
              <w:snapToGrid w:val="0"/>
              <w:spacing w:before="190" w:beforeLines="50" w:line="360" w:lineRule="auto"/>
              <w:ind w:firstLine="480" w:firstLineChars="200"/>
              <w:jc w:val="both"/>
              <w:textAlignment w:val="auto"/>
              <w:rPr>
                <w:rFonts w:hint="default" w:ascii="Times New Roman" w:hAnsi="Times New Roman" w:cs="Times New Roman" w:eastAsiaTheme="minorEastAsia"/>
                <w:color w:val="auto"/>
                <w:sz w:val="24"/>
              </w:rPr>
            </w:pPr>
            <w:r>
              <w:rPr>
                <w:rFonts w:hint="default" w:ascii="Times New Roman" w:hAnsi="Times New Roman" w:cs="Times New Roman"/>
                <w:color w:val="auto"/>
                <w:sz w:val="24"/>
              </w:rPr>
              <w:t>Ⅲ</w:t>
            </w:r>
            <w:r>
              <w:rPr>
                <w:rFonts w:hint="default" w:ascii="Times New Roman" w:hAnsi="Times New Roman" w:cs="Times New Roman" w:eastAsiaTheme="minorEastAsia"/>
                <w:color w:val="auto"/>
                <w:sz w:val="24"/>
              </w:rPr>
              <w:t>、低位回用酸罐（池）废气</w:t>
            </w:r>
          </w:p>
          <w:p w14:paraId="2B260B0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项目</w:t>
            </w:r>
            <w:r>
              <w:rPr>
                <w:rFonts w:hint="default" w:ascii="Times New Roman" w:hAnsi="Times New Roman" w:cs="Times New Roman"/>
                <w:color w:val="auto"/>
                <w:sz w:val="24"/>
              </w:rPr>
              <w:t>表面处理生产线</w:t>
            </w:r>
            <w:r>
              <w:rPr>
                <w:rFonts w:hint="default" w:ascii="Times New Roman" w:hAnsi="Times New Roman" w:cs="Times New Roman" w:eastAsiaTheme="minorEastAsia"/>
                <w:color w:val="auto"/>
                <w:sz w:val="24"/>
              </w:rPr>
              <w:t>为分段式酸洗，当后段酸洗槽酸液满足前段工艺要求时，导入前段酸洗槽；不满足前段工艺要求且又不足以报废时排入低位回用酸罐（池），搭配新酸再利用。本次评价按照</w:t>
            </w:r>
            <w:r>
              <w:rPr>
                <w:rFonts w:hint="default" w:ascii="Times New Roman" w:hAnsi="Times New Roman" w:cs="Times New Roman" w:eastAsiaTheme="minorEastAsia"/>
                <w:color w:val="auto"/>
                <w:sz w:val="24"/>
                <w:lang w:val="en-US" w:eastAsia="zh-CN"/>
              </w:rPr>
              <w:t>盐</w:t>
            </w:r>
            <w:r>
              <w:rPr>
                <w:rFonts w:hint="default" w:ascii="Times New Roman" w:hAnsi="Times New Roman" w:cs="Times New Roman" w:eastAsiaTheme="minorEastAsia"/>
                <w:color w:val="auto"/>
                <w:sz w:val="24"/>
              </w:rPr>
              <w:t>酸液浓度12%考虑，回用酸量按照</w:t>
            </w:r>
            <w:r>
              <w:rPr>
                <w:rFonts w:hint="default" w:ascii="Times New Roman" w:hAnsi="Times New Roman" w:cs="Times New Roman"/>
                <w:color w:val="auto"/>
                <w:sz w:val="24"/>
              </w:rPr>
              <w:t>2250</w:t>
            </w:r>
            <w:r>
              <w:rPr>
                <w:rFonts w:hint="default" w:ascii="Times New Roman" w:hAnsi="Times New Roman" w:cs="Times New Roman" w:eastAsiaTheme="minorEastAsia"/>
                <w:color w:val="auto"/>
                <w:sz w:val="24"/>
              </w:rPr>
              <w:t>t考虑，产生的盐酸雾速率参照固定顶罐大呼吸估算公式（式1）计算，低位回用酸罐（池）容积50m</w:t>
            </w:r>
            <w:r>
              <w:rPr>
                <w:rFonts w:hint="default" w:ascii="Times New Roman" w:hAnsi="Times New Roman" w:cs="Times New Roman" w:eastAsiaTheme="minorEastAsia"/>
                <w:color w:val="auto"/>
                <w:sz w:val="24"/>
                <w:vertAlign w:val="superscript"/>
              </w:rPr>
              <w:t>3</w:t>
            </w:r>
            <w:r>
              <w:rPr>
                <w:rFonts w:hint="default" w:ascii="Times New Roman" w:hAnsi="Times New Roman" w:cs="Times New Roman" w:eastAsiaTheme="minorEastAsia"/>
                <w:color w:val="auto"/>
                <w:sz w:val="24"/>
              </w:rPr>
              <w:t>。经计算，低位回用酸罐（池）废气中盐酸雾的产生量为0.17kg/a。</w:t>
            </w:r>
          </w:p>
          <w:p w14:paraId="314A93AB">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eastAsiaTheme="minorEastAsia"/>
                <w:color w:val="auto"/>
                <w:sz w:val="24"/>
              </w:rPr>
            </w:pPr>
            <w:r>
              <w:rPr>
                <w:rFonts w:hint="default" w:ascii="Times New Roman" w:hAnsi="Times New Roman" w:cs="Times New Roman"/>
                <w:color w:val="auto"/>
                <w:sz w:val="24"/>
              </w:rPr>
              <w:t>Ⅳ、</w:t>
            </w:r>
            <w:r>
              <w:rPr>
                <w:rFonts w:hint="default" w:ascii="Times New Roman" w:hAnsi="Times New Roman" w:cs="Times New Roman" w:eastAsiaTheme="minorEastAsia"/>
                <w:color w:val="auto"/>
                <w:sz w:val="24"/>
              </w:rPr>
              <w:t>低位废酸罐（池）废气</w:t>
            </w:r>
          </w:p>
          <w:p w14:paraId="4E624964">
            <w:pPr>
              <w:pStyle w:val="1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当酸洗槽内酸液浓度下降至6</w:t>
            </w:r>
            <w:r>
              <w:rPr>
                <w:rStyle w:val="94"/>
                <w:rFonts w:hint="default" w:ascii="Times New Roman" w:hAnsi="Times New Roman" w:cs="Times New Roman" w:eastAsiaTheme="minorEastAsia"/>
                <w:color w:val="auto"/>
              </w:rPr>
              <w:t>%~8%</w:t>
            </w:r>
            <w:r>
              <w:rPr>
                <w:rFonts w:hint="default" w:ascii="Times New Roman" w:hAnsi="Times New Roman" w:cs="Times New Roman" w:eastAsiaTheme="minorEastAsia"/>
                <w:color w:val="auto"/>
                <w:sz w:val="24"/>
              </w:rPr>
              <w:t>或</w:t>
            </w:r>
            <w:r>
              <w:rPr>
                <w:rStyle w:val="94"/>
                <w:rFonts w:hint="default" w:ascii="Times New Roman" w:hAnsi="Times New Roman" w:cs="Times New Roman" w:eastAsiaTheme="minorEastAsia"/>
                <w:color w:val="auto"/>
              </w:rPr>
              <w:t>Fe</w:t>
            </w:r>
            <w:r>
              <w:rPr>
                <w:rStyle w:val="94"/>
                <w:rFonts w:hint="default" w:ascii="Times New Roman" w:hAnsi="Times New Roman" w:cs="Times New Roman" w:eastAsiaTheme="minorEastAsia"/>
                <w:color w:val="auto"/>
                <w:vertAlign w:val="superscript"/>
              </w:rPr>
              <w:t>2+</w:t>
            </w:r>
            <w:r>
              <w:rPr>
                <w:rFonts w:hint="default" w:ascii="Times New Roman" w:hAnsi="Times New Roman" w:cs="Times New Roman" w:eastAsiaTheme="minorEastAsia"/>
                <w:color w:val="auto"/>
                <w:sz w:val="24"/>
              </w:rPr>
              <w:t>浓度上升至</w:t>
            </w:r>
            <w:r>
              <w:rPr>
                <w:rStyle w:val="94"/>
                <w:rFonts w:hint="default" w:ascii="Times New Roman" w:hAnsi="Times New Roman" w:cs="Times New Roman" w:eastAsiaTheme="minorEastAsia"/>
                <w:color w:val="auto"/>
              </w:rPr>
              <w:t>220g/L</w:t>
            </w:r>
            <w:r>
              <w:rPr>
                <w:rFonts w:hint="default" w:ascii="Times New Roman" w:hAnsi="Times New Roman" w:cs="Times New Roman" w:eastAsiaTheme="minorEastAsia"/>
                <w:color w:val="auto"/>
                <w:sz w:val="24"/>
              </w:rPr>
              <w:t>，酸洗槽内酸液报废，排入低位废酸罐（池）。本次评价按照废酸液浓度为8%考虑，废酸产生量按照3375t考虑，产生的盐酸雾速率参照固定顶罐大呼吸估算公式（式1）计算，低位回用酸罐（池）容积50m</w:t>
            </w:r>
            <w:r>
              <w:rPr>
                <w:rFonts w:hint="default" w:ascii="Times New Roman" w:hAnsi="Times New Roman" w:cs="Times New Roman" w:eastAsiaTheme="minorEastAsia"/>
                <w:color w:val="auto"/>
                <w:sz w:val="24"/>
                <w:vertAlign w:val="superscript"/>
              </w:rPr>
              <w:t>3</w:t>
            </w:r>
            <w:r>
              <w:rPr>
                <w:rFonts w:hint="default" w:ascii="Times New Roman" w:hAnsi="Times New Roman" w:cs="Times New Roman" w:eastAsiaTheme="minorEastAsia"/>
                <w:color w:val="auto"/>
                <w:sz w:val="24"/>
              </w:rPr>
              <w:t>，经计算，低位废酸罐（池）废气中盐酸雾的产生量为0.022kg/a。</w:t>
            </w:r>
          </w:p>
          <w:p w14:paraId="35F3298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rPr>
            </w:pPr>
            <w:r>
              <w:rPr>
                <w:rFonts w:hint="default" w:ascii="Times New Roman" w:hAnsi="Times New Roman" w:cs="Times New Roman"/>
                <w:color w:val="auto"/>
                <w:sz w:val="24"/>
              </w:rPr>
              <w:t>V、</w:t>
            </w:r>
            <w:r>
              <w:rPr>
                <w:rFonts w:hint="default" w:ascii="Times New Roman" w:hAnsi="Times New Roman" w:cs="Times New Roman"/>
                <w:color w:val="auto"/>
                <w:kern w:val="0"/>
                <w:sz w:val="24"/>
                <w:lang w:bidi="ar"/>
              </w:rPr>
              <w:t>表面处理废气汇总</w:t>
            </w:r>
          </w:p>
          <w:p w14:paraId="6063071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eastAsiaTheme="minorEastAsia"/>
                <w:color w:val="auto"/>
              </w:rPr>
            </w:pPr>
            <w:r>
              <w:rPr>
                <w:rFonts w:hint="default" w:ascii="Times New Roman" w:hAnsi="Times New Roman" w:cs="Times New Roman" w:eastAsiaTheme="minorEastAsia"/>
                <w:snapToGrid w:val="0"/>
                <w:color w:val="auto"/>
                <w:kern w:val="0"/>
                <w:sz w:val="24"/>
              </w:rPr>
              <w:t>综上，项目</w:t>
            </w:r>
            <w:r>
              <w:rPr>
                <w:rFonts w:hint="default" w:ascii="Times New Roman" w:hAnsi="Times New Roman" w:cs="Times New Roman"/>
                <w:color w:val="auto"/>
                <w:kern w:val="0"/>
                <w:sz w:val="24"/>
                <w:lang w:bidi="ar"/>
              </w:rPr>
              <w:t>表面处理</w:t>
            </w:r>
            <w:r>
              <w:rPr>
                <w:rFonts w:hint="default" w:ascii="Times New Roman" w:hAnsi="Times New Roman" w:cs="Times New Roman" w:eastAsiaTheme="minorEastAsia"/>
                <w:snapToGrid w:val="0"/>
                <w:color w:val="auto"/>
                <w:kern w:val="0"/>
                <w:sz w:val="24"/>
              </w:rPr>
              <w:t>生产废气中盐酸雾的总产生量为93.75t/a，</w:t>
            </w:r>
            <w:r>
              <w:rPr>
                <w:rFonts w:hint="default" w:ascii="Times New Roman" w:hAnsi="Times New Roman" w:cs="Times New Roman" w:eastAsiaTheme="minorEastAsia"/>
                <w:snapToGrid w:val="0"/>
                <w:color w:val="auto"/>
                <w:kern w:val="0"/>
                <w:sz w:val="24"/>
                <w:lang w:val="en-US" w:eastAsia="zh-CN"/>
              </w:rPr>
              <w:t>NOx</w:t>
            </w:r>
            <w:r>
              <w:rPr>
                <w:rFonts w:hint="default" w:ascii="Times New Roman" w:hAnsi="Times New Roman" w:cs="Times New Roman" w:eastAsiaTheme="minorEastAsia"/>
                <w:snapToGrid w:val="0"/>
                <w:color w:val="auto"/>
                <w:kern w:val="0"/>
                <w:sz w:val="24"/>
              </w:rPr>
              <w:t>总产生量为</w:t>
            </w:r>
            <w:r>
              <w:rPr>
                <w:rFonts w:hint="default" w:ascii="Times New Roman" w:hAnsi="Times New Roman" w:cs="Times New Roman" w:eastAsiaTheme="minorEastAsia"/>
                <w:snapToGrid w:val="0"/>
                <w:color w:val="auto"/>
                <w:kern w:val="0"/>
                <w:sz w:val="24"/>
                <w:lang w:val="en-US" w:eastAsia="zh-CN"/>
              </w:rPr>
              <w:t>1.944</w:t>
            </w:r>
            <w:r>
              <w:rPr>
                <w:rFonts w:hint="default" w:ascii="Times New Roman" w:hAnsi="Times New Roman" w:cs="Times New Roman" w:eastAsiaTheme="minorEastAsia"/>
                <w:snapToGrid w:val="0"/>
                <w:color w:val="auto"/>
                <w:kern w:val="0"/>
                <w:sz w:val="24"/>
              </w:rPr>
              <w:t>t/a</w:t>
            </w:r>
            <w:r>
              <w:rPr>
                <w:rFonts w:hint="default" w:ascii="Times New Roman" w:hAnsi="Times New Roman" w:cs="Times New Roman" w:eastAsiaTheme="minorEastAsia"/>
                <w:snapToGrid w:val="0"/>
                <w:color w:val="auto"/>
                <w:kern w:val="0"/>
                <w:sz w:val="24"/>
                <w:lang w:eastAsia="zh-CN"/>
              </w:rPr>
              <w:t>，</w:t>
            </w:r>
            <w:r>
              <w:rPr>
                <w:rFonts w:hint="default" w:ascii="Times New Roman" w:hAnsi="Times New Roman" w:cs="Times New Roman" w:eastAsiaTheme="minorEastAsia"/>
                <w:snapToGrid w:val="0"/>
                <w:color w:val="auto"/>
                <w:kern w:val="0"/>
                <w:sz w:val="24"/>
              </w:rPr>
              <w:t>废气集气装置对酸雾捕集率按98%计算，项目年工作时间为7200h，</w:t>
            </w:r>
            <w:r>
              <w:rPr>
                <w:rFonts w:hint="default" w:ascii="Times New Roman" w:hAnsi="Times New Roman" w:cs="Times New Roman"/>
                <w:color w:val="auto"/>
                <w:sz w:val="24"/>
              </w:rPr>
              <w:t>设计风量为30000m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/h。</w:t>
            </w:r>
            <w:r>
              <w:rPr>
                <w:rFonts w:hint="default" w:ascii="Times New Roman" w:hAnsi="Times New Roman" w:cs="Times New Roman"/>
                <w:color w:val="auto"/>
                <w:kern w:val="0"/>
                <w:sz w:val="24"/>
                <w:lang w:bidi="ar"/>
              </w:rPr>
              <w:t>表面处理</w:t>
            </w:r>
            <w:r>
              <w:rPr>
                <w:rFonts w:hint="default" w:ascii="Times New Roman" w:hAnsi="Times New Roman" w:cs="Times New Roman"/>
                <w:color w:val="auto"/>
                <w:spacing w:val="-2"/>
                <w:sz w:val="24"/>
              </w:rPr>
              <w:t>生产线产生的</w:t>
            </w:r>
            <w:r>
              <w:rPr>
                <w:rFonts w:hint="default" w:ascii="Times New Roman" w:hAnsi="Times New Roman" w:cs="Times New Roman"/>
                <w:color w:val="auto"/>
                <w:spacing w:val="-2"/>
                <w:sz w:val="24"/>
                <w:lang w:val="en-US" w:eastAsia="zh-CN"/>
              </w:rPr>
              <w:t>酸雾</w:t>
            </w:r>
            <w:r>
              <w:rPr>
                <w:rFonts w:hint="default" w:ascii="Times New Roman" w:hAnsi="Times New Roman" w:cs="Times New Roman"/>
                <w:color w:val="auto"/>
                <w:spacing w:val="-2"/>
                <w:sz w:val="24"/>
              </w:rPr>
              <w:t>采用碱洗喷淋塔处理，</w:t>
            </w:r>
            <w:r>
              <w:rPr>
                <w:rFonts w:hint="default" w:ascii="Times New Roman" w:hAnsi="Times New Roman" w:cs="Times New Roman"/>
                <w:color w:val="auto"/>
                <w:spacing w:val="-1"/>
                <w:sz w:val="24"/>
              </w:rPr>
              <w:t>其处理效率参照《污染源源强</w:t>
            </w:r>
            <w:r>
              <w:rPr>
                <w:rFonts w:hint="default" w:ascii="Times New Roman" w:hAnsi="Times New Roman" w:cs="Times New Roman"/>
                <w:color w:val="auto"/>
                <w:spacing w:val="-2"/>
                <w:sz w:val="24"/>
              </w:rPr>
              <w:t>核算技术指南</w:t>
            </w:r>
            <w:r>
              <w:rPr>
                <w:rFonts w:hint="default" w:ascii="Times New Roman" w:hAnsi="Times New Roman" w:cs="Times New Roman"/>
                <w:color w:val="auto"/>
                <w:spacing w:val="50"/>
                <w:sz w:val="24"/>
              </w:rPr>
              <w:t xml:space="preserve"> </w:t>
            </w:r>
            <w:r>
              <w:rPr>
                <w:rFonts w:hint="default" w:ascii="Times New Roman" w:hAnsi="Times New Roman" w:cs="Times New Roman"/>
                <w:color w:val="auto"/>
                <w:spacing w:val="-2"/>
                <w:sz w:val="24"/>
              </w:rPr>
              <w:t>电镀》附录</w:t>
            </w:r>
            <w:r>
              <w:rPr>
                <w:rFonts w:hint="default" w:ascii="Times New Roman" w:hAnsi="Times New Roman" w:cs="Times New Roman"/>
                <w:color w:val="auto"/>
                <w:spacing w:val="-56"/>
                <w:sz w:val="24"/>
              </w:rPr>
              <w:t xml:space="preserve"> </w:t>
            </w:r>
            <w:r>
              <w:rPr>
                <w:rFonts w:hint="default" w:ascii="Times New Roman" w:hAnsi="Times New Roman" w:eastAsia="Times New Roman" w:cs="Times New Roman"/>
                <w:color w:val="auto"/>
                <w:spacing w:val="-2"/>
                <w:sz w:val="24"/>
              </w:rPr>
              <w:t>F</w:t>
            </w:r>
            <w:r>
              <w:rPr>
                <w:rFonts w:hint="default" w:ascii="Times New Roman" w:hAnsi="Times New Roman" w:cs="Times New Roman"/>
                <w:color w:val="auto"/>
                <w:spacing w:val="-2"/>
                <w:sz w:val="24"/>
              </w:rPr>
              <w:t>可知，</w:t>
            </w:r>
            <w:r>
              <w:rPr>
                <w:rFonts w:hint="default" w:ascii="Times New Roman" w:hAnsi="Times New Roman" w:cs="Times New Roman"/>
                <w:color w:val="auto"/>
                <w:spacing w:val="-1"/>
                <w:sz w:val="24"/>
              </w:rPr>
              <w:t>废气去除效率为氯化氢</w:t>
            </w:r>
            <w:r>
              <w:rPr>
                <w:rFonts w:hint="default" w:ascii="Times New Roman" w:hAnsi="Times New Roman" w:eastAsia="Times New Roman" w:cs="Times New Roman"/>
                <w:color w:val="auto"/>
                <w:spacing w:val="-1"/>
                <w:sz w:val="24"/>
              </w:rPr>
              <w:t>≥95%</w:t>
            </w:r>
            <w:r>
              <w:rPr>
                <w:rFonts w:hint="default" w:ascii="Times New Roman" w:hAnsi="Times New Roman" w:cs="Times New Roman"/>
                <w:color w:val="auto"/>
                <w:spacing w:val="-1"/>
                <w:sz w:val="24"/>
                <w:lang w:eastAsia="zh-CN"/>
              </w:rPr>
              <w:t>，</w:t>
            </w:r>
            <w:r>
              <w:rPr>
                <w:rFonts w:hint="default" w:ascii="Times New Roman" w:hAnsi="Times New Roman" w:cs="Times New Roman"/>
                <w:color w:val="auto"/>
                <w:spacing w:val="-2"/>
                <w:sz w:val="24"/>
              </w:rPr>
              <w:t>因此本环评喷淋塔对氯化氢的去除效</w:t>
            </w:r>
            <w:r>
              <w:rPr>
                <w:rFonts w:hint="default" w:ascii="Times New Roman" w:hAnsi="Times New Roman" w:cs="Times New Roman"/>
                <w:color w:val="auto"/>
                <w:spacing w:val="-3"/>
                <w:sz w:val="24"/>
              </w:rPr>
              <w:t>率取</w:t>
            </w:r>
            <w:r>
              <w:rPr>
                <w:rFonts w:hint="default" w:ascii="Times New Roman" w:hAnsi="Times New Roman" w:cs="Times New Roman"/>
                <w:color w:val="auto"/>
                <w:spacing w:val="-34"/>
                <w:sz w:val="24"/>
              </w:rPr>
              <w:t xml:space="preserve"> </w:t>
            </w:r>
            <w:r>
              <w:rPr>
                <w:rFonts w:hint="default" w:ascii="Times New Roman" w:hAnsi="Times New Roman" w:eastAsia="Times New Roman" w:cs="Times New Roman"/>
                <w:color w:val="auto"/>
                <w:spacing w:val="-3"/>
                <w:sz w:val="24"/>
              </w:rPr>
              <w:t>95%</w:t>
            </w:r>
            <w:r>
              <w:rPr>
                <w:rFonts w:hint="default" w:ascii="Times New Roman" w:hAnsi="Times New Roman" w:cs="Times New Roman"/>
                <w:color w:val="auto"/>
                <w:spacing w:val="-3"/>
                <w:sz w:val="24"/>
              </w:rPr>
              <w:t>，</w:t>
            </w:r>
            <w:r>
              <w:rPr>
                <w:rFonts w:hint="default" w:ascii="Times New Roman" w:hAnsi="Times New Roman" w:cs="Times New Roman" w:eastAsiaTheme="minorEastAsia"/>
                <w:snapToGrid w:val="0"/>
                <w:color w:val="auto"/>
                <w:kern w:val="0"/>
                <w:sz w:val="24"/>
              </w:rPr>
              <w:t>经计算，氯化氢的排放浓度、排放速率、排放量分别为21.3mg/m</w:t>
            </w:r>
            <w:r>
              <w:rPr>
                <w:rFonts w:hint="default" w:ascii="Times New Roman" w:hAnsi="Times New Roman" w:cs="Times New Roman" w:eastAsiaTheme="minorEastAsia"/>
                <w:snapToGrid w:val="0"/>
                <w:color w:val="auto"/>
                <w:kern w:val="0"/>
                <w:sz w:val="24"/>
                <w:vertAlign w:val="superscript"/>
              </w:rPr>
              <w:t>3</w:t>
            </w:r>
            <w:r>
              <w:rPr>
                <w:rFonts w:hint="default" w:ascii="Times New Roman" w:hAnsi="Times New Roman" w:cs="Times New Roman" w:eastAsiaTheme="minorEastAsia"/>
                <w:snapToGrid w:val="0"/>
                <w:color w:val="auto"/>
                <w:kern w:val="0"/>
                <w:sz w:val="24"/>
              </w:rPr>
              <w:t>、0.638kg/h、4.594t/a</w:t>
            </w:r>
            <w:r>
              <w:rPr>
                <w:rFonts w:hint="default" w:ascii="Times New Roman" w:hAnsi="Times New Roman" w:cs="Times New Roman" w:eastAsiaTheme="minorEastAsia"/>
                <w:snapToGrid w:val="0"/>
                <w:color w:val="auto"/>
                <w:kern w:val="0"/>
                <w:sz w:val="24"/>
                <w:lang w:eastAsia="zh-CN"/>
              </w:rPr>
              <w:t>，</w:t>
            </w:r>
            <w:r>
              <w:rPr>
                <w:rFonts w:hint="default" w:ascii="Times New Roman" w:hAnsi="Times New Roman" w:cs="Times New Roman"/>
                <w:color w:val="auto"/>
                <w:spacing w:val="18"/>
                <w:sz w:val="24"/>
              </w:rPr>
              <w:t>排放</w:t>
            </w:r>
            <w:r>
              <w:rPr>
                <w:rFonts w:hint="default" w:ascii="Times New Roman" w:hAnsi="Times New Roman" w:cs="Times New Roman"/>
                <w:color w:val="auto"/>
                <w:spacing w:val="18"/>
                <w:sz w:val="24"/>
                <w:lang w:val="en-US" w:eastAsia="zh-CN"/>
              </w:rPr>
              <w:t>均</w:t>
            </w:r>
            <w:r>
              <w:rPr>
                <w:rFonts w:hint="default" w:ascii="Times New Roman" w:hAnsi="Times New Roman" w:cs="Times New Roman"/>
                <w:color w:val="auto"/>
                <w:spacing w:val="18"/>
                <w:sz w:val="24"/>
              </w:rPr>
              <w:t>能满足参照标准</w:t>
            </w:r>
            <w:r>
              <w:rPr>
                <w:rFonts w:hint="default" w:ascii="Times New Roman" w:hAnsi="Times New Roman" w:cs="Times New Roman"/>
                <w:color w:val="auto"/>
                <w:sz w:val="24"/>
              </w:rPr>
              <w:t>《电镀污染物排放标准》（GB 21900-2008）表5（</w:t>
            </w:r>
            <w:r>
              <w:rPr>
                <w:rFonts w:hint="default" w:ascii="Times New Roman" w:hAnsi="Times New Roman" w:cs="Times New Roman"/>
                <w:color w:val="auto"/>
                <w:spacing w:val="18"/>
                <w:sz w:val="24"/>
              </w:rPr>
              <w:t>氯化氢</w:t>
            </w:r>
            <w:r>
              <w:rPr>
                <w:rFonts w:hint="default" w:ascii="Times New Roman" w:hAnsi="Times New Roman" w:cs="Times New Roman"/>
                <w:color w:val="auto"/>
                <w:sz w:val="24"/>
              </w:rPr>
              <w:t>≤</w:t>
            </w:r>
            <w:r>
              <w:rPr>
                <w:rFonts w:hint="default" w:ascii="Times New Roman" w:hAnsi="Times New Roman" w:cs="Times New Roman"/>
                <w:color w:val="auto"/>
                <w:spacing w:val="-2"/>
                <w:sz w:val="24"/>
              </w:rPr>
              <w:t>30</w:t>
            </w:r>
            <w:r>
              <w:rPr>
                <w:rFonts w:hint="default" w:ascii="Times New Roman" w:hAnsi="Times New Roman" w:cs="Times New Roman"/>
                <w:color w:val="auto"/>
                <w:sz w:val="24"/>
              </w:rPr>
              <w:t>mg/m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r>
              <w:rPr>
                <w:rFonts w:hint="default" w:ascii="Times New Roman" w:hAnsi="Times New Roman" w:cs="Times New Roman"/>
                <w:color w:val="auto"/>
                <w:spacing w:val="-1"/>
                <w:sz w:val="24"/>
              </w:rPr>
              <w:t>限值要求。</w:t>
            </w:r>
          </w:p>
          <w:p w14:paraId="02498F2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rPr>
            </w:pPr>
            <w:r>
              <w:rPr>
                <w:rFonts w:hint="default" w:ascii="Times New Roman" w:hAnsi="Times New Roman" w:cs="Times New Roman"/>
                <w:color w:val="auto"/>
                <w:sz w:val="24"/>
              </w:rPr>
              <w:t xml:space="preserve">③天然气燃烧废气 </w:t>
            </w:r>
          </w:p>
          <w:p w14:paraId="1FB1159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rPr>
            </w:pPr>
            <w:r>
              <w:rPr>
                <w:rFonts w:hint="default" w:ascii="Times New Roman" w:hAnsi="Times New Roman" w:cs="Times New Roman"/>
                <w:color w:val="auto"/>
                <w:sz w:val="24"/>
              </w:rPr>
              <w:t>本项目表面处理生产线（含烘干）需要加热，使用天然气蒸汽发生器为供热源。天然气为清洁能源，根据企业提供资料，天然气总用量为90万m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/a，根据《第二次全国污染源普查C33-C37行业系数手册》中12热处理工段中废气量、二氧化硫、氮氧化物、产生系数，颗粒物产生系数参照</w:t>
            </w:r>
            <w:r>
              <w:rPr>
                <w:rFonts w:hint="default" w:ascii="Times New Roman" w:hAnsi="Times New Roman" w:cs="Times New Roman"/>
                <w:bCs/>
                <w:color w:val="auto"/>
                <w:kern w:val="21"/>
                <w:sz w:val="24"/>
              </w:rPr>
              <w:t>《排污许可证申请与核发技术规范 工业炉窑》（HJ1121—2020），</w:t>
            </w:r>
            <w:r>
              <w:rPr>
                <w:rFonts w:hint="default" w:ascii="Times New Roman" w:hAnsi="Times New Roman" w:cs="Times New Roman"/>
                <w:color w:val="auto"/>
                <w:sz w:val="24"/>
              </w:rPr>
              <w:t>颗粒物绩效值</w:t>
            </w:r>
            <w:r>
              <w:rPr>
                <w:rFonts w:hint="default" w:ascii="Times New Roman" w:hAnsi="Times New Roman" w:cs="Times New Roman"/>
                <w:bCs/>
                <w:color w:val="auto"/>
                <w:kern w:val="21"/>
                <w:sz w:val="24"/>
              </w:rPr>
              <w:t>0.172g/m</w:t>
            </w:r>
            <w:r>
              <w:rPr>
                <w:rFonts w:hint="default" w:ascii="Times New Roman" w:hAnsi="Times New Roman" w:cs="Times New Roman"/>
                <w:bCs/>
                <w:color w:val="auto"/>
                <w:kern w:val="21"/>
                <w:sz w:val="24"/>
                <w:vertAlign w:val="superscript"/>
              </w:rPr>
              <w:t>3</w:t>
            </w:r>
            <w:r>
              <w:rPr>
                <w:rFonts w:hint="default" w:ascii="Times New Roman" w:hAnsi="Times New Roman" w:cs="Times New Roman"/>
                <w:bCs/>
                <w:color w:val="auto"/>
                <w:kern w:val="21"/>
                <w:sz w:val="24"/>
              </w:rPr>
              <w:t xml:space="preserve"> 燃料。</w:t>
            </w:r>
            <w:r>
              <w:rPr>
                <w:rFonts w:hint="default" w:ascii="Times New Roman" w:hAnsi="Times New Roman" w:cs="Times New Roman"/>
                <w:color w:val="auto"/>
                <w:sz w:val="24"/>
              </w:rPr>
              <w:t>燃天然气废气排放情况见表4.2-6。</w:t>
            </w:r>
          </w:p>
          <w:p w14:paraId="68907E49">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 xml:space="preserve">表4.2-6 </w:t>
            </w:r>
            <w:r>
              <w:rPr>
                <w:rFonts w:hint="eastAsia" w:eastAsia="黑体" w:cs="Times New Roman"/>
                <w:b w:val="0"/>
                <w:bCs/>
                <w:color w:val="auto"/>
                <w:lang w:val="en-US" w:eastAsia="zh-CN"/>
              </w:rPr>
              <w:t xml:space="preserve"> </w:t>
            </w:r>
            <w:r>
              <w:rPr>
                <w:rFonts w:hint="default" w:ascii="Times New Roman" w:hAnsi="Times New Roman" w:eastAsia="黑体" w:cs="Times New Roman"/>
                <w:b w:val="0"/>
                <w:bCs/>
                <w:color w:val="auto"/>
              </w:rPr>
              <w:t>天然气废气产生情况一览表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1136"/>
              <w:gridCol w:w="975"/>
              <w:gridCol w:w="1610"/>
              <w:gridCol w:w="1673"/>
              <w:gridCol w:w="1468"/>
              <w:gridCol w:w="1474"/>
            </w:tblGrid>
            <w:tr w14:paraId="6B3C4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36" w:type="dxa"/>
                  <w:vAlign w:val="center"/>
                </w:tcPr>
                <w:p w14:paraId="61A21578">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项目</w:t>
                  </w:r>
                </w:p>
              </w:tc>
              <w:tc>
                <w:tcPr>
                  <w:tcW w:w="975" w:type="dxa"/>
                  <w:vAlign w:val="center"/>
                </w:tcPr>
                <w:p w14:paraId="294AA066">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原料（m</w:t>
                  </w:r>
                  <w:r>
                    <w:rPr>
                      <w:rFonts w:hint="default" w:ascii="Times New Roman" w:hAnsi="Times New Roman" w:cs="Times New Roman"/>
                      <w:color w:val="auto"/>
                      <w:kern w:val="0"/>
                      <w:sz w:val="21"/>
                      <w:szCs w:val="21"/>
                      <w:vertAlign w:val="superscript"/>
                      <w:lang w:bidi="ar"/>
                    </w:rPr>
                    <w:t>3</w:t>
                  </w:r>
                  <w:r>
                    <w:rPr>
                      <w:rFonts w:hint="default" w:ascii="Times New Roman" w:hAnsi="Times New Roman" w:cs="Times New Roman"/>
                      <w:color w:val="auto"/>
                      <w:kern w:val="0"/>
                      <w:sz w:val="21"/>
                      <w:szCs w:val="21"/>
                      <w:lang w:bidi="ar"/>
                    </w:rPr>
                    <w:t>）</w:t>
                  </w:r>
                </w:p>
              </w:tc>
              <w:tc>
                <w:tcPr>
                  <w:tcW w:w="1610" w:type="dxa"/>
                  <w:vAlign w:val="center"/>
                </w:tcPr>
                <w:p w14:paraId="1A3CD2B6">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废气量</w:t>
                  </w:r>
                </w:p>
              </w:tc>
              <w:tc>
                <w:tcPr>
                  <w:tcW w:w="1673" w:type="dxa"/>
                  <w:vAlign w:val="center"/>
                </w:tcPr>
                <w:p w14:paraId="18773B5E">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二氧化硫</w:t>
                  </w:r>
                </w:p>
              </w:tc>
              <w:tc>
                <w:tcPr>
                  <w:tcW w:w="1468" w:type="dxa"/>
                  <w:vAlign w:val="center"/>
                </w:tcPr>
                <w:p w14:paraId="47C50E0A">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氮氧化物</w:t>
                  </w:r>
                </w:p>
              </w:tc>
              <w:tc>
                <w:tcPr>
                  <w:tcW w:w="1474" w:type="dxa"/>
                  <w:vAlign w:val="center"/>
                </w:tcPr>
                <w:p w14:paraId="2ADB938B">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颗粒物</w:t>
                  </w:r>
                </w:p>
              </w:tc>
            </w:tr>
            <w:tr w14:paraId="21C08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36" w:type="dxa"/>
                  <w:vAlign w:val="center"/>
                </w:tcPr>
                <w:p w14:paraId="6ACBFC13">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产污系数</w:t>
                  </w:r>
                </w:p>
              </w:tc>
              <w:tc>
                <w:tcPr>
                  <w:tcW w:w="975" w:type="dxa"/>
                  <w:vAlign w:val="center"/>
                </w:tcPr>
                <w:p w14:paraId="5218A139">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90万</w:t>
                  </w:r>
                </w:p>
              </w:tc>
              <w:tc>
                <w:tcPr>
                  <w:tcW w:w="1610" w:type="dxa"/>
                  <w:vAlign w:val="center"/>
                </w:tcPr>
                <w:p w14:paraId="11E02CD8">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13.63m</w:t>
                  </w:r>
                  <w:r>
                    <w:rPr>
                      <w:rFonts w:hint="default" w:ascii="Times New Roman" w:hAnsi="Times New Roman" w:cs="Times New Roman"/>
                      <w:color w:val="auto"/>
                      <w:kern w:val="0"/>
                      <w:sz w:val="21"/>
                      <w:szCs w:val="21"/>
                      <w:vertAlign w:val="superscript"/>
                      <w:lang w:bidi="ar"/>
                    </w:rPr>
                    <w:t>3</w:t>
                  </w:r>
                  <w:r>
                    <w:rPr>
                      <w:rFonts w:hint="default" w:ascii="Times New Roman" w:hAnsi="Times New Roman" w:cs="Times New Roman"/>
                      <w:color w:val="auto"/>
                      <w:kern w:val="0"/>
                      <w:sz w:val="21"/>
                      <w:szCs w:val="21"/>
                      <w:lang w:bidi="ar"/>
                    </w:rPr>
                    <w:t>/m</w:t>
                  </w:r>
                  <w:r>
                    <w:rPr>
                      <w:rFonts w:hint="default" w:ascii="Times New Roman" w:hAnsi="Times New Roman" w:cs="Times New Roman"/>
                      <w:color w:val="auto"/>
                      <w:kern w:val="0"/>
                      <w:sz w:val="21"/>
                      <w:szCs w:val="21"/>
                      <w:vertAlign w:val="superscript"/>
                      <w:lang w:bidi="ar"/>
                    </w:rPr>
                    <w:t>3</w:t>
                  </w:r>
                  <w:r>
                    <w:rPr>
                      <w:rFonts w:hint="default" w:ascii="Times New Roman" w:hAnsi="Times New Roman" w:cs="Times New Roman"/>
                      <w:color w:val="auto"/>
                      <w:kern w:val="0"/>
                      <w:sz w:val="21"/>
                      <w:szCs w:val="21"/>
                      <w:lang w:bidi="ar"/>
                    </w:rPr>
                    <w:t>天然气</w:t>
                  </w:r>
                </w:p>
              </w:tc>
              <w:tc>
                <w:tcPr>
                  <w:tcW w:w="1673" w:type="dxa"/>
                  <w:vAlign w:val="center"/>
                </w:tcPr>
                <w:p w14:paraId="77290353">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0.000002Skg/m</w:t>
                  </w:r>
                  <w:r>
                    <w:rPr>
                      <w:rFonts w:hint="default" w:ascii="Times New Roman" w:hAnsi="Times New Roman" w:cs="Times New Roman"/>
                      <w:color w:val="auto"/>
                      <w:kern w:val="0"/>
                      <w:sz w:val="21"/>
                      <w:szCs w:val="21"/>
                      <w:vertAlign w:val="superscript"/>
                      <w:lang w:bidi="ar"/>
                    </w:rPr>
                    <w:t>3</w:t>
                  </w:r>
                  <w:r>
                    <w:rPr>
                      <w:rFonts w:hint="default" w:ascii="Times New Roman" w:hAnsi="Times New Roman" w:cs="Times New Roman"/>
                      <w:color w:val="auto"/>
                      <w:kern w:val="0"/>
                      <w:sz w:val="21"/>
                      <w:szCs w:val="21"/>
                      <w:lang w:bidi="ar"/>
                    </w:rPr>
                    <w:t>天然气</w:t>
                  </w:r>
                </w:p>
              </w:tc>
              <w:tc>
                <w:tcPr>
                  <w:tcW w:w="1468" w:type="dxa"/>
                  <w:vAlign w:val="center"/>
                </w:tcPr>
                <w:p w14:paraId="0D773FF4">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0.001871kg/m</w:t>
                  </w:r>
                  <w:r>
                    <w:rPr>
                      <w:rFonts w:hint="default" w:ascii="Times New Roman" w:hAnsi="Times New Roman" w:cs="Times New Roman"/>
                      <w:color w:val="auto"/>
                      <w:kern w:val="0"/>
                      <w:sz w:val="21"/>
                      <w:szCs w:val="21"/>
                      <w:vertAlign w:val="superscript"/>
                      <w:lang w:bidi="ar"/>
                    </w:rPr>
                    <w:t>3</w:t>
                  </w:r>
                  <w:r>
                    <w:rPr>
                      <w:rFonts w:hint="default" w:ascii="Times New Roman" w:hAnsi="Times New Roman" w:cs="Times New Roman"/>
                      <w:color w:val="auto"/>
                      <w:kern w:val="0"/>
                      <w:sz w:val="21"/>
                      <w:szCs w:val="21"/>
                      <w:lang w:bidi="ar"/>
                    </w:rPr>
                    <w:t>天然气</w:t>
                  </w:r>
                </w:p>
              </w:tc>
              <w:tc>
                <w:tcPr>
                  <w:tcW w:w="1474" w:type="dxa"/>
                  <w:vAlign w:val="center"/>
                </w:tcPr>
                <w:p w14:paraId="153F09F8">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bCs/>
                      <w:color w:val="auto"/>
                      <w:kern w:val="21"/>
                      <w:sz w:val="21"/>
                      <w:szCs w:val="21"/>
                    </w:rPr>
                    <w:t>0.172g/m</w:t>
                  </w:r>
                  <w:r>
                    <w:rPr>
                      <w:rFonts w:hint="default" w:ascii="Times New Roman" w:hAnsi="Times New Roman" w:cs="Times New Roman"/>
                      <w:bCs/>
                      <w:color w:val="auto"/>
                      <w:kern w:val="21"/>
                      <w:sz w:val="21"/>
                      <w:szCs w:val="21"/>
                      <w:vertAlign w:val="superscript"/>
                    </w:rPr>
                    <w:t>3</w:t>
                  </w:r>
                  <w:r>
                    <w:rPr>
                      <w:rFonts w:hint="default" w:ascii="Times New Roman" w:hAnsi="Times New Roman" w:cs="Times New Roman"/>
                      <w:color w:val="auto"/>
                      <w:kern w:val="0"/>
                      <w:sz w:val="21"/>
                      <w:szCs w:val="21"/>
                      <w:lang w:bidi="ar"/>
                    </w:rPr>
                    <w:t>天然气</w:t>
                  </w:r>
                </w:p>
              </w:tc>
            </w:tr>
            <w:tr w14:paraId="01554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36" w:type="dxa"/>
                  <w:vAlign w:val="center"/>
                </w:tcPr>
                <w:p w14:paraId="49AF35C9">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产生量</w:t>
                  </w:r>
                </w:p>
              </w:tc>
              <w:tc>
                <w:tcPr>
                  <w:tcW w:w="975" w:type="dxa"/>
                  <w:vAlign w:val="center"/>
                </w:tcPr>
                <w:p w14:paraId="153ACA50">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w:t>
                  </w:r>
                </w:p>
              </w:tc>
              <w:tc>
                <w:tcPr>
                  <w:tcW w:w="1610" w:type="dxa"/>
                </w:tcPr>
                <w:p w14:paraId="1CDE6D65">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12267000m</w:t>
                  </w:r>
                  <w:r>
                    <w:rPr>
                      <w:rFonts w:hint="default" w:ascii="Times New Roman" w:hAnsi="Times New Roman" w:cs="Times New Roman"/>
                      <w:color w:val="auto"/>
                      <w:kern w:val="0"/>
                      <w:sz w:val="21"/>
                      <w:szCs w:val="21"/>
                      <w:vertAlign w:val="superscript"/>
                      <w:lang w:bidi="ar"/>
                    </w:rPr>
                    <w:t>3</w:t>
                  </w:r>
                  <w:r>
                    <w:rPr>
                      <w:rFonts w:hint="default" w:ascii="Times New Roman" w:hAnsi="Times New Roman" w:cs="Times New Roman"/>
                      <w:color w:val="auto"/>
                      <w:kern w:val="0"/>
                      <w:sz w:val="21"/>
                      <w:szCs w:val="21"/>
                      <w:lang w:bidi="ar"/>
                    </w:rPr>
                    <w:t>/a</w:t>
                  </w:r>
                </w:p>
              </w:tc>
              <w:tc>
                <w:tcPr>
                  <w:tcW w:w="1673" w:type="dxa"/>
                  <w:vAlign w:val="center"/>
                </w:tcPr>
                <w:p w14:paraId="0CA5D918">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180kg</w:t>
                  </w:r>
                </w:p>
              </w:tc>
              <w:tc>
                <w:tcPr>
                  <w:tcW w:w="1468" w:type="dxa"/>
                  <w:vAlign w:val="center"/>
                </w:tcPr>
                <w:p w14:paraId="4EA88A71">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1683.9kg</w:t>
                  </w:r>
                </w:p>
              </w:tc>
              <w:tc>
                <w:tcPr>
                  <w:tcW w:w="1474" w:type="dxa"/>
                  <w:vAlign w:val="center"/>
                </w:tcPr>
                <w:p w14:paraId="7718B965">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154.8kg</w:t>
                  </w:r>
                </w:p>
              </w:tc>
            </w:tr>
            <w:tr w14:paraId="1DC6A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36" w:type="dxa"/>
                  <w:vAlign w:val="center"/>
                </w:tcPr>
                <w:p w14:paraId="3CA2063F">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排放浓度</w:t>
                  </w:r>
                </w:p>
              </w:tc>
              <w:tc>
                <w:tcPr>
                  <w:tcW w:w="975" w:type="dxa"/>
                  <w:vAlign w:val="center"/>
                </w:tcPr>
                <w:p w14:paraId="4EAE30E8">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color w:val="auto"/>
                      <w:kern w:val="0"/>
                      <w:sz w:val="21"/>
                      <w:szCs w:val="21"/>
                      <w:lang w:bidi="ar"/>
                    </w:rPr>
                  </w:pPr>
                </w:p>
              </w:tc>
              <w:tc>
                <w:tcPr>
                  <w:tcW w:w="1610" w:type="dxa"/>
                  <w:vAlign w:val="center"/>
                </w:tcPr>
                <w:p w14:paraId="2D4D8DED">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color w:val="auto"/>
                      <w:kern w:val="0"/>
                      <w:sz w:val="21"/>
                      <w:szCs w:val="21"/>
                      <w:lang w:bidi="ar"/>
                    </w:rPr>
                  </w:pPr>
                </w:p>
              </w:tc>
              <w:tc>
                <w:tcPr>
                  <w:tcW w:w="1673" w:type="dxa"/>
                  <w:vAlign w:val="center"/>
                </w:tcPr>
                <w:p w14:paraId="63973966">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14.67mg/m</w:t>
                  </w:r>
                  <w:r>
                    <w:rPr>
                      <w:rFonts w:hint="default" w:ascii="Times New Roman" w:hAnsi="Times New Roman" w:cs="Times New Roman"/>
                      <w:color w:val="auto"/>
                      <w:kern w:val="0"/>
                      <w:sz w:val="21"/>
                      <w:szCs w:val="21"/>
                      <w:vertAlign w:val="superscript"/>
                      <w:lang w:bidi="ar"/>
                    </w:rPr>
                    <w:t>3</w:t>
                  </w:r>
                </w:p>
              </w:tc>
              <w:tc>
                <w:tcPr>
                  <w:tcW w:w="1468" w:type="dxa"/>
                  <w:vAlign w:val="center"/>
                </w:tcPr>
                <w:p w14:paraId="16FF2064">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137.27mg/m</w:t>
                  </w:r>
                  <w:r>
                    <w:rPr>
                      <w:rFonts w:hint="default" w:ascii="Times New Roman" w:hAnsi="Times New Roman" w:cs="Times New Roman"/>
                      <w:color w:val="auto"/>
                      <w:kern w:val="0"/>
                      <w:sz w:val="21"/>
                      <w:szCs w:val="21"/>
                      <w:vertAlign w:val="superscript"/>
                      <w:lang w:bidi="ar"/>
                    </w:rPr>
                    <w:t>3</w:t>
                  </w:r>
                </w:p>
              </w:tc>
              <w:tc>
                <w:tcPr>
                  <w:tcW w:w="1474" w:type="dxa"/>
                  <w:vAlign w:val="center"/>
                </w:tcPr>
                <w:p w14:paraId="2F81A1F7">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12.62mg/m</w:t>
                  </w:r>
                  <w:r>
                    <w:rPr>
                      <w:rFonts w:hint="default" w:ascii="Times New Roman" w:hAnsi="Times New Roman" w:cs="Times New Roman"/>
                      <w:color w:val="auto"/>
                      <w:kern w:val="0"/>
                      <w:sz w:val="21"/>
                      <w:szCs w:val="21"/>
                      <w:vertAlign w:val="superscript"/>
                      <w:lang w:bidi="ar"/>
                    </w:rPr>
                    <w:t>3</w:t>
                  </w:r>
                </w:p>
              </w:tc>
            </w:tr>
            <w:tr w14:paraId="2F727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8336" w:type="dxa"/>
                  <w:gridSpan w:val="6"/>
                  <w:vAlign w:val="center"/>
                </w:tcPr>
                <w:p w14:paraId="7F2EF2D2">
                  <w:pPr>
                    <w:keepNext w:val="0"/>
                    <w:keepLines w:val="0"/>
                    <w:pageBreakBefore w:val="0"/>
                    <w:kinsoku/>
                    <w:wordWrap/>
                    <w:overflowPunct/>
                    <w:topLinePunct w:val="0"/>
                    <w:autoSpaceDE/>
                    <w:autoSpaceDN/>
                    <w:bidi w:val="0"/>
                    <w:adjustRightInd w:val="0"/>
                    <w:snapToGrid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注：S=100 mg/m</w:t>
                  </w:r>
                  <w:r>
                    <w:rPr>
                      <w:rFonts w:hint="default" w:ascii="Times New Roman" w:hAnsi="Times New Roman" w:cs="Times New Roman"/>
                      <w:color w:val="auto"/>
                      <w:sz w:val="21"/>
                      <w:szCs w:val="21"/>
                      <w:vertAlign w:val="superscript"/>
                    </w:rPr>
                    <w:t>3</w:t>
                  </w:r>
                </w:p>
              </w:tc>
            </w:tr>
          </w:tbl>
          <w:p w14:paraId="6CAB63B9">
            <w:pPr>
              <w:keepNext w:val="0"/>
              <w:keepLines w:val="0"/>
              <w:pageBreakBefore w:val="0"/>
              <w:widowControl w:val="0"/>
              <w:kinsoku/>
              <w:wordWrap/>
              <w:overflowPunct/>
              <w:topLinePunct w:val="0"/>
              <w:autoSpaceDE/>
              <w:autoSpaceDN/>
              <w:bidi w:val="0"/>
              <w:adjustRightInd w:val="0"/>
              <w:snapToGrid w:val="0"/>
              <w:spacing w:before="115" w:beforeLines="30"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根据以上计算，燃天然气废气中二氧化硫、氮氧化物和颗粒物的总产生量分别为0.18t/a、1.684t/a和0.155t/a，各排气筒排放浓度均为二氧化硫14.67</w:t>
            </w:r>
            <w:r>
              <w:rPr>
                <w:rStyle w:val="102"/>
                <w:rFonts w:hint="default" w:ascii="Times New Roman" w:hAnsi="Times New Roman" w:cs="Times New Roman"/>
                <w:color w:val="auto"/>
                <w:sz w:val="24"/>
                <w:szCs w:val="24"/>
                <w:lang w:bidi="ar"/>
              </w:rPr>
              <w:t>mg/m</w:t>
            </w:r>
            <w:r>
              <w:rPr>
                <w:rStyle w:val="102"/>
                <w:rFonts w:hint="default" w:ascii="Times New Roman" w:hAnsi="Times New Roman" w:cs="Times New Roman"/>
                <w:color w:val="auto"/>
                <w:sz w:val="24"/>
                <w:szCs w:val="24"/>
                <w:vertAlign w:val="superscript"/>
                <w:lang w:bidi="ar"/>
              </w:rPr>
              <w:t>3</w:t>
            </w:r>
            <w:r>
              <w:rPr>
                <w:rFonts w:hint="default" w:ascii="Times New Roman" w:hAnsi="Times New Roman" w:cs="Times New Roman"/>
                <w:color w:val="auto"/>
                <w:sz w:val="24"/>
              </w:rPr>
              <w:t>，氮氧化物137.27</w:t>
            </w:r>
            <w:r>
              <w:rPr>
                <w:rStyle w:val="102"/>
                <w:rFonts w:hint="default" w:ascii="Times New Roman" w:hAnsi="Times New Roman" w:cs="Times New Roman"/>
                <w:color w:val="auto"/>
                <w:sz w:val="24"/>
                <w:szCs w:val="24"/>
                <w:lang w:bidi="ar"/>
              </w:rPr>
              <w:t>mg/m</w:t>
            </w:r>
            <w:r>
              <w:rPr>
                <w:rStyle w:val="102"/>
                <w:rFonts w:hint="default" w:ascii="Times New Roman" w:hAnsi="Times New Roman" w:cs="Times New Roman"/>
                <w:color w:val="auto"/>
                <w:sz w:val="24"/>
                <w:szCs w:val="24"/>
                <w:vertAlign w:val="superscript"/>
                <w:lang w:bidi="ar"/>
              </w:rPr>
              <w:t>3</w:t>
            </w:r>
            <w:r>
              <w:rPr>
                <w:rStyle w:val="102"/>
                <w:rFonts w:hint="default" w:ascii="Times New Roman" w:hAnsi="Times New Roman" w:cs="Times New Roman"/>
                <w:color w:val="auto"/>
                <w:sz w:val="24"/>
                <w:szCs w:val="24"/>
                <w:lang w:bidi="ar"/>
              </w:rPr>
              <w:t>，</w:t>
            </w:r>
            <w:r>
              <w:rPr>
                <w:rFonts w:hint="default" w:ascii="Times New Roman" w:hAnsi="Times New Roman" w:cs="Times New Roman"/>
                <w:color w:val="auto"/>
                <w:sz w:val="24"/>
              </w:rPr>
              <w:t>颗粒物12.62</w:t>
            </w:r>
            <w:r>
              <w:rPr>
                <w:rStyle w:val="102"/>
                <w:rFonts w:hint="default" w:ascii="Times New Roman" w:hAnsi="Times New Roman" w:cs="Times New Roman"/>
                <w:color w:val="auto"/>
                <w:sz w:val="24"/>
                <w:szCs w:val="24"/>
                <w:lang w:bidi="ar"/>
              </w:rPr>
              <w:t>mg/m</w:t>
            </w:r>
            <w:r>
              <w:rPr>
                <w:rStyle w:val="102"/>
                <w:rFonts w:hint="default" w:ascii="Times New Roman" w:hAnsi="Times New Roman" w:cs="Times New Roman"/>
                <w:color w:val="auto"/>
                <w:sz w:val="24"/>
                <w:szCs w:val="24"/>
                <w:vertAlign w:val="superscript"/>
                <w:lang w:bidi="ar"/>
              </w:rPr>
              <w:t>3</w:t>
            </w:r>
            <w:r>
              <w:rPr>
                <w:rStyle w:val="102"/>
                <w:rFonts w:hint="default" w:ascii="Times New Roman" w:hAnsi="Times New Roman" w:cs="Times New Roman"/>
                <w:color w:val="auto"/>
                <w:sz w:val="24"/>
                <w:szCs w:val="24"/>
                <w:lang w:bidi="ar"/>
              </w:rPr>
              <w:t>，可达到《锅炉大气污染物排放标准》（GB13271-2014）表2限值（颗粒物≤20mg/m</w:t>
            </w:r>
            <w:r>
              <w:rPr>
                <w:rStyle w:val="102"/>
                <w:rFonts w:hint="default" w:ascii="Times New Roman" w:hAnsi="Times New Roman" w:cs="Times New Roman"/>
                <w:color w:val="auto"/>
                <w:sz w:val="24"/>
                <w:szCs w:val="24"/>
                <w:vertAlign w:val="superscript"/>
                <w:lang w:bidi="ar"/>
              </w:rPr>
              <w:t>3</w:t>
            </w:r>
            <w:r>
              <w:rPr>
                <w:rStyle w:val="102"/>
                <w:rFonts w:hint="default" w:ascii="Times New Roman" w:hAnsi="Times New Roman" w:cs="Times New Roman"/>
                <w:color w:val="auto"/>
                <w:sz w:val="24"/>
                <w:szCs w:val="24"/>
                <w:lang w:bidi="ar"/>
              </w:rPr>
              <w:t>，二氧化硫≤50mg/m</w:t>
            </w:r>
            <w:r>
              <w:rPr>
                <w:rStyle w:val="102"/>
                <w:rFonts w:hint="default" w:ascii="Times New Roman" w:hAnsi="Times New Roman" w:cs="Times New Roman"/>
                <w:color w:val="auto"/>
                <w:sz w:val="24"/>
                <w:szCs w:val="24"/>
                <w:vertAlign w:val="superscript"/>
                <w:lang w:bidi="ar"/>
              </w:rPr>
              <w:t>3</w:t>
            </w:r>
            <w:r>
              <w:rPr>
                <w:rStyle w:val="102"/>
                <w:rFonts w:hint="default" w:ascii="Times New Roman" w:hAnsi="Times New Roman" w:cs="Times New Roman"/>
                <w:color w:val="auto"/>
                <w:sz w:val="24"/>
                <w:szCs w:val="24"/>
                <w:lang w:bidi="ar"/>
              </w:rPr>
              <w:t>，氮氧化物≤200mg/m</w:t>
            </w:r>
            <w:r>
              <w:rPr>
                <w:rStyle w:val="102"/>
                <w:rFonts w:hint="default" w:ascii="Times New Roman" w:hAnsi="Times New Roman" w:cs="Times New Roman"/>
                <w:color w:val="auto"/>
                <w:sz w:val="24"/>
                <w:szCs w:val="24"/>
                <w:vertAlign w:val="superscript"/>
                <w:lang w:bidi="ar"/>
              </w:rPr>
              <w:t>3</w:t>
            </w:r>
            <w:r>
              <w:rPr>
                <w:rStyle w:val="102"/>
                <w:rFonts w:hint="default" w:ascii="Times New Roman" w:hAnsi="Times New Roman" w:cs="Times New Roman"/>
                <w:color w:val="auto"/>
                <w:sz w:val="24"/>
                <w:szCs w:val="24"/>
                <w:lang w:bidi="ar"/>
              </w:rPr>
              <w:t>）要求。</w:t>
            </w:r>
          </w:p>
          <w:p w14:paraId="17118C7F">
            <w:pPr>
              <w:pStyle w:val="1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③无组织废气</w:t>
            </w:r>
          </w:p>
          <w:p w14:paraId="6DA36C1C">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项目剥壳除锈、打磨工序颗粒物产生量</w:t>
            </w:r>
            <w:r>
              <w:rPr>
                <w:rFonts w:hint="default" w:ascii="Times New Roman" w:hAnsi="Times New Roman" w:cs="Times New Roman"/>
                <w:color w:val="auto"/>
                <w:sz w:val="24"/>
                <w:lang w:val="en-US" w:eastAsia="zh-CN"/>
              </w:rPr>
              <w:t>65.7</w:t>
            </w:r>
            <w:r>
              <w:rPr>
                <w:rFonts w:hint="default" w:ascii="Times New Roman" w:hAnsi="Times New Roman" w:cs="Times New Roman"/>
                <w:color w:val="auto"/>
                <w:sz w:val="24"/>
              </w:rPr>
              <w:t>t/a，采用</w:t>
            </w:r>
            <w:r>
              <w:rPr>
                <w:rFonts w:hint="default" w:ascii="Times New Roman" w:hAnsi="Times New Roman" w:cs="Times New Roman"/>
                <w:color w:val="auto"/>
                <w:sz w:val="24"/>
                <w:lang w:val="en-US" w:eastAsia="zh-CN"/>
              </w:rPr>
              <w:t>设备自带的滤筒除尘器处理</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考虑设备漏风可能粉尘溢出，粉尘收集率</w:t>
            </w:r>
            <w:r>
              <w:rPr>
                <w:rFonts w:hint="default" w:ascii="Times New Roman" w:hAnsi="Times New Roman" w:cs="Times New Roman"/>
                <w:color w:val="auto"/>
                <w:sz w:val="24"/>
              </w:rPr>
              <w:t>以</w:t>
            </w:r>
            <w:r>
              <w:rPr>
                <w:rFonts w:hint="default" w:ascii="Times New Roman" w:hAnsi="Times New Roman" w:cs="Times New Roman"/>
                <w:color w:val="auto"/>
                <w:sz w:val="24"/>
                <w:lang w:val="en-US" w:eastAsia="zh-CN"/>
              </w:rPr>
              <w:t>98</w:t>
            </w:r>
            <w:r>
              <w:rPr>
                <w:rFonts w:hint="default" w:ascii="Times New Roman" w:hAnsi="Times New Roman" w:cs="Times New Roman"/>
                <w:color w:val="auto"/>
                <w:sz w:val="24"/>
              </w:rPr>
              <w:t>%计，未收集的粉尘排放量为</w:t>
            </w:r>
            <w:r>
              <w:rPr>
                <w:rFonts w:hint="default" w:ascii="Times New Roman" w:hAnsi="Times New Roman" w:cs="Times New Roman"/>
                <w:color w:val="auto"/>
                <w:sz w:val="24"/>
                <w:lang w:val="en-US" w:eastAsia="zh-CN"/>
              </w:rPr>
              <w:t>1.314</w:t>
            </w:r>
            <w:r>
              <w:rPr>
                <w:rFonts w:hint="default" w:ascii="Times New Roman" w:hAnsi="Times New Roman" w:cs="Times New Roman"/>
                <w:color w:val="auto"/>
                <w:sz w:val="24"/>
              </w:rPr>
              <w:t>t/a</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在车间呈无组织排放</w:t>
            </w:r>
            <w:r>
              <w:rPr>
                <w:rFonts w:hint="default" w:ascii="Times New Roman" w:hAnsi="Times New Roman" w:cs="Times New Roman"/>
                <w:color w:val="auto"/>
                <w:sz w:val="24"/>
              </w:rPr>
              <w:t>。</w:t>
            </w:r>
          </w:p>
          <w:p w14:paraId="16451D9C">
            <w:pPr>
              <w:pStyle w:val="1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表面处理生产线无组织</w:t>
            </w:r>
            <w:r>
              <w:rPr>
                <w:rFonts w:hint="default" w:ascii="Times New Roman" w:hAnsi="Times New Roman" w:cs="Times New Roman"/>
                <w:color w:val="auto"/>
                <w:sz w:val="24"/>
                <w:lang w:val="en-US" w:eastAsia="zh-CN"/>
              </w:rPr>
              <w:t>HCl</w:t>
            </w:r>
            <w:r>
              <w:rPr>
                <w:rFonts w:hint="default" w:ascii="Times New Roman" w:hAnsi="Times New Roman" w:cs="Times New Roman"/>
                <w:color w:val="auto"/>
                <w:sz w:val="24"/>
              </w:rPr>
              <w:t>产生量</w:t>
            </w:r>
            <w:r>
              <w:rPr>
                <w:rFonts w:hint="default" w:ascii="Times New Roman" w:hAnsi="Times New Roman" w:cs="Times New Roman"/>
                <w:color w:val="auto"/>
                <w:sz w:val="24"/>
                <w:lang w:val="en-US" w:eastAsia="zh-CN"/>
              </w:rPr>
              <w:t>为</w:t>
            </w:r>
            <w:r>
              <w:rPr>
                <w:rFonts w:hint="default" w:ascii="Times New Roman" w:hAnsi="Times New Roman" w:cs="Times New Roman"/>
                <w:color w:val="auto"/>
                <w:sz w:val="24"/>
              </w:rPr>
              <w:t>93.7</w:t>
            </w:r>
            <w:r>
              <w:rPr>
                <w:rFonts w:hint="default" w:ascii="Times New Roman" w:hAnsi="Times New Roman" w:cs="Times New Roman"/>
                <w:color w:val="auto"/>
                <w:sz w:val="24"/>
                <w:lang w:val="en-US" w:eastAsia="zh-CN"/>
              </w:rPr>
              <w:t>4</w:t>
            </w:r>
            <w:r>
              <w:rPr>
                <w:rFonts w:hint="default" w:ascii="Times New Roman" w:hAnsi="Times New Roman" w:cs="Times New Roman"/>
                <w:color w:val="auto"/>
                <w:sz w:val="24"/>
              </w:rPr>
              <w:t>t/a，</w:t>
            </w:r>
            <w:r>
              <w:rPr>
                <w:rFonts w:hint="default" w:ascii="Times New Roman" w:hAnsi="Times New Roman" w:cs="Times New Roman"/>
                <w:color w:val="auto"/>
                <w:sz w:val="24"/>
                <w:lang w:val="en-US" w:eastAsia="zh-CN"/>
              </w:rPr>
              <w:t>考虑隧道开关门酸雾可能溢出，</w:t>
            </w:r>
            <w:r>
              <w:rPr>
                <w:rFonts w:hint="default" w:ascii="Times New Roman" w:hAnsi="Times New Roman" w:cs="Times New Roman"/>
                <w:color w:val="auto"/>
                <w:sz w:val="24"/>
              </w:rPr>
              <w:t>废气集气装置对酸雾捕集率</w:t>
            </w:r>
            <w:r>
              <w:rPr>
                <w:rFonts w:hint="default" w:ascii="Times New Roman" w:hAnsi="Times New Roman" w:cs="Times New Roman"/>
                <w:color w:val="auto"/>
                <w:sz w:val="24"/>
                <w:lang w:val="en-US" w:eastAsia="zh-CN"/>
              </w:rPr>
              <w:t>以</w:t>
            </w:r>
            <w:r>
              <w:rPr>
                <w:rFonts w:hint="default" w:ascii="Times New Roman" w:hAnsi="Times New Roman" w:cs="Times New Roman"/>
                <w:color w:val="auto"/>
                <w:sz w:val="24"/>
              </w:rPr>
              <w:t>98%</w:t>
            </w:r>
            <w:r>
              <w:rPr>
                <w:rFonts w:hint="default" w:ascii="Times New Roman" w:hAnsi="Times New Roman" w:cs="Times New Roman"/>
                <w:color w:val="auto"/>
                <w:sz w:val="24"/>
                <w:lang w:val="en-US" w:eastAsia="zh-CN"/>
              </w:rPr>
              <w:t>计</w:t>
            </w:r>
            <w:r>
              <w:rPr>
                <w:rFonts w:hint="default" w:ascii="Times New Roman" w:hAnsi="Times New Roman" w:cs="Times New Roman"/>
                <w:color w:val="auto"/>
                <w:sz w:val="24"/>
              </w:rPr>
              <w:t>，车间</w:t>
            </w:r>
            <w:r>
              <w:rPr>
                <w:rFonts w:hint="default" w:ascii="Times New Roman" w:hAnsi="Times New Roman" w:cs="Times New Roman"/>
                <w:color w:val="auto"/>
                <w:sz w:val="24"/>
                <w:lang w:val="en-US" w:eastAsia="zh-CN"/>
              </w:rPr>
              <w:t>HCl</w:t>
            </w:r>
            <w:r>
              <w:rPr>
                <w:rFonts w:hint="default" w:ascii="Times New Roman" w:hAnsi="Times New Roman" w:cs="Times New Roman"/>
                <w:color w:val="auto"/>
                <w:sz w:val="24"/>
              </w:rPr>
              <w:t>无组织排放量1.875t/a。</w:t>
            </w:r>
          </w:p>
          <w:p w14:paraId="584F221D">
            <w:pPr>
              <w:pStyle w:val="1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（2）非正常工况</w:t>
            </w:r>
          </w:p>
          <w:p w14:paraId="6BBB72CE">
            <w:pPr>
              <w:pStyle w:val="1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非正常生产排污包括以下方面：全厂性紧急停车，临时性故障开停车，大检修停车，环保设施故障等。</w:t>
            </w:r>
          </w:p>
          <w:p w14:paraId="1A9FA780">
            <w:pPr>
              <w:pStyle w:val="1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本项目生产工艺特点及设备运行情况，开停工过程及天然气蒸汽发生器系统故障状态下，污染物排放量不会明显增加，并且操作人员可以及时发现并处理；项目表面处理生产废气经碱液喷淋吸收塔（1用1备）处理后排放，当其中1套发生故障时，迅速启用备用装置，非正常外排尾气量极其微小，不会对环境空气造成明显影响；当除尘系统异常时，烟尘污染物排放将会明显增加，并对周围环境造成显著污染影响。造成本项目废气非正常排放的主要原因是布袋除尘器出现故障，导致除尘效率降低。因此，除采用先进、成熟的工艺技术和设备外，生产中还应加强管理，严格操作规程，提高工人素质，精心操作，防患于未然，将非正常排放控制到最小。</w:t>
            </w:r>
          </w:p>
          <w:p w14:paraId="2DEFF6EC">
            <w:pPr>
              <w:pStyle w:val="1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本评价按除尘器布袋部分损坏，除尘效率下降至80%计，故障抢修至恢复正常运转时间按60分钟计。此工况下烟尘排放量将显著增加。</w:t>
            </w:r>
          </w:p>
          <w:p w14:paraId="0AAABA2A">
            <w:pPr>
              <w:pStyle w:val="11"/>
              <w:rPr>
                <w:rFonts w:hint="default" w:ascii="Times New Roman" w:hAnsi="Times New Roman" w:cs="Times New Roman"/>
                <w:color w:val="auto"/>
                <w:sz w:val="24"/>
              </w:rPr>
            </w:pPr>
          </w:p>
          <w:p w14:paraId="7F5D1B71">
            <w:pPr>
              <w:rPr>
                <w:rFonts w:hint="default" w:ascii="Times New Roman" w:hAnsi="Times New Roman" w:cs="Times New Roman"/>
                <w:color w:val="auto"/>
                <w:sz w:val="24"/>
              </w:rPr>
            </w:pPr>
          </w:p>
          <w:p w14:paraId="51B8F01F">
            <w:pPr>
              <w:pStyle w:val="2"/>
              <w:rPr>
                <w:rFonts w:hint="default" w:ascii="Times New Roman" w:hAnsi="Times New Roman" w:cs="Times New Roman"/>
                <w:color w:val="auto"/>
                <w:sz w:val="24"/>
              </w:rPr>
            </w:pPr>
          </w:p>
          <w:p w14:paraId="4CF43D84">
            <w:pPr>
              <w:pStyle w:val="2"/>
              <w:rPr>
                <w:rFonts w:hint="default" w:ascii="Times New Roman" w:hAnsi="Times New Roman" w:cs="Times New Roman"/>
                <w:color w:val="auto"/>
                <w:sz w:val="24"/>
              </w:rPr>
            </w:pPr>
          </w:p>
          <w:p w14:paraId="0A456C79">
            <w:pPr>
              <w:pStyle w:val="2"/>
              <w:rPr>
                <w:rFonts w:hint="default" w:ascii="Times New Roman" w:hAnsi="Times New Roman" w:cs="Times New Roman"/>
                <w:color w:val="auto"/>
                <w:sz w:val="24"/>
              </w:rPr>
            </w:pPr>
          </w:p>
          <w:p w14:paraId="65B88762">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表4.2-7  非正常工况废气污染物产、排放情况一览表</w:t>
            </w:r>
          </w:p>
          <w:tbl>
            <w:tblPr>
              <w:tblStyle w:val="34"/>
              <w:tblW w:w="83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6"/>
              <w:gridCol w:w="863"/>
              <w:gridCol w:w="601"/>
              <w:gridCol w:w="970"/>
              <w:gridCol w:w="6"/>
              <w:gridCol w:w="848"/>
              <w:gridCol w:w="6"/>
              <w:gridCol w:w="680"/>
              <w:gridCol w:w="641"/>
              <w:gridCol w:w="615"/>
              <w:gridCol w:w="855"/>
              <w:gridCol w:w="780"/>
              <w:gridCol w:w="645"/>
            </w:tblGrid>
            <w:tr w14:paraId="7B55F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866" w:type="dxa"/>
                  <w:vMerge w:val="restart"/>
                  <w:shd w:val="clear" w:color="auto" w:fill="auto"/>
                  <w:vAlign w:val="center"/>
                </w:tcPr>
                <w:p w14:paraId="1F2581E7">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污染源</w:t>
                  </w:r>
                </w:p>
              </w:tc>
              <w:tc>
                <w:tcPr>
                  <w:tcW w:w="863" w:type="dxa"/>
                  <w:vMerge w:val="restart"/>
                  <w:shd w:val="clear" w:color="auto" w:fill="auto"/>
                  <w:vAlign w:val="center"/>
                </w:tcPr>
                <w:p w14:paraId="5D5A7E86">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污染源</w:t>
                  </w:r>
                </w:p>
                <w:p w14:paraId="189D5F34">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编号</w:t>
                  </w:r>
                </w:p>
              </w:tc>
              <w:tc>
                <w:tcPr>
                  <w:tcW w:w="601" w:type="dxa"/>
                  <w:vMerge w:val="restart"/>
                  <w:shd w:val="clear" w:color="auto" w:fill="auto"/>
                  <w:vAlign w:val="center"/>
                </w:tcPr>
                <w:p w14:paraId="6D1A0B55">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污染物</w:t>
                  </w:r>
                </w:p>
              </w:tc>
              <w:tc>
                <w:tcPr>
                  <w:tcW w:w="970" w:type="dxa"/>
                  <w:vMerge w:val="restart"/>
                  <w:shd w:val="clear" w:color="auto" w:fill="auto"/>
                  <w:vAlign w:val="center"/>
                </w:tcPr>
                <w:p w14:paraId="6D6E47B2">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产生废气量</w:t>
                  </w:r>
                </w:p>
                <w:p w14:paraId="58EFDA15">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Nm</w:t>
                  </w:r>
                  <w:r>
                    <w:rPr>
                      <w:rFonts w:hint="default" w:ascii="Times New Roman" w:hAnsi="Times New Roman" w:cs="Times New Roman"/>
                      <w:color w:val="auto"/>
                      <w:kern w:val="0"/>
                      <w:sz w:val="21"/>
                      <w:szCs w:val="21"/>
                      <w:vertAlign w:val="superscript"/>
                      <w:lang w:bidi="ar"/>
                    </w:rPr>
                    <w:t>3</w:t>
                  </w:r>
                  <w:r>
                    <w:rPr>
                      <w:rFonts w:hint="default" w:ascii="Times New Roman" w:hAnsi="Times New Roman" w:cs="Times New Roman"/>
                      <w:color w:val="auto"/>
                      <w:kern w:val="0"/>
                      <w:sz w:val="21"/>
                      <w:szCs w:val="21"/>
                      <w:lang w:bidi="ar"/>
                    </w:rPr>
                    <w:t>/h</w:t>
                  </w:r>
                </w:p>
              </w:tc>
              <w:tc>
                <w:tcPr>
                  <w:tcW w:w="1540" w:type="dxa"/>
                  <w:gridSpan w:val="4"/>
                  <w:shd w:val="clear" w:color="auto" w:fill="auto"/>
                  <w:vAlign w:val="center"/>
                </w:tcPr>
                <w:p w14:paraId="418280A0">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污染物产生</w:t>
                  </w:r>
                </w:p>
              </w:tc>
              <w:tc>
                <w:tcPr>
                  <w:tcW w:w="1256" w:type="dxa"/>
                  <w:gridSpan w:val="2"/>
                  <w:shd w:val="clear" w:color="auto" w:fill="auto"/>
                  <w:vAlign w:val="center"/>
                </w:tcPr>
                <w:p w14:paraId="20B73CF2">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治理措施</w:t>
                  </w:r>
                </w:p>
              </w:tc>
              <w:tc>
                <w:tcPr>
                  <w:tcW w:w="1635" w:type="dxa"/>
                  <w:gridSpan w:val="2"/>
                  <w:shd w:val="clear" w:color="auto" w:fill="auto"/>
                  <w:vAlign w:val="center"/>
                </w:tcPr>
                <w:p w14:paraId="3A54A32E">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污染物排放</w:t>
                  </w:r>
                </w:p>
              </w:tc>
              <w:tc>
                <w:tcPr>
                  <w:tcW w:w="645" w:type="dxa"/>
                  <w:vMerge w:val="restart"/>
                  <w:shd w:val="clear" w:color="auto" w:fill="auto"/>
                  <w:vAlign w:val="center"/>
                </w:tcPr>
                <w:p w14:paraId="658245BD">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排放</w:t>
                  </w:r>
                </w:p>
                <w:p w14:paraId="5894474F">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时间</w:t>
                  </w:r>
                </w:p>
                <w:p w14:paraId="18C114CD">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h</w:t>
                  </w:r>
                </w:p>
              </w:tc>
            </w:tr>
            <w:tr w14:paraId="2D39C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3" w:hRule="atLeast"/>
              </w:trPr>
              <w:tc>
                <w:tcPr>
                  <w:tcW w:w="866" w:type="dxa"/>
                  <w:vMerge w:val="continue"/>
                  <w:shd w:val="clear" w:color="auto" w:fill="auto"/>
                  <w:vAlign w:val="center"/>
                </w:tcPr>
                <w:p w14:paraId="30B3FB95">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863" w:type="dxa"/>
                  <w:vMerge w:val="continue"/>
                  <w:shd w:val="clear" w:color="auto" w:fill="auto"/>
                  <w:noWrap/>
                  <w:vAlign w:val="center"/>
                </w:tcPr>
                <w:p w14:paraId="41873020">
                  <w:pPr>
                    <w:keepNext w:val="0"/>
                    <w:keepLines w:val="0"/>
                    <w:pageBreakBefore w:val="0"/>
                    <w:widowControl/>
                    <w:kinsoku/>
                    <w:wordWrap/>
                    <w:overflowPunct/>
                    <w:topLinePunct w:val="0"/>
                    <w:autoSpaceDE/>
                    <w:autoSpaceDN/>
                    <w:bidi w:val="0"/>
                    <w:adjustRightInd w:val="0"/>
                    <w:snapToGrid w:val="0"/>
                    <w:spacing w:line="240" w:lineRule="auto"/>
                    <w:rPr>
                      <w:rFonts w:hint="default" w:ascii="Times New Roman" w:hAnsi="Times New Roman" w:cs="Times New Roman"/>
                      <w:color w:val="auto"/>
                      <w:sz w:val="21"/>
                      <w:szCs w:val="21"/>
                    </w:rPr>
                  </w:pPr>
                </w:p>
              </w:tc>
              <w:tc>
                <w:tcPr>
                  <w:tcW w:w="601" w:type="dxa"/>
                  <w:vMerge w:val="continue"/>
                  <w:shd w:val="clear" w:color="auto" w:fill="auto"/>
                  <w:vAlign w:val="center"/>
                </w:tcPr>
                <w:p w14:paraId="42BD80E2">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970" w:type="dxa"/>
                  <w:vMerge w:val="continue"/>
                  <w:shd w:val="clear" w:color="auto" w:fill="auto"/>
                  <w:noWrap/>
                  <w:vAlign w:val="center"/>
                </w:tcPr>
                <w:p w14:paraId="4C124AF8">
                  <w:pPr>
                    <w:keepNext w:val="0"/>
                    <w:keepLines w:val="0"/>
                    <w:pageBreakBefore w:val="0"/>
                    <w:widowControl/>
                    <w:kinsoku/>
                    <w:wordWrap/>
                    <w:overflowPunct/>
                    <w:topLinePunct w:val="0"/>
                    <w:autoSpaceDE/>
                    <w:autoSpaceDN/>
                    <w:bidi w:val="0"/>
                    <w:adjustRightInd w:val="0"/>
                    <w:snapToGrid w:val="0"/>
                    <w:spacing w:line="240" w:lineRule="auto"/>
                    <w:rPr>
                      <w:rFonts w:hint="default" w:ascii="Times New Roman" w:hAnsi="Times New Roman" w:cs="Times New Roman"/>
                      <w:color w:val="auto"/>
                      <w:sz w:val="21"/>
                      <w:szCs w:val="21"/>
                    </w:rPr>
                  </w:pPr>
                </w:p>
              </w:tc>
              <w:tc>
                <w:tcPr>
                  <w:tcW w:w="854" w:type="dxa"/>
                  <w:gridSpan w:val="2"/>
                  <w:shd w:val="clear" w:color="auto" w:fill="auto"/>
                  <w:vAlign w:val="center"/>
                </w:tcPr>
                <w:p w14:paraId="486A6A20">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产生</w:t>
                  </w:r>
                </w:p>
                <w:p w14:paraId="6A8B5649">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浓度mg/m</w:t>
                  </w:r>
                  <w:r>
                    <w:rPr>
                      <w:rFonts w:hint="default" w:ascii="Times New Roman" w:hAnsi="Times New Roman" w:cs="Times New Roman"/>
                      <w:color w:val="auto"/>
                      <w:kern w:val="0"/>
                      <w:sz w:val="21"/>
                      <w:szCs w:val="21"/>
                      <w:vertAlign w:val="superscript"/>
                      <w:lang w:bidi="ar"/>
                    </w:rPr>
                    <w:t>3</w:t>
                  </w:r>
                </w:p>
              </w:tc>
              <w:tc>
                <w:tcPr>
                  <w:tcW w:w="686" w:type="dxa"/>
                  <w:gridSpan w:val="2"/>
                  <w:shd w:val="clear" w:color="auto" w:fill="auto"/>
                  <w:vAlign w:val="center"/>
                </w:tcPr>
                <w:p w14:paraId="5AFFBF59">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产生量</w:t>
                  </w:r>
                </w:p>
                <w:p w14:paraId="35D4E4E9">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kg/h</w:t>
                  </w:r>
                </w:p>
              </w:tc>
              <w:tc>
                <w:tcPr>
                  <w:tcW w:w="641" w:type="dxa"/>
                  <w:shd w:val="clear" w:color="auto" w:fill="auto"/>
                  <w:vAlign w:val="center"/>
                </w:tcPr>
                <w:p w14:paraId="7171FDFF">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工艺</w:t>
                  </w:r>
                </w:p>
              </w:tc>
              <w:tc>
                <w:tcPr>
                  <w:tcW w:w="615" w:type="dxa"/>
                  <w:shd w:val="clear" w:color="auto" w:fill="auto"/>
                  <w:vAlign w:val="center"/>
                </w:tcPr>
                <w:p w14:paraId="4D7C9E70">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效率/%</w:t>
                  </w:r>
                </w:p>
              </w:tc>
              <w:tc>
                <w:tcPr>
                  <w:tcW w:w="855" w:type="dxa"/>
                  <w:shd w:val="clear" w:color="auto" w:fill="auto"/>
                  <w:vAlign w:val="center"/>
                </w:tcPr>
                <w:p w14:paraId="7E013189">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排放</w:t>
                  </w:r>
                </w:p>
                <w:p w14:paraId="51AA40CA">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浓度mg/m</w:t>
                  </w:r>
                  <w:r>
                    <w:rPr>
                      <w:rFonts w:hint="default" w:ascii="Times New Roman" w:hAnsi="Times New Roman" w:cs="Times New Roman"/>
                      <w:color w:val="auto"/>
                      <w:kern w:val="0"/>
                      <w:sz w:val="21"/>
                      <w:szCs w:val="21"/>
                      <w:vertAlign w:val="superscript"/>
                      <w:lang w:bidi="ar"/>
                    </w:rPr>
                    <w:t>3</w:t>
                  </w:r>
                </w:p>
              </w:tc>
              <w:tc>
                <w:tcPr>
                  <w:tcW w:w="780" w:type="dxa"/>
                  <w:shd w:val="clear" w:color="auto" w:fill="auto"/>
                  <w:vAlign w:val="center"/>
                </w:tcPr>
                <w:p w14:paraId="27F00C6E">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排放量</w:t>
                  </w:r>
                </w:p>
                <w:p w14:paraId="2F606EBA">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kg/h</w:t>
                  </w:r>
                </w:p>
              </w:tc>
              <w:tc>
                <w:tcPr>
                  <w:tcW w:w="645" w:type="dxa"/>
                  <w:vMerge w:val="continue"/>
                  <w:shd w:val="clear" w:color="auto" w:fill="auto"/>
                  <w:vAlign w:val="center"/>
                </w:tcPr>
                <w:p w14:paraId="16600656">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 w:val="21"/>
                      <w:szCs w:val="21"/>
                    </w:rPr>
                  </w:pPr>
                </w:p>
              </w:tc>
            </w:tr>
            <w:tr w14:paraId="154B1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5" w:hRule="atLeast"/>
              </w:trPr>
              <w:tc>
                <w:tcPr>
                  <w:tcW w:w="866" w:type="dxa"/>
                  <w:shd w:val="clear" w:color="auto" w:fill="auto"/>
                  <w:noWrap/>
                  <w:vAlign w:val="center"/>
                </w:tcPr>
                <w:p w14:paraId="45375D2C">
                  <w:pPr>
                    <w:keepNext w:val="0"/>
                    <w:keepLines w:val="0"/>
                    <w:pageBreakBefore w:val="0"/>
                    <w:widowControl/>
                    <w:kinsoku/>
                    <w:wordWrap/>
                    <w:overflowPunct/>
                    <w:topLinePunct w:val="0"/>
                    <w:autoSpaceDE/>
                    <w:autoSpaceDN/>
                    <w:bidi w:val="0"/>
                    <w:adjustRightInd w:val="0"/>
                    <w:snapToGrid w:val="0"/>
                    <w:spacing w:line="240" w:lineRule="auto"/>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剥壳除锈、打磨工序</w:t>
                  </w:r>
                </w:p>
              </w:tc>
              <w:tc>
                <w:tcPr>
                  <w:tcW w:w="863" w:type="dxa"/>
                  <w:shd w:val="clear" w:color="auto" w:fill="auto"/>
                  <w:vAlign w:val="center"/>
                </w:tcPr>
                <w:p w14:paraId="481820BA">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DA007</w:t>
                  </w:r>
                </w:p>
              </w:tc>
              <w:tc>
                <w:tcPr>
                  <w:tcW w:w="601" w:type="dxa"/>
                  <w:shd w:val="clear" w:color="auto" w:fill="auto"/>
                  <w:vAlign w:val="center"/>
                </w:tcPr>
                <w:p w14:paraId="489A5D28">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颗粒物</w:t>
                  </w:r>
                </w:p>
              </w:tc>
              <w:tc>
                <w:tcPr>
                  <w:tcW w:w="976" w:type="dxa"/>
                  <w:gridSpan w:val="2"/>
                  <w:shd w:val="clear" w:color="auto" w:fill="auto"/>
                  <w:vAlign w:val="center"/>
                </w:tcPr>
                <w:p w14:paraId="3CC64421">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10123</w:t>
                  </w:r>
                </w:p>
              </w:tc>
              <w:tc>
                <w:tcPr>
                  <w:tcW w:w="854" w:type="dxa"/>
                  <w:gridSpan w:val="2"/>
                  <w:shd w:val="clear" w:color="auto" w:fill="auto"/>
                  <w:vAlign w:val="center"/>
                </w:tcPr>
                <w:p w14:paraId="3D20CF9C">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1293.9</w:t>
                  </w:r>
                </w:p>
              </w:tc>
              <w:tc>
                <w:tcPr>
                  <w:tcW w:w="680" w:type="dxa"/>
                  <w:shd w:val="clear" w:color="auto" w:fill="auto"/>
                  <w:vAlign w:val="center"/>
                </w:tcPr>
                <w:p w14:paraId="19D9521E">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0"/>
                      <w:sz w:val="21"/>
                      <w:szCs w:val="21"/>
                      <w:lang w:val="en-US" w:eastAsia="zh-CN" w:bidi="ar"/>
                    </w:rPr>
                    <w:t>13.1</w:t>
                  </w:r>
                </w:p>
              </w:tc>
              <w:tc>
                <w:tcPr>
                  <w:tcW w:w="641" w:type="dxa"/>
                  <w:shd w:val="clear" w:color="auto" w:fill="auto"/>
                  <w:vAlign w:val="center"/>
                </w:tcPr>
                <w:p w14:paraId="4C8DD114">
                  <w:pPr>
                    <w:keepNext w:val="0"/>
                    <w:keepLines w:val="0"/>
                    <w:pageBreakBefore w:val="0"/>
                    <w:widowControl/>
                    <w:kinsoku/>
                    <w:wordWrap/>
                    <w:overflowPunct/>
                    <w:topLinePunct w:val="0"/>
                    <w:autoSpaceDE/>
                    <w:autoSpaceDN/>
                    <w:bidi w:val="0"/>
                    <w:adjustRightInd w:val="0"/>
                    <w:snapToGrid w:val="0"/>
                    <w:spacing w:line="240" w:lineRule="auto"/>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布袋除尘</w:t>
                  </w:r>
                </w:p>
              </w:tc>
              <w:tc>
                <w:tcPr>
                  <w:tcW w:w="615" w:type="dxa"/>
                  <w:shd w:val="clear" w:color="auto" w:fill="auto"/>
                  <w:vAlign w:val="center"/>
                </w:tcPr>
                <w:p w14:paraId="40F14A8C">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80%</w:t>
                  </w:r>
                </w:p>
              </w:tc>
              <w:tc>
                <w:tcPr>
                  <w:tcW w:w="855" w:type="dxa"/>
                  <w:shd w:val="clear" w:color="auto" w:fill="auto"/>
                  <w:vAlign w:val="center"/>
                </w:tcPr>
                <w:p w14:paraId="469E842F">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0"/>
                      <w:sz w:val="21"/>
                      <w:szCs w:val="21"/>
                      <w:lang w:val="en-US" w:eastAsia="zh-CN" w:bidi="ar"/>
                    </w:rPr>
                    <w:t>258.8</w:t>
                  </w:r>
                </w:p>
              </w:tc>
              <w:tc>
                <w:tcPr>
                  <w:tcW w:w="780" w:type="dxa"/>
                  <w:shd w:val="clear" w:color="auto" w:fill="auto"/>
                  <w:vAlign w:val="center"/>
                </w:tcPr>
                <w:p w14:paraId="24BB2FBC">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0"/>
                      <w:sz w:val="21"/>
                      <w:szCs w:val="21"/>
                      <w:lang w:val="en-US" w:eastAsia="zh-CN" w:bidi="ar"/>
                    </w:rPr>
                    <w:t>2.62</w:t>
                  </w:r>
                </w:p>
              </w:tc>
              <w:tc>
                <w:tcPr>
                  <w:tcW w:w="645" w:type="dxa"/>
                  <w:shd w:val="clear" w:color="auto" w:fill="auto"/>
                  <w:vAlign w:val="center"/>
                </w:tcPr>
                <w:p w14:paraId="48AFF2E8">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1</w:t>
                  </w:r>
                </w:p>
              </w:tc>
            </w:tr>
          </w:tbl>
          <w:p w14:paraId="7D2ABE7E">
            <w:pPr>
              <w:bidi w:val="0"/>
              <w:rPr>
                <w:rFonts w:hint="default"/>
                <w:color w:val="auto"/>
              </w:rPr>
            </w:pPr>
          </w:p>
          <w:p w14:paraId="2DCC6428">
            <w:pPr>
              <w:pStyle w:val="1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（3）废气排放情况汇总</w:t>
            </w:r>
          </w:p>
          <w:p w14:paraId="1A8DBAA4">
            <w:pPr>
              <w:pStyle w:val="10"/>
              <w:snapToGrid w:val="0"/>
              <w:spacing w:line="360" w:lineRule="auto"/>
              <w:ind w:left="420" w:leftChars="200" w:firstLine="0"/>
              <w:rPr>
                <w:rFonts w:hint="default" w:ascii="Times New Roman" w:hAnsi="Times New Roman" w:cs="Times New Roman"/>
                <w:color w:val="auto"/>
                <w:sz w:val="24"/>
              </w:rPr>
            </w:pPr>
            <w:r>
              <w:rPr>
                <w:rFonts w:hint="default" w:ascii="Times New Roman" w:hAnsi="Times New Roman" w:cs="Times New Roman"/>
                <w:color w:val="auto"/>
                <w:sz w:val="24"/>
              </w:rPr>
              <w:t>废气排放情况汇总见表4.2-8~9。</w:t>
            </w:r>
          </w:p>
          <w:p w14:paraId="2C07E06B">
            <w:pPr>
              <w:pStyle w:val="10"/>
              <w:snapToGrid w:val="0"/>
              <w:spacing w:line="360" w:lineRule="auto"/>
              <w:ind w:left="420" w:leftChars="200" w:firstLine="0"/>
              <w:rPr>
                <w:rFonts w:hint="default" w:ascii="Times New Roman" w:hAnsi="Times New Roman" w:cs="Times New Roman"/>
                <w:color w:val="auto"/>
                <w:sz w:val="24"/>
              </w:rPr>
            </w:pPr>
            <w:r>
              <w:rPr>
                <w:rFonts w:hint="default" w:ascii="Times New Roman" w:hAnsi="Times New Roman" w:cs="Times New Roman"/>
                <w:color w:val="auto"/>
                <w:sz w:val="24"/>
              </w:rPr>
              <w:t>（4）现有工程整改（以新代老）</w:t>
            </w:r>
          </w:p>
          <w:p w14:paraId="228A6AEC">
            <w:pPr>
              <w:pStyle w:val="1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在建工程1#车间3条钢丝生产线的剥壳除锈、打磨工序</w:t>
            </w:r>
            <w:r>
              <w:rPr>
                <w:rFonts w:hint="default" w:ascii="Times New Roman" w:hAnsi="Times New Roman" w:cs="Times New Roman"/>
                <w:color w:val="auto"/>
                <w:sz w:val="24"/>
                <w:lang w:val="en-US" w:eastAsia="zh-CN"/>
              </w:rPr>
              <w:t>经滤筒除尘后</w:t>
            </w:r>
            <w:r>
              <w:rPr>
                <w:rFonts w:hint="default" w:ascii="Times New Roman" w:hAnsi="Times New Roman" w:cs="Times New Roman"/>
                <w:color w:val="auto"/>
                <w:sz w:val="24"/>
              </w:rPr>
              <w:t>在车间无组织排放，本评价提出整改措施，将</w:t>
            </w:r>
            <w:r>
              <w:rPr>
                <w:rFonts w:hint="default" w:ascii="Times New Roman" w:hAnsi="Times New Roman" w:cs="Times New Roman"/>
                <w:color w:val="auto"/>
                <w:sz w:val="24"/>
                <w:lang w:val="en-US" w:eastAsia="zh-CN"/>
              </w:rPr>
              <w:t>处理</w:t>
            </w:r>
            <w:r>
              <w:rPr>
                <w:rFonts w:hint="default" w:ascii="Times New Roman" w:hAnsi="Times New Roman" w:cs="Times New Roman"/>
                <w:color w:val="auto"/>
                <w:sz w:val="24"/>
              </w:rPr>
              <w:t>后</w:t>
            </w:r>
            <w:r>
              <w:rPr>
                <w:rFonts w:hint="default" w:ascii="Times New Roman" w:hAnsi="Times New Roman" w:cs="Times New Roman"/>
                <w:color w:val="auto"/>
                <w:sz w:val="24"/>
                <w:lang w:val="en-US" w:eastAsia="zh-CN"/>
              </w:rPr>
              <w:t>的</w:t>
            </w:r>
            <w:r>
              <w:rPr>
                <w:rFonts w:hint="default" w:ascii="Times New Roman" w:hAnsi="Times New Roman" w:cs="Times New Roman"/>
                <w:color w:val="auto"/>
                <w:sz w:val="24"/>
              </w:rPr>
              <w:t>废气由</w:t>
            </w:r>
            <w:r>
              <w:rPr>
                <w:rFonts w:hint="default" w:ascii="Times New Roman" w:hAnsi="Times New Roman" w:cs="Times New Roman"/>
                <w:color w:val="auto"/>
                <w:sz w:val="24"/>
                <w:lang w:val="en-US" w:eastAsia="zh-CN"/>
              </w:rPr>
              <w:t>无组织整改为</w:t>
            </w:r>
            <w:r>
              <w:rPr>
                <w:rFonts w:hint="default" w:ascii="Times New Roman" w:hAnsi="Times New Roman" w:cs="Times New Roman"/>
                <w:color w:val="auto"/>
                <w:sz w:val="24"/>
              </w:rPr>
              <w:t>有组织排放。</w:t>
            </w:r>
          </w:p>
          <w:p w14:paraId="5447C749">
            <w:pPr>
              <w:pStyle w:val="130"/>
              <w:widowControl w:val="0"/>
              <w:spacing w:line="360" w:lineRule="auto"/>
              <w:ind w:firstLine="480"/>
              <w:jc w:val="left"/>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根据《明光新型钢丝生产线项目环评》（报批版），</w:t>
            </w:r>
            <w:r>
              <w:rPr>
                <w:rFonts w:hint="default" w:ascii="Times New Roman" w:hAnsi="Times New Roman" w:cs="Times New Roman"/>
                <w:color w:val="auto"/>
                <w:sz w:val="24"/>
              </w:rPr>
              <w:t>剥壳除锈、打磨工序颗粒物产生量</w:t>
            </w:r>
            <w:r>
              <w:rPr>
                <w:rFonts w:hint="default" w:ascii="Times New Roman" w:hAnsi="Times New Roman" w:cs="Times New Roman"/>
                <w:color w:val="auto"/>
                <w:sz w:val="24"/>
                <w:lang w:val="en-US" w:eastAsia="zh-CN"/>
              </w:rPr>
              <w:t>46.13</w:t>
            </w:r>
            <w:r>
              <w:rPr>
                <w:rFonts w:hint="default" w:ascii="Times New Roman" w:hAnsi="Times New Roman" w:cs="Times New Roman"/>
                <w:color w:val="auto"/>
                <w:sz w:val="24"/>
              </w:rPr>
              <w:t>t/a</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滤筒除尘后排放量0.42t/a，</w:t>
            </w:r>
            <w:r>
              <w:rPr>
                <w:rFonts w:hint="default" w:ascii="Times New Roman" w:hAnsi="Times New Roman" w:cs="Times New Roman"/>
                <w:color w:val="auto"/>
                <w:sz w:val="24"/>
              </w:rPr>
              <w:t>排放浓度为</w:t>
            </w:r>
            <w:r>
              <w:rPr>
                <w:rFonts w:hint="default" w:ascii="Times New Roman" w:hAnsi="Times New Roman" w:cs="Times New Roman"/>
                <w:color w:val="auto"/>
                <w:sz w:val="24"/>
                <w:lang w:val="en-US" w:eastAsia="zh-CN"/>
              </w:rPr>
              <w:t>30</w:t>
            </w:r>
            <w:r>
              <w:rPr>
                <w:rFonts w:hint="default" w:ascii="Times New Roman" w:hAnsi="Times New Roman" w:cs="Times New Roman"/>
                <w:color w:val="auto"/>
                <w:kern w:val="0"/>
                <w:szCs w:val="21"/>
                <w:lang w:bidi="ar"/>
              </w:rPr>
              <w:t>mg/m</w:t>
            </w:r>
            <w:r>
              <w:rPr>
                <w:rFonts w:hint="default" w:ascii="Times New Roman" w:hAnsi="Times New Roman" w:cs="Times New Roman"/>
                <w:color w:val="auto"/>
                <w:kern w:val="0"/>
                <w:szCs w:val="21"/>
                <w:vertAlign w:val="superscript"/>
                <w:lang w:bidi="ar"/>
              </w:rPr>
              <w:t>3</w:t>
            </w:r>
            <w:r>
              <w:rPr>
                <w:rFonts w:hint="default" w:ascii="Times New Roman" w:hAnsi="Times New Roman" w:cs="Times New Roman"/>
                <w:color w:val="auto"/>
                <w:sz w:val="24"/>
              </w:rPr>
              <w:t>，排放速率为</w:t>
            </w:r>
            <w:r>
              <w:rPr>
                <w:rFonts w:hint="default" w:ascii="Times New Roman" w:hAnsi="Times New Roman" w:cs="Times New Roman"/>
                <w:color w:val="auto"/>
                <w:sz w:val="24"/>
                <w:lang w:val="en-US" w:eastAsia="zh-CN"/>
              </w:rPr>
              <w:t>0.16</w:t>
            </w:r>
            <w:r>
              <w:rPr>
                <w:rFonts w:hint="default" w:ascii="Times New Roman" w:hAnsi="Times New Roman" w:cs="Times New Roman"/>
                <w:color w:val="auto"/>
                <w:sz w:val="24"/>
              </w:rPr>
              <w:t>kg/h，</w:t>
            </w:r>
            <w:r>
              <w:rPr>
                <w:rFonts w:hint="default" w:ascii="Times New Roman" w:hAnsi="Times New Roman" w:cs="Times New Roman"/>
                <w:bCs/>
                <w:color w:val="auto"/>
                <w:sz w:val="24"/>
              </w:rPr>
              <w:t>能达到《大气污染物综合排放标准》（GB16297-1996）表2限值（≤120</w:t>
            </w:r>
            <w:r>
              <w:rPr>
                <w:rFonts w:hint="default" w:ascii="Times New Roman" w:hAnsi="Times New Roman" w:cs="Times New Roman"/>
                <w:color w:val="auto"/>
                <w:sz w:val="24"/>
              </w:rPr>
              <w:t>mg/m</w:t>
            </w:r>
            <w:r>
              <w:rPr>
                <w:rFonts w:hint="default" w:ascii="Times New Roman" w:hAnsi="Times New Roman" w:cs="Times New Roman"/>
                <w:color w:val="auto"/>
                <w:sz w:val="24"/>
                <w:vertAlign w:val="superscript"/>
              </w:rPr>
              <w:t>3</w:t>
            </w:r>
            <w:r>
              <w:rPr>
                <w:rFonts w:hint="default" w:ascii="Times New Roman" w:hAnsi="Times New Roman" w:cs="Times New Roman"/>
                <w:bCs/>
                <w:color w:val="auto"/>
                <w:sz w:val="24"/>
              </w:rPr>
              <w:t>，4.94kg/h），详</w:t>
            </w:r>
            <w:r>
              <w:rPr>
                <w:rFonts w:hint="default" w:ascii="Times New Roman" w:hAnsi="Times New Roman" w:cs="Times New Roman"/>
                <w:color w:val="auto"/>
                <w:sz w:val="24"/>
              </w:rPr>
              <w:t>见表4.2-10。</w:t>
            </w:r>
          </w:p>
          <w:p w14:paraId="0B8FBD15">
            <w:pPr>
              <w:bidi w:val="0"/>
              <w:rPr>
                <w:rFonts w:hint="default"/>
                <w:color w:val="auto"/>
              </w:rPr>
            </w:pPr>
          </w:p>
          <w:p w14:paraId="34D08EAE">
            <w:pPr>
              <w:bidi w:val="0"/>
              <w:rPr>
                <w:rFonts w:hint="default"/>
                <w:color w:val="auto"/>
              </w:rPr>
            </w:pPr>
          </w:p>
          <w:p w14:paraId="6FFB9956">
            <w:pPr>
              <w:bidi w:val="0"/>
              <w:rPr>
                <w:rFonts w:hint="default"/>
                <w:color w:val="auto"/>
              </w:rPr>
            </w:pPr>
          </w:p>
          <w:p w14:paraId="12C6A4C1">
            <w:pPr>
              <w:bidi w:val="0"/>
              <w:rPr>
                <w:rFonts w:hint="default"/>
                <w:color w:val="auto"/>
              </w:rPr>
            </w:pPr>
          </w:p>
          <w:p w14:paraId="14AE4CB9">
            <w:pPr>
              <w:bidi w:val="0"/>
              <w:rPr>
                <w:rFonts w:hint="default"/>
                <w:color w:val="auto"/>
              </w:rPr>
            </w:pPr>
          </w:p>
          <w:p w14:paraId="730B1797">
            <w:pPr>
              <w:bidi w:val="0"/>
              <w:rPr>
                <w:rFonts w:hint="default"/>
                <w:color w:val="auto"/>
              </w:rPr>
            </w:pPr>
          </w:p>
          <w:p w14:paraId="797EA317">
            <w:pPr>
              <w:bidi w:val="0"/>
              <w:rPr>
                <w:rFonts w:hint="default"/>
                <w:color w:val="auto"/>
              </w:rPr>
            </w:pPr>
          </w:p>
          <w:p w14:paraId="3B320E4B">
            <w:pPr>
              <w:bidi w:val="0"/>
              <w:rPr>
                <w:rFonts w:hint="default"/>
                <w:color w:val="auto"/>
              </w:rPr>
            </w:pPr>
          </w:p>
          <w:p w14:paraId="4A1F6F6F">
            <w:pPr>
              <w:bidi w:val="0"/>
              <w:rPr>
                <w:rFonts w:hint="default"/>
                <w:color w:val="auto"/>
              </w:rPr>
            </w:pPr>
          </w:p>
          <w:p w14:paraId="16EC3750">
            <w:pPr>
              <w:bidi w:val="0"/>
              <w:rPr>
                <w:rFonts w:hint="default"/>
                <w:color w:val="auto"/>
              </w:rPr>
            </w:pPr>
          </w:p>
        </w:tc>
      </w:tr>
    </w:tbl>
    <w:p w14:paraId="1EE8A959">
      <w:pPr>
        <w:pStyle w:val="30"/>
        <w:spacing w:before="0" w:beforeAutospacing="0" w:after="0" w:afterAutospacing="0"/>
        <w:jc w:val="both"/>
        <w:outlineLvl w:val="0"/>
        <w:rPr>
          <w:rFonts w:hint="default" w:ascii="Times New Roman" w:hAnsi="Times New Roman" w:eastAsia="黑体" w:cs="Times New Roman"/>
          <w:snapToGrid w:val="0"/>
          <w:color w:val="auto"/>
          <w:sz w:val="32"/>
          <w:szCs w:val="32"/>
        </w:rPr>
        <w:sectPr>
          <w:pgSz w:w="11905" w:h="16838"/>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p w14:paraId="4502592A">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bookmarkStart w:id="214" w:name="_Toc19893"/>
      <w:r>
        <w:rPr>
          <w:rFonts w:hint="default" w:ascii="Times New Roman" w:hAnsi="Times New Roman" w:eastAsia="黑体" w:cs="Times New Roman"/>
          <w:b w:val="0"/>
          <w:bCs/>
          <w:color w:val="auto"/>
        </w:rPr>
        <w:t xml:space="preserve">表4.2-8 </w:t>
      </w:r>
      <w:r>
        <w:rPr>
          <w:rFonts w:hint="eastAsia" w:eastAsia="黑体" w:cs="Times New Roman"/>
          <w:b w:val="0"/>
          <w:bCs/>
          <w:color w:val="auto"/>
          <w:lang w:val="en-US" w:eastAsia="zh-CN"/>
        </w:rPr>
        <w:t xml:space="preserve"> </w:t>
      </w:r>
      <w:r>
        <w:rPr>
          <w:rFonts w:hint="default" w:ascii="Times New Roman" w:hAnsi="Times New Roman" w:eastAsia="黑体" w:cs="Times New Roman"/>
          <w:b w:val="0"/>
          <w:bCs/>
          <w:color w:val="auto"/>
        </w:rPr>
        <w:t>废气有组织排放情况汇总表</w:t>
      </w:r>
      <w:bookmarkEnd w:id="214"/>
      <w:r>
        <w:rPr>
          <w:rFonts w:hint="default" w:ascii="Times New Roman" w:hAnsi="Times New Roman" w:eastAsia="黑体" w:cs="Times New Roman"/>
          <w:b w:val="0"/>
          <w:bCs/>
          <w:color w:val="auto"/>
        </w:rPr>
        <w:t xml:space="preserve"> </w:t>
      </w:r>
    </w:p>
    <w:tbl>
      <w:tblPr>
        <w:tblStyle w:val="34"/>
        <w:tblW w:w="4994" w:type="pct"/>
        <w:tblInd w:w="0" w:type="dxa"/>
        <w:tblLayout w:type="fixed"/>
        <w:tblCellMar>
          <w:top w:w="0" w:type="dxa"/>
          <w:left w:w="108" w:type="dxa"/>
          <w:bottom w:w="0" w:type="dxa"/>
          <w:right w:w="108" w:type="dxa"/>
        </w:tblCellMar>
      </w:tblPr>
      <w:tblGrid>
        <w:gridCol w:w="739"/>
        <w:gridCol w:w="873"/>
        <w:gridCol w:w="947"/>
        <w:gridCol w:w="1098"/>
        <w:gridCol w:w="719"/>
        <w:gridCol w:w="1063"/>
        <w:gridCol w:w="950"/>
        <w:gridCol w:w="1146"/>
        <w:gridCol w:w="722"/>
        <w:gridCol w:w="986"/>
        <w:gridCol w:w="754"/>
        <w:gridCol w:w="821"/>
        <w:gridCol w:w="850"/>
        <w:gridCol w:w="766"/>
        <w:gridCol w:w="531"/>
        <w:gridCol w:w="554"/>
        <w:gridCol w:w="679"/>
        <w:gridCol w:w="681"/>
      </w:tblGrid>
      <w:tr w14:paraId="2CB6C04D">
        <w:tblPrEx>
          <w:tblCellMar>
            <w:top w:w="0" w:type="dxa"/>
            <w:left w:w="108" w:type="dxa"/>
            <w:bottom w:w="0" w:type="dxa"/>
            <w:right w:w="108" w:type="dxa"/>
          </w:tblCellMar>
        </w:tblPrEx>
        <w:trPr>
          <w:trHeight w:val="363" w:hRule="atLeast"/>
        </w:trPr>
        <w:tc>
          <w:tcPr>
            <w:tcW w:w="24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0241A52">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编号</w:t>
            </w:r>
          </w:p>
        </w:tc>
        <w:tc>
          <w:tcPr>
            <w:tcW w:w="29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F9E34AC">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废气源</w:t>
            </w:r>
          </w:p>
        </w:tc>
        <w:tc>
          <w:tcPr>
            <w:tcW w:w="31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B1F73CF">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废气量m</w:t>
            </w:r>
            <w:r>
              <w:rPr>
                <w:rFonts w:hint="default" w:ascii="Times New Roman" w:hAnsi="Times New Roman" w:cs="Times New Roman"/>
                <w:color w:val="auto"/>
                <w:kern w:val="0"/>
                <w:szCs w:val="21"/>
                <w:vertAlign w:val="superscript"/>
                <w:lang w:bidi="ar"/>
              </w:rPr>
              <w:t>3</w:t>
            </w:r>
            <w:r>
              <w:rPr>
                <w:rFonts w:hint="default" w:ascii="Times New Roman" w:hAnsi="Times New Roman" w:cs="Times New Roman"/>
                <w:color w:val="auto"/>
                <w:kern w:val="0"/>
                <w:szCs w:val="21"/>
                <w:lang w:bidi="ar"/>
              </w:rPr>
              <w:t>/h</w:t>
            </w:r>
          </w:p>
        </w:tc>
        <w:tc>
          <w:tcPr>
            <w:tcW w:w="36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BD9451B">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废气因子</w:t>
            </w:r>
          </w:p>
        </w:tc>
        <w:tc>
          <w:tcPr>
            <w:tcW w:w="24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714C6D0">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核算方法</w:t>
            </w:r>
          </w:p>
        </w:tc>
        <w:tc>
          <w:tcPr>
            <w:tcW w:w="67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0585885">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产生</w:t>
            </w:r>
          </w:p>
        </w:tc>
        <w:tc>
          <w:tcPr>
            <w:tcW w:w="38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30A0471">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处理</w:t>
            </w:r>
          </w:p>
          <w:p w14:paraId="31B451B6">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措施</w:t>
            </w:r>
          </w:p>
        </w:tc>
        <w:tc>
          <w:tcPr>
            <w:tcW w:w="24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3D5922C">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处理效率</w:t>
            </w:r>
          </w:p>
        </w:tc>
        <w:tc>
          <w:tcPr>
            <w:tcW w:w="86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18265E0">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排放</w:t>
            </w:r>
          </w:p>
        </w:tc>
        <w:tc>
          <w:tcPr>
            <w:tcW w:w="54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085FE0F">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排放标准</w:t>
            </w:r>
          </w:p>
        </w:tc>
        <w:tc>
          <w:tcPr>
            <w:tcW w:w="59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12B57A6">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排气筒</w:t>
            </w:r>
          </w:p>
        </w:tc>
        <w:tc>
          <w:tcPr>
            <w:tcW w:w="22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543E9EF">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排放时间</w:t>
            </w:r>
          </w:p>
        </w:tc>
      </w:tr>
      <w:tr w14:paraId="09E0FA96">
        <w:tblPrEx>
          <w:tblCellMar>
            <w:top w:w="0" w:type="dxa"/>
            <w:left w:w="108" w:type="dxa"/>
            <w:bottom w:w="0" w:type="dxa"/>
            <w:right w:w="108" w:type="dxa"/>
          </w:tblCellMar>
        </w:tblPrEx>
        <w:trPr>
          <w:trHeight w:val="363" w:hRule="atLeast"/>
        </w:trPr>
        <w:tc>
          <w:tcPr>
            <w:tcW w:w="2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08DCE1">
            <w:pPr>
              <w:widowControl/>
              <w:spacing w:line="300" w:lineRule="exact"/>
              <w:jc w:val="center"/>
              <w:rPr>
                <w:rFonts w:hint="default" w:ascii="Times New Roman" w:hAnsi="Times New Roman" w:cs="Times New Roman"/>
                <w:color w:val="auto"/>
                <w:szCs w:val="21"/>
              </w:rPr>
            </w:pPr>
          </w:p>
        </w:tc>
        <w:tc>
          <w:tcPr>
            <w:tcW w:w="29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CBE638">
            <w:pPr>
              <w:widowControl/>
              <w:spacing w:line="300" w:lineRule="exact"/>
              <w:jc w:val="center"/>
              <w:rPr>
                <w:rFonts w:hint="default" w:ascii="Times New Roman" w:hAnsi="Times New Roman" w:cs="Times New Roman"/>
                <w:color w:val="auto"/>
                <w:szCs w:val="21"/>
              </w:rPr>
            </w:pPr>
          </w:p>
        </w:tc>
        <w:tc>
          <w:tcPr>
            <w:tcW w:w="31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631B49">
            <w:pPr>
              <w:widowControl/>
              <w:spacing w:line="300" w:lineRule="exact"/>
              <w:jc w:val="center"/>
              <w:rPr>
                <w:rFonts w:hint="default" w:ascii="Times New Roman" w:hAnsi="Times New Roman" w:cs="Times New Roman"/>
                <w:color w:val="auto"/>
                <w:szCs w:val="21"/>
              </w:rPr>
            </w:pPr>
          </w:p>
        </w:tc>
        <w:tc>
          <w:tcPr>
            <w:tcW w:w="36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A61EF4">
            <w:pPr>
              <w:widowControl/>
              <w:spacing w:line="300" w:lineRule="exact"/>
              <w:jc w:val="center"/>
              <w:rPr>
                <w:rFonts w:hint="default" w:ascii="Times New Roman" w:hAnsi="Times New Roman" w:cs="Times New Roman"/>
                <w:color w:val="auto"/>
                <w:szCs w:val="21"/>
              </w:rPr>
            </w:pPr>
          </w:p>
        </w:tc>
        <w:tc>
          <w:tcPr>
            <w:tcW w:w="24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440B9F">
            <w:pPr>
              <w:widowControl/>
              <w:spacing w:line="300" w:lineRule="exact"/>
              <w:jc w:val="center"/>
              <w:rPr>
                <w:rFonts w:hint="default" w:ascii="Times New Roman" w:hAnsi="Times New Roman" w:cs="Times New Roman"/>
                <w:color w:val="auto"/>
                <w:szCs w:val="21"/>
              </w:rPr>
            </w:pP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C7CDF">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产生浓度</w:t>
            </w:r>
          </w:p>
        </w:tc>
        <w:tc>
          <w:tcPr>
            <w:tcW w:w="3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608228">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年产生量</w:t>
            </w:r>
          </w:p>
        </w:tc>
        <w:tc>
          <w:tcPr>
            <w:tcW w:w="38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B6855C">
            <w:pPr>
              <w:widowControl/>
              <w:spacing w:line="300" w:lineRule="exact"/>
              <w:jc w:val="center"/>
              <w:rPr>
                <w:rFonts w:hint="default" w:ascii="Times New Roman" w:hAnsi="Times New Roman" w:cs="Times New Roman"/>
                <w:color w:val="auto"/>
                <w:szCs w:val="21"/>
              </w:rPr>
            </w:pPr>
          </w:p>
        </w:tc>
        <w:tc>
          <w:tcPr>
            <w:tcW w:w="24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54BF62">
            <w:pPr>
              <w:widowControl/>
              <w:spacing w:line="300" w:lineRule="exact"/>
              <w:jc w:val="center"/>
              <w:rPr>
                <w:rFonts w:hint="default" w:ascii="Times New Roman" w:hAnsi="Times New Roman" w:cs="Times New Roman"/>
                <w:color w:val="auto"/>
                <w:szCs w:val="21"/>
              </w:rPr>
            </w:pPr>
          </w:p>
        </w:tc>
        <w:tc>
          <w:tcPr>
            <w:tcW w:w="3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3CF66E">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排放</w:t>
            </w:r>
          </w:p>
          <w:p w14:paraId="0DFADAA4">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浓度</w:t>
            </w:r>
          </w:p>
        </w:tc>
        <w:tc>
          <w:tcPr>
            <w:tcW w:w="2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323CA3">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排放速率</w:t>
            </w:r>
          </w:p>
        </w:tc>
        <w:tc>
          <w:tcPr>
            <w:tcW w:w="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093A5F">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年排放量</w:t>
            </w:r>
          </w:p>
        </w:tc>
        <w:tc>
          <w:tcPr>
            <w:tcW w:w="2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FC3ECF">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排放浓度</w:t>
            </w:r>
          </w:p>
        </w:tc>
        <w:tc>
          <w:tcPr>
            <w:tcW w:w="2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DE5378">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排放速率</w:t>
            </w:r>
          </w:p>
        </w:tc>
        <w:tc>
          <w:tcPr>
            <w:tcW w:w="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8A12A0">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H</w:t>
            </w:r>
          </w:p>
        </w:tc>
        <w:tc>
          <w:tcPr>
            <w:tcW w:w="1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EB430E">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内径</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1D3D4D">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烟气温度</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C8E7E4">
            <w:pPr>
              <w:widowControl/>
              <w:spacing w:line="300" w:lineRule="exact"/>
              <w:jc w:val="center"/>
              <w:rPr>
                <w:rFonts w:hint="default" w:ascii="Times New Roman" w:hAnsi="Times New Roman" w:cs="Times New Roman"/>
                <w:color w:val="auto"/>
                <w:szCs w:val="21"/>
              </w:rPr>
            </w:pPr>
          </w:p>
        </w:tc>
      </w:tr>
      <w:tr w14:paraId="18C73044">
        <w:tblPrEx>
          <w:tblCellMar>
            <w:top w:w="0" w:type="dxa"/>
            <w:left w:w="108" w:type="dxa"/>
            <w:bottom w:w="0" w:type="dxa"/>
            <w:right w:w="108" w:type="dxa"/>
          </w:tblCellMar>
        </w:tblPrEx>
        <w:trPr>
          <w:trHeight w:val="363" w:hRule="atLeast"/>
        </w:trPr>
        <w:tc>
          <w:tcPr>
            <w:tcW w:w="2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652EC7">
            <w:pPr>
              <w:widowControl/>
              <w:spacing w:line="300" w:lineRule="exact"/>
              <w:jc w:val="center"/>
              <w:rPr>
                <w:rFonts w:hint="default" w:ascii="Times New Roman" w:hAnsi="Times New Roman" w:cs="Times New Roman"/>
                <w:color w:val="auto"/>
                <w:szCs w:val="21"/>
              </w:rPr>
            </w:pPr>
          </w:p>
        </w:tc>
        <w:tc>
          <w:tcPr>
            <w:tcW w:w="29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720354">
            <w:pPr>
              <w:widowControl/>
              <w:spacing w:line="300" w:lineRule="exact"/>
              <w:jc w:val="center"/>
              <w:rPr>
                <w:rFonts w:hint="default" w:ascii="Times New Roman" w:hAnsi="Times New Roman" w:cs="Times New Roman"/>
                <w:color w:val="auto"/>
                <w:szCs w:val="21"/>
              </w:rPr>
            </w:pPr>
          </w:p>
        </w:tc>
        <w:tc>
          <w:tcPr>
            <w:tcW w:w="31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C9F376">
            <w:pPr>
              <w:widowControl/>
              <w:spacing w:line="300" w:lineRule="exact"/>
              <w:jc w:val="center"/>
              <w:rPr>
                <w:rFonts w:hint="default" w:ascii="Times New Roman" w:hAnsi="Times New Roman" w:cs="Times New Roman"/>
                <w:color w:val="auto"/>
                <w:szCs w:val="21"/>
              </w:rPr>
            </w:pPr>
          </w:p>
        </w:tc>
        <w:tc>
          <w:tcPr>
            <w:tcW w:w="36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E95784">
            <w:pPr>
              <w:widowControl/>
              <w:spacing w:line="300" w:lineRule="exact"/>
              <w:jc w:val="center"/>
              <w:rPr>
                <w:rFonts w:hint="default" w:ascii="Times New Roman" w:hAnsi="Times New Roman" w:cs="Times New Roman"/>
                <w:color w:val="auto"/>
                <w:szCs w:val="21"/>
              </w:rPr>
            </w:pPr>
          </w:p>
        </w:tc>
        <w:tc>
          <w:tcPr>
            <w:tcW w:w="24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241D56">
            <w:pPr>
              <w:widowControl/>
              <w:spacing w:line="300" w:lineRule="exact"/>
              <w:jc w:val="center"/>
              <w:rPr>
                <w:rFonts w:hint="default" w:ascii="Times New Roman" w:hAnsi="Times New Roman" w:cs="Times New Roman"/>
                <w:color w:val="auto"/>
                <w:szCs w:val="21"/>
              </w:rPr>
            </w:pP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89592C">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mg/m</w:t>
            </w:r>
            <w:r>
              <w:rPr>
                <w:rFonts w:hint="default" w:ascii="Times New Roman" w:hAnsi="Times New Roman" w:cs="Times New Roman"/>
                <w:color w:val="auto"/>
                <w:kern w:val="0"/>
                <w:szCs w:val="21"/>
                <w:vertAlign w:val="superscript"/>
                <w:lang w:bidi="ar"/>
              </w:rPr>
              <w:t>3</w:t>
            </w:r>
          </w:p>
        </w:tc>
        <w:tc>
          <w:tcPr>
            <w:tcW w:w="3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C82C31">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t/a</w:t>
            </w:r>
          </w:p>
        </w:tc>
        <w:tc>
          <w:tcPr>
            <w:tcW w:w="38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5960FC">
            <w:pPr>
              <w:widowControl/>
              <w:spacing w:line="300" w:lineRule="exact"/>
              <w:jc w:val="center"/>
              <w:rPr>
                <w:rFonts w:hint="default" w:ascii="Times New Roman" w:hAnsi="Times New Roman" w:cs="Times New Roman"/>
                <w:color w:val="auto"/>
                <w:szCs w:val="21"/>
              </w:rPr>
            </w:pPr>
          </w:p>
        </w:tc>
        <w:tc>
          <w:tcPr>
            <w:tcW w:w="24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FCE83F">
            <w:pPr>
              <w:widowControl/>
              <w:spacing w:line="300" w:lineRule="exact"/>
              <w:jc w:val="center"/>
              <w:rPr>
                <w:rFonts w:hint="default" w:ascii="Times New Roman" w:hAnsi="Times New Roman" w:cs="Times New Roman"/>
                <w:color w:val="auto"/>
                <w:szCs w:val="21"/>
              </w:rPr>
            </w:pPr>
          </w:p>
        </w:tc>
        <w:tc>
          <w:tcPr>
            <w:tcW w:w="3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734E8E">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mg/m</w:t>
            </w:r>
            <w:r>
              <w:rPr>
                <w:rFonts w:hint="default" w:ascii="Times New Roman" w:hAnsi="Times New Roman" w:cs="Times New Roman"/>
                <w:color w:val="auto"/>
                <w:kern w:val="0"/>
                <w:szCs w:val="21"/>
                <w:vertAlign w:val="superscript"/>
                <w:lang w:bidi="ar"/>
              </w:rPr>
              <w:t>3</w:t>
            </w:r>
          </w:p>
        </w:tc>
        <w:tc>
          <w:tcPr>
            <w:tcW w:w="2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36E8D1">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kg/h</w:t>
            </w:r>
          </w:p>
        </w:tc>
        <w:tc>
          <w:tcPr>
            <w:tcW w:w="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DCFE54">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t/a</w:t>
            </w:r>
          </w:p>
        </w:tc>
        <w:tc>
          <w:tcPr>
            <w:tcW w:w="2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502504">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mg/m</w:t>
            </w:r>
            <w:r>
              <w:rPr>
                <w:rFonts w:hint="default" w:ascii="Times New Roman" w:hAnsi="Times New Roman" w:cs="Times New Roman"/>
                <w:color w:val="auto"/>
                <w:kern w:val="0"/>
                <w:szCs w:val="21"/>
                <w:vertAlign w:val="superscript"/>
                <w:lang w:bidi="ar"/>
              </w:rPr>
              <w:t>3</w:t>
            </w:r>
          </w:p>
        </w:tc>
        <w:tc>
          <w:tcPr>
            <w:tcW w:w="2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878225">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kg/h</w:t>
            </w:r>
          </w:p>
        </w:tc>
        <w:tc>
          <w:tcPr>
            <w:tcW w:w="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F1DCF5">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m</w:t>
            </w:r>
          </w:p>
        </w:tc>
        <w:tc>
          <w:tcPr>
            <w:tcW w:w="1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540128">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m</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C3132C">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751E06">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h</w:t>
            </w:r>
          </w:p>
        </w:tc>
      </w:tr>
      <w:tr w14:paraId="27357B8A">
        <w:tblPrEx>
          <w:tblCellMar>
            <w:top w:w="0" w:type="dxa"/>
            <w:left w:w="108" w:type="dxa"/>
            <w:bottom w:w="0" w:type="dxa"/>
            <w:right w:w="108" w:type="dxa"/>
          </w:tblCellMar>
        </w:tblPrEx>
        <w:trPr>
          <w:trHeight w:val="363" w:hRule="atLeast"/>
        </w:trPr>
        <w:tc>
          <w:tcPr>
            <w:tcW w:w="2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163CF3">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DA007</w:t>
            </w:r>
          </w:p>
        </w:tc>
        <w:tc>
          <w:tcPr>
            <w:tcW w:w="2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46EC2">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4#车间剥壳除锈、打磨工序</w:t>
            </w:r>
          </w:p>
        </w:tc>
        <w:tc>
          <w:tcPr>
            <w:tcW w:w="3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64B97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10123</w:t>
            </w:r>
          </w:p>
        </w:tc>
        <w:tc>
          <w:tcPr>
            <w:tcW w:w="3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EC9F3D">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颗粒物</w:t>
            </w:r>
          </w:p>
        </w:tc>
        <w:tc>
          <w:tcPr>
            <w:tcW w:w="2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6D5A91">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系数法</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CB78E9">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val="en-US" w:eastAsia="zh-CN" w:bidi="ar"/>
              </w:rPr>
              <w:t>1293.9</w:t>
            </w:r>
          </w:p>
        </w:tc>
        <w:tc>
          <w:tcPr>
            <w:tcW w:w="3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D57F5">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val="en-US" w:eastAsia="zh-CN" w:bidi="ar"/>
              </w:rPr>
              <w:t>65.7</w:t>
            </w:r>
          </w:p>
        </w:tc>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52A0CB">
            <w:pPr>
              <w:widowControl/>
              <w:spacing w:line="300" w:lineRule="exact"/>
              <w:jc w:val="center"/>
              <w:textAlignment w:val="center"/>
              <w:rPr>
                <w:rFonts w:hint="default" w:ascii="Times New Roman" w:hAnsi="Times New Roman" w:cs="Times New Roman"/>
                <w:color w:val="auto"/>
                <w:kern w:val="0"/>
                <w:szCs w:val="21"/>
                <w:lang w:val="en-US" w:eastAsia="zh-CN" w:bidi="ar"/>
              </w:rPr>
            </w:pPr>
            <w:r>
              <w:rPr>
                <w:rFonts w:hint="default" w:ascii="Times New Roman" w:hAnsi="Times New Roman" w:cs="Times New Roman"/>
                <w:color w:val="auto"/>
                <w:kern w:val="0"/>
                <w:szCs w:val="21"/>
                <w:lang w:val="en-US" w:eastAsia="zh-CN" w:bidi="ar"/>
              </w:rPr>
              <w:t>滤筒</w:t>
            </w:r>
          </w:p>
          <w:p w14:paraId="5CBB71FC">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val="en-US" w:eastAsia="zh-CN" w:bidi="ar"/>
              </w:rPr>
              <w:t>除尘</w:t>
            </w:r>
          </w:p>
        </w:tc>
        <w:tc>
          <w:tcPr>
            <w:tcW w:w="2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44091E">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9</w:t>
            </w:r>
            <w:r>
              <w:rPr>
                <w:rFonts w:hint="default" w:ascii="Times New Roman" w:hAnsi="Times New Roman" w:cs="Times New Roman"/>
                <w:color w:val="auto"/>
                <w:kern w:val="0"/>
                <w:szCs w:val="21"/>
                <w:lang w:val="en-US" w:eastAsia="zh-CN" w:bidi="ar"/>
              </w:rPr>
              <w:t>9</w:t>
            </w:r>
            <w:r>
              <w:rPr>
                <w:rFonts w:hint="default" w:ascii="Times New Roman" w:hAnsi="Times New Roman" w:cs="Times New Roman"/>
                <w:color w:val="auto"/>
                <w:kern w:val="0"/>
                <w:szCs w:val="21"/>
                <w:lang w:bidi="ar"/>
              </w:rPr>
              <w:t>%</w:t>
            </w:r>
          </w:p>
        </w:tc>
        <w:tc>
          <w:tcPr>
            <w:tcW w:w="3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FAEB21">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val="en-US" w:eastAsia="zh-CN" w:bidi="ar"/>
              </w:rPr>
              <w:t>12.939</w:t>
            </w:r>
          </w:p>
        </w:tc>
        <w:tc>
          <w:tcPr>
            <w:tcW w:w="2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210E51">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val="en-US" w:eastAsia="zh-CN" w:bidi="ar"/>
              </w:rPr>
              <w:t>0.131</w:t>
            </w:r>
          </w:p>
        </w:tc>
        <w:tc>
          <w:tcPr>
            <w:tcW w:w="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9BD7C0">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val="en-US" w:eastAsia="zh-CN" w:bidi="ar"/>
              </w:rPr>
              <w:t>0.657</w:t>
            </w:r>
          </w:p>
        </w:tc>
        <w:tc>
          <w:tcPr>
            <w:tcW w:w="2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DC01F0">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120</w:t>
            </w:r>
          </w:p>
        </w:tc>
        <w:tc>
          <w:tcPr>
            <w:tcW w:w="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D3E5E">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4.94</w:t>
            </w:r>
          </w:p>
        </w:tc>
        <w:tc>
          <w:tcPr>
            <w:tcW w:w="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A6D126">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18</w:t>
            </w:r>
          </w:p>
        </w:tc>
        <w:tc>
          <w:tcPr>
            <w:tcW w:w="1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E2BA59">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0.5</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2027A4">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常温</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EBA84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5016</w:t>
            </w:r>
          </w:p>
        </w:tc>
      </w:tr>
      <w:tr w14:paraId="4B373839">
        <w:tblPrEx>
          <w:tblCellMar>
            <w:top w:w="0" w:type="dxa"/>
            <w:left w:w="108" w:type="dxa"/>
            <w:bottom w:w="0" w:type="dxa"/>
            <w:right w:w="108" w:type="dxa"/>
          </w:tblCellMar>
        </w:tblPrEx>
        <w:trPr>
          <w:trHeight w:val="363" w:hRule="atLeast"/>
        </w:trPr>
        <w:tc>
          <w:tcPr>
            <w:tcW w:w="248" w:type="pct"/>
            <w:tcBorders>
              <w:top w:val="single" w:color="000000" w:sz="4" w:space="0"/>
              <w:left w:val="single" w:color="000000" w:sz="4" w:space="0"/>
              <w:right w:val="single" w:color="000000" w:sz="4" w:space="0"/>
            </w:tcBorders>
            <w:shd w:val="clear" w:color="auto" w:fill="auto"/>
            <w:vAlign w:val="center"/>
          </w:tcPr>
          <w:p w14:paraId="15EE538E">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DA008</w:t>
            </w:r>
          </w:p>
        </w:tc>
        <w:tc>
          <w:tcPr>
            <w:tcW w:w="293" w:type="pct"/>
            <w:tcBorders>
              <w:top w:val="single" w:color="000000" w:sz="4" w:space="0"/>
              <w:left w:val="single" w:color="000000" w:sz="4" w:space="0"/>
              <w:right w:val="single" w:color="000000" w:sz="4" w:space="0"/>
            </w:tcBorders>
            <w:shd w:val="clear" w:color="auto" w:fill="auto"/>
            <w:vAlign w:val="center"/>
          </w:tcPr>
          <w:p w14:paraId="5234D9F9">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表面处理废气</w:t>
            </w:r>
          </w:p>
        </w:tc>
        <w:tc>
          <w:tcPr>
            <w:tcW w:w="318" w:type="pct"/>
            <w:tcBorders>
              <w:top w:val="single" w:color="000000" w:sz="4" w:space="0"/>
              <w:left w:val="single" w:color="000000" w:sz="4" w:space="0"/>
              <w:right w:val="single" w:color="000000" w:sz="4" w:space="0"/>
            </w:tcBorders>
            <w:shd w:val="clear" w:color="auto" w:fill="auto"/>
            <w:vAlign w:val="center"/>
          </w:tcPr>
          <w:p w14:paraId="29121B99">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30000</w:t>
            </w:r>
          </w:p>
        </w:tc>
        <w:tc>
          <w:tcPr>
            <w:tcW w:w="3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806AE3">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HCl</w:t>
            </w:r>
          </w:p>
        </w:tc>
        <w:tc>
          <w:tcPr>
            <w:tcW w:w="2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79FF25">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系数法</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3F6152">
            <w:pPr>
              <w:widowControl/>
              <w:spacing w:line="300" w:lineRule="exact"/>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kern w:val="0"/>
                <w:szCs w:val="21"/>
                <w:lang w:bidi="ar"/>
              </w:rPr>
              <w:t>43</w:t>
            </w:r>
            <w:r>
              <w:rPr>
                <w:rFonts w:hint="default" w:ascii="Times New Roman" w:hAnsi="Times New Roman" w:cs="Times New Roman"/>
                <w:color w:val="auto"/>
                <w:kern w:val="0"/>
                <w:szCs w:val="21"/>
                <w:lang w:val="en-US" w:eastAsia="zh-CN" w:bidi="ar"/>
              </w:rPr>
              <w:t>3.965</w:t>
            </w:r>
          </w:p>
        </w:tc>
        <w:tc>
          <w:tcPr>
            <w:tcW w:w="3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D6DCCA">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93.7</w:t>
            </w:r>
            <w:r>
              <w:rPr>
                <w:rFonts w:hint="default" w:ascii="Times New Roman" w:hAnsi="Times New Roman" w:cs="Times New Roman"/>
                <w:color w:val="auto"/>
                <w:kern w:val="0"/>
                <w:szCs w:val="21"/>
                <w:lang w:val="en-US" w:eastAsia="zh-CN" w:bidi="ar"/>
              </w:rPr>
              <w:t>3</w:t>
            </w:r>
            <w:r>
              <w:rPr>
                <w:rFonts w:hint="default" w:ascii="Times New Roman" w:hAnsi="Times New Roman" w:cs="Times New Roman"/>
                <w:color w:val="auto"/>
                <w:kern w:val="0"/>
                <w:szCs w:val="21"/>
                <w:lang w:bidi="ar"/>
              </w:rPr>
              <w:t>7</w:t>
            </w:r>
          </w:p>
        </w:tc>
        <w:tc>
          <w:tcPr>
            <w:tcW w:w="385" w:type="pct"/>
            <w:tcBorders>
              <w:top w:val="single" w:color="000000" w:sz="4" w:space="0"/>
              <w:left w:val="single" w:color="000000" w:sz="4" w:space="0"/>
              <w:right w:val="single" w:color="000000" w:sz="4" w:space="0"/>
            </w:tcBorders>
            <w:shd w:val="clear" w:color="auto" w:fill="auto"/>
            <w:vAlign w:val="center"/>
          </w:tcPr>
          <w:p w14:paraId="26AEA18B">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碱洗喷淋塔（收集率98%）</w:t>
            </w:r>
          </w:p>
        </w:tc>
        <w:tc>
          <w:tcPr>
            <w:tcW w:w="2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99B892">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95%</w:t>
            </w:r>
          </w:p>
        </w:tc>
        <w:tc>
          <w:tcPr>
            <w:tcW w:w="3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86F595">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21.267</w:t>
            </w:r>
          </w:p>
        </w:tc>
        <w:tc>
          <w:tcPr>
            <w:tcW w:w="2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1B62C1">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0.638</w:t>
            </w:r>
          </w:p>
        </w:tc>
        <w:tc>
          <w:tcPr>
            <w:tcW w:w="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EA4F96">
            <w:pPr>
              <w:widowControl/>
              <w:spacing w:line="300" w:lineRule="exact"/>
              <w:jc w:val="center"/>
              <w:textAlignment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kern w:val="0"/>
                <w:szCs w:val="21"/>
                <w:lang w:bidi="ar"/>
              </w:rPr>
              <w:t>4.59</w:t>
            </w:r>
            <w:r>
              <w:rPr>
                <w:rFonts w:hint="default" w:ascii="Times New Roman" w:hAnsi="Times New Roman" w:cs="Times New Roman"/>
                <w:color w:val="auto"/>
                <w:kern w:val="0"/>
                <w:szCs w:val="21"/>
                <w:lang w:val="en-US" w:eastAsia="zh-CN" w:bidi="ar"/>
              </w:rPr>
              <w:t>3</w:t>
            </w:r>
          </w:p>
        </w:tc>
        <w:tc>
          <w:tcPr>
            <w:tcW w:w="2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0EAA03">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30</w:t>
            </w:r>
          </w:p>
        </w:tc>
        <w:tc>
          <w:tcPr>
            <w:tcW w:w="2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BC97F3">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w:t>
            </w:r>
          </w:p>
        </w:tc>
        <w:tc>
          <w:tcPr>
            <w:tcW w:w="178" w:type="pct"/>
            <w:tcBorders>
              <w:top w:val="single" w:color="000000" w:sz="4" w:space="0"/>
              <w:left w:val="single" w:color="000000" w:sz="4" w:space="0"/>
              <w:right w:val="single" w:color="000000" w:sz="4" w:space="0"/>
            </w:tcBorders>
            <w:shd w:val="clear" w:color="auto" w:fill="auto"/>
            <w:vAlign w:val="center"/>
          </w:tcPr>
          <w:p w14:paraId="1CDE5C1C">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18</w:t>
            </w:r>
          </w:p>
        </w:tc>
        <w:tc>
          <w:tcPr>
            <w:tcW w:w="186" w:type="pct"/>
            <w:tcBorders>
              <w:top w:val="single" w:color="000000" w:sz="4" w:space="0"/>
              <w:left w:val="single" w:color="000000" w:sz="4" w:space="0"/>
              <w:right w:val="single" w:color="000000" w:sz="4" w:space="0"/>
            </w:tcBorders>
            <w:shd w:val="clear" w:color="auto" w:fill="auto"/>
            <w:vAlign w:val="center"/>
          </w:tcPr>
          <w:p w14:paraId="468FC23D">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0.5</w:t>
            </w:r>
          </w:p>
        </w:tc>
        <w:tc>
          <w:tcPr>
            <w:tcW w:w="228" w:type="pct"/>
            <w:tcBorders>
              <w:top w:val="single" w:color="000000" w:sz="4" w:space="0"/>
              <w:left w:val="single" w:color="000000" w:sz="4" w:space="0"/>
              <w:right w:val="single" w:color="000000" w:sz="4" w:space="0"/>
            </w:tcBorders>
            <w:shd w:val="clear" w:color="auto" w:fill="auto"/>
            <w:vAlign w:val="center"/>
          </w:tcPr>
          <w:p w14:paraId="632B55B9">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常温</w:t>
            </w:r>
          </w:p>
        </w:tc>
        <w:tc>
          <w:tcPr>
            <w:tcW w:w="228" w:type="pct"/>
            <w:tcBorders>
              <w:top w:val="single" w:color="000000" w:sz="4" w:space="0"/>
              <w:left w:val="single" w:color="000000" w:sz="4" w:space="0"/>
              <w:right w:val="single" w:color="000000" w:sz="4" w:space="0"/>
            </w:tcBorders>
            <w:shd w:val="clear" w:color="auto" w:fill="auto"/>
            <w:vAlign w:val="center"/>
          </w:tcPr>
          <w:p w14:paraId="1F880879">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7200</w:t>
            </w:r>
          </w:p>
        </w:tc>
      </w:tr>
      <w:tr w14:paraId="3D85AB66">
        <w:tblPrEx>
          <w:tblCellMar>
            <w:top w:w="0" w:type="dxa"/>
            <w:left w:w="108" w:type="dxa"/>
            <w:bottom w:w="0" w:type="dxa"/>
            <w:right w:w="108" w:type="dxa"/>
          </w:tblCellMar>
        </w:tblPrEx>
        <w:trPr>
          <w:trHeight w:val="363" w:hRule="atLeast"/>
        </w:trPr>
        <w:tc>
          <w:tcPr>
            <w:tcW w:w="24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F6ADD63">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DA009</w:t>
            </w:r>
          </w:p>
        </w:tc>
        <w:tc>
          <w:tcPr>
            <w:tcW w:w="29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680FCA8">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天然气燃烧废气</w:t>
            </w:r>
          </w:p>
        </w:tc>
        <w:tc>
          <w:tcPr>
            <w:tcW w:w="31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33A79B7">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1703.75</w:t>
            </w:r>
          </w:p>
        </w:tc>
        <w:tc>
          <w:tcPr>
            <w:tcW w:w="3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14C11F">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二氧化硫</w:t>
            </w:r>
          </w:p>
        </w:tc>
        <w:tc>
          <w:tcPr>
            <w:tcW w:w="24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20D1604">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系数法</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C620BC">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14.674</w:t>
            </w:r>
          </w:p>
        </w:tc>
        <w:tc>
          <w:tcPr>
            <w:tcW w:w="3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52D9DD">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0.180</w:t>
            </w:r>
          </w:p>
        </w:tc>
        <w:tc>
          <w:tcPr>
            <w:tcW w:w="38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4ED312E">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直排</w:t>
            </w:r>
          </w:p>
        </w:tc>
        <w:tc>
          <w:tcPr>
            <w:tcW w:w="24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35567CF">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w:t>
            </w:r>
          </w:p>
        </w:tc>
        <w:tc>
          <w:tcPr>
            <w:tcW w:w="3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5C50E7">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14.674</w:t>
            </w:r>
          </w:p>
        </w:tc>
        <w:tc>
          <w:tcPr>
            <w:tcW w:w="2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070F39">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0.025</w:t>
            </w:r>
          </w:p>
        </w:tc>
        <w:tc>
          <w:tcPr>
            <w:tcW w:w="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29DEB7">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0.180</w:t>
            </w:r>
          </w:p>
        </w:tc>
        <w:tc>
          <w:tcPr>
            <w:tcW w:w="2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87F72A">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50</w:t>
            </w:r>
          </w:p>
        </w:tc>
        <w:tc>
          <w:tcPr>
            <w:tcW w:w="2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73A2F9">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w:t>
            </w:r>
          </w:p>
        </w:tc>
        <w:tc>
          <w:tcPr>
            <w:tcW w:w="1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C389065">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18</w:t>
            </w:r>
          </w:p>
        </w:tc>
        <w:tc>
          <w:tcPr>
            <w:tcW w:w="18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5398008">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0.5</w:t>
            </w:r>
          </w:p>
        </w:tc>
        <w:tc>
          <w:tcPr>
            <w:tcW w:w="22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1626E07">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60</w:t>
            </w:r>
          </w:p>
        </w:tc>
        <w:tc>
          <w:tcPr>
            <w:tcW w:w="22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F37717B">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7200</w:t>
            </w:r>
          </w:p>
        </w:tc>
      </w:tr>
      <w:tr w14:paraId="40D27A25">
        <w:tblPrEx>
          <w:tblCellMar>
            <w:top w:w="0" w:type="dxa"/>
            <w:left w:w="108" w:type="dxa"/>
            <w:bottom w:w="0" w:type="dxa"/>
            <w:right w:w="108" w:type="dxa"/>
          </w:tblCellMar>
        </w:tblPrEx>
        <w:trPr>
          <w:trHeight w:val="363" w:hRule="atLeast"/>
        </w:trPr>
        <w:tc>
          <w:tcPr>
            <w:tcW w:w="2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D34FEA">
            <w:pPr>
              <w:widowControl/>
              <w:spacing w:line="300" w:lineRule="exact"/>
              <w:jc w:val="center"/>
              <w:rPr>
                <w:rFonts w:hint="default" w:ascii="Times New Roman" w:hAnsi="Times New Roman" w:cs="Times New Roman"/>
                <w:color w:val="auto"/>
                <w:szCs w:val="21"/>
              </w:rPr>
            </w:pPr>
          </w:p>
        </w:tc>
        <w:tc>
          <w:tcPr>
            <w:tcW w:w="29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BBCBE8">
            <w:pPr>
              <w:widowControl/>
              <w:spacing w:line="300" w:lineRule="exact"/>
              <w:jc w:val="center"/>
              <w:rPr>
                <w:rFonts w:hint="default" w:ascii="Times New Roman" w:hAnsi="Times New Roman" w:cs="Times New Roman"/>
                <w:color w:val="auto"/>
                <w:szCs w:val="21"/>
              </w:rPr>
            </w:pPr>
          </w:p>
        </w:tc>
        <w:tc>
          <w:tcPr>
            <w:tcW w:w="31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69E35F">
            <w:pPr>
              <w:widowControl/>
              <w:spacing w:line="300" w:lineRule="exact"/>
              <w:jc w:val="center"/>
              <w:rPr>
                <w:rFonts w:hint="default" w:ascii="Times New Roman" w:hAnsi="Times New Roman" w:cs="Times New Roman"/>
                <w:color w:val="auto"/>
                <w:szCs w:val="21"/>
              </w:rPr>
            </w:pPr>
          </w:p>
        </w:tc>
        <w:tc>
          <w:tcPr>
            <w:tcW w:w="3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96F120">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氮氧化物</w:t>
            </w:r>
          </w:p>
        </w:tc>
        <w:tc>
          <w:tcPr>
            <w:tcW w:w="24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E7C61F">
            <w:pPr>
              <w:widowControl/>
              <w:spacing w:line="300" w:lineRule="exact"/>
              <w:jc w:val="center"/>
              <w:rPr>
                <w:rFonts w:hint="default" w:ascii="Times New Roman" w:hAnsi="Times New Roman" w:cs="Times New Roman"/>
                <w:color w:val="auto"/>
                <w:szCs w:val="21"/>
              </w:rPr>
            </w:pP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C5AD51">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137.271</w:t>
            </w:r>
          </w:p>
        </w:tc>
        <w:tc>
          <w:tcPr>
            <w:tcW w:w="3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566959">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1.684</w:t>
            </w:r>
          </w:p>
        </w:tc>
        <w:tc>
          <w:tcPr>
            <w:tcW w:w="38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E3F6EC">
            <w:pPr>
              <w:widowControl/>
              <w:spacing w:line="300" w:lineRule="exact"/>
              <w:jc w:val="center"/>
              <w:rPr>
                <w:rFonts w:hint="default" w:ascii="Times New Roman" w:hAnsi="Times New Roman" w:cs="Times New Roman"/>
                <w:color w:val="auto"/>
                <w:szCs w:val="21"/>
              </w:rPr>
            </w:pPr>
          </w:p>
        </w:tc>
        <w:tc>
          <w:tcPr>
            <w:tcW w:w="24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D58F2C">
            <w:pPr>
              <w:widowControl/>
              <w:spacing w:line="300" w:lineRule="exact"/>
              <w:jc w:val="center"/>
              <w:rPr>
                <w:rFonts w:hint="default" w:ascii="Times New Roman" w:hAnsi="Times New Roman" w:cs="Times New Roman"/>
                <w:color w:val="auto"/>
                <w:szCs w:val="21"/>
              </w:rPr>
            </w:pPr>
          </w:p>
        </w:tc>
        <w:tc>
          <w:tcPr>
            <w:tcW w:w="3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DF054D">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137.271</w:t>
            </w:r>
          </w:p>
        </w:tc>
        <w:tc>
          <w:tcPr>
            <w:tcW w:w="2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E07E2B">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0.234</w:t>
            </w:r>
          </w:p>
        </w:tc>
        <w:tc>
          <w:tcPr>
            <w:tcW w:w="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6AAC6A">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1.684</w:t>
            </w:r>
          </w:p>
        </w:tc>
        <w:tc>
          <w:tcPr>
            <w:tcW w:w="2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C5F35A">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200</w:t>
            </w:r>
          </w:p>
        </w:tc>
        <w:tc>
          <w:tcPr>
            <w:tcW w:w="2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B39527">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w:t>
            </w:r>
          </w:p>
        </w:tc>
        <w:tc>
          <w:tcPr>
            <w:tcW w:w="1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4A6E8D">
            <w:pPr>
              <w:widowControl/>
              <w:spacing w:line="300" w:lineRule="exact"/>
              <w:jc w:val="center"/>
              <w:rPr>
                <w:rFonts w:hint="default" w:ascii="Times New Roman" w:hAnsi="Times New Roman" w:cs="Times New Roman"/>
                <w:color w:val="auto"/>
                <w:szCs w:val="21"/>
              </w:rPr>
            </w:pPr>
          </w:p>
        </w:tc>
        <w:tc>
          <w:tcPr>
            <w:tcW w:w="1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4CFF63">
            <w:pPr>
              <w:widowControl/>
              <w:spacing w:line="300" w:lineRule="exact"/>
              <w:jc w:val="center"/>
              <w:rPr>
                <w:rFonts w:hint="default" w:ascii="Times New Roman" w:hAnsi="Times New Roman" w:cs="Times New Roman"/>
                <w:color w:val="auto"/>
                <w:szCs w:val="21"/>
              </w:rPr>
            </w:pP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8C43B9">
            <w:pPr>
              <w:widowControl/>
              <w:spacing w:line="300" w:lineRule="exact"/>
              <w:jc w:val="center"/>
              <w:rPr>
                <w:rFonts w:hint="default" w:ascii="Times New Roman" w:hAnsi="Times New Roman" w:cs="Times New Roman"/>
                <w:color w:val="auto"/>
                <w:szCs w:val="21"/>
              </w:rPr>
            </w:pP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4D4065">
            <w:pPr>
              <w:widowControl/>
              <w:spacing w:line="300" w:lineRule="exact"/>
              <w:jc w:val="center"/>
              <w:rPr>
                <w:rFonts w:hint="default" w:ascii="Times New Roman" w:hAnsi="Times New Roman" w:cs="Times New Roman"/>
                <w:color w:val="auto"/>
                <w:szCs w:val="21"/>
              </w:rPr>
            </w:pPr>
          </w:p>
        </w:tc>
      </w:tr>
      <w:tr w14:paraId="3895BAE8">
        <w:tblPrEx>
          <w:tblCellMar>
            <w:top w:w="0" w:type="dxa"/>
            <w:left w:w="108" w:type="dxa"/>
            <w:bottom w:w="0" w:type="dxa"/>
            <w:right w:w="108" w:type="dxa"/>
          </w:tblCellMar>
        </w:tblPrEx>
        <w:trPr>
          <w:trHeight w:val="363" w:hRule="atLeast"/>
        </w:trPr>
        <w:tc>
          <w:tcPr>
            <w:tcW w:w="2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C702FE">
            <w:pPr>
              <w:widowControl/>
              <w:spacing w:line="300" w:lineRule="exact"/>
              <w:jc w:val="center"/>
              <w:rPr>
                <w:rFonts w:hint="default" w:ascii="Times New Roman" w:hAnsi="Times New Roman" w:cs="Times New Roman"/>
                <w:color w:val="auto"/>
                <w:szCs w:val="21"/>
              </w:rPr>
            </w:pPr>
          </w:p>
        </w:tc>
        <w:tc>
          <w:tcPr>
            <w:tcW w:w="29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939E9A">
            <w:pPr>
              <w:widowControl/>
              <w:spacing w:line="300" w:lineRule="exact"/>
              <w:jc w:val="center"/>
              <w:rPr>
                <w:rFonts w:hint="default" w:ascii="Times New Roman" w:hAnsi="Times New Roman" w:cs="Times New Roman"/>
                <w:color w:val="auto"/>
                <w:szCs w:val="21"/>
              </w:rPr>
            </w:pPr>
          </w:p>
        </w:tc>
        <w:tc>
          <w:tcPr>
            <w:tcW w:w="31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62BD8E">
            <w:pPr>
              <w:widowControl/>
              <w:spacing w:line="300" w:lineRule="exact"/>
              <w:jc w:val="center"/>
              <w:rPr>
                <w:rFonts w:hint="default" w:ascii="Times New Roman" w:hAnsi="Times New Roman" w:cs="Times New Roman"/>
                <w:color w:val="auto"/>
                <w:szCs w:val="21"/>
              </w:rPr>
            </w:pPr>
          </w:p>
        </w:tc>
        <w:tc>
          <w:tcPr>
            <w:tcW w:w="3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0EC2AA">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颗粒物</w:t>
            </w:r>
          </w:p>
        </w:tc>
        <w:tc>
          <w:tcPr>
            <w:tcW w:w="24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F947B2">
            <w:pPr>
              <w:widowControl/>
              <w:spacing w:line="300" w:lineRule="exact"/>
              <w:jc w:val="center"/>
              <w:rPr>
                <w:rFonts w:hint="default" w:ascii="Times New Roman" w:hAnsi="Times New Roman" w:cs="Times New Roman"/>
                <w:color w:val="auto"/>
                <w:szCs w:val="21"/>
              </w:rPr>
            </w:pP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ABC42C">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12.619</w:t>
            </w:r>
          </w:p>
        </w:tc>
        <w:tc>
          <w:tcPr>
            <w:tcW w:w="3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F15687">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0.155</w:t>
            </w:r>
          </w:p>
        </w:tc>
        <w:tc>
          <w:tcPr>
            <w:tcW w:w="38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6FBA4B">
            <w:pPr>
              <w:widowControl/>
              <w:spacing w:line="300" w:lineRule="exact"/>
              <w:jc w:val="center"/>
              <w:rPr>
                <w:rFonts w:hint="default" w:ascii="Times New Roman" w:hAnsi="Times New Roman" w:cs="Times New Roman"/>
                <w:color w:val="auto"/>
                <w:szCs w:val="21"/>
              </w:rPr>
            </w:pPr>
          </w:p>
        </w:tc>
        <w:tc>
          <w:tcPr>
            <w:tcW w:w="24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29814E">
            <w:pPr>
              <w:widowControl/>
              <w:spacing w:line="300" w:lineRule="exact"/>
              <w:jc w:val="center"/>
              <w:rPr>
                <w:rFonts w:hint="default" w:ascii="Times New Roman" w:hAnsi="Times New Roman" w:cs="Times New Roman"/>
                <w:color w:val="auto"/>
                <w:szCs w:val="21"/>
              </w:rPr>
            </w:pPr>
          </w:p>
        </w:tc>
        <w:tc>
          <w:tcPr>
            <w:tcW w:w="3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71371E">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12.619</w:t>
            </w:r>
          </w:p>
        </w:tc>
        <w:tc>
          <w:tcPr>
            <w:tcW w:w="2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80B300">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0.022</w:t>
            </w:r>
          </w:p>
        </w:tc>
        <w:tc>
          <w:tcPr>
            <w:tcW w:w="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BEE793">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0.155</w:t>
            </w:r>
          </w:p>
        </w:tc>
        <w:tc>
          <w:tcPr>
            <w:tcW w:w="2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D200E6">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20</w:t>
            </w:r>
          </w:p>
        </w:tc>
        <w:tc>
          <w:tcPr>
            <w:tcW w:w="2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0095EF">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w:t>
            </w:r>
          </w:p>
        </w:tc>
        <w:tc>
          <w:tcPr>
            <w:tcW w:w="1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E6E6A1">
            <w:pPr>
              <w:widowControl/>
              <w:spacing w:line="300" w:lineRule="exact"/>
              <w:jc w:val="center"/>
              <w:rPr>
                <w:rFonts w:hint="default" w:ascii="Times New Roman" w:hAnsi="Times New Roman" w:cs="Times New Roman"/>
                <w:color w:val="auto"/>
                <w:szCs w:val="21"/>
              </w:rPr>
            </w:pPr>
          </w:p>
        </w:tc>
        <w:tc>
          <w:tcPr>
            <w:tcW w:w="1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0B9A4E">
            <w:pPr>
              <w:widowControl/>
              <w:spacing w:line="300" w:lineRule="exact"/>
              <w:jc w:val="center"/>
              <w:rPr>
                <w:rFonts w:hint="default" w:ascii="Times New Roman" w:hAnsi="Times New Roman" w:cs="Times New Roman"/>
                <w:color w:val="auto"/>
                <w:szCs w:val="21"/>
              </w:rPr>
            </w:pP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594940">
            <w:pPr>
              <w:widowControl/>
              <w:spacing w:line="300" w:lineRule="exact"/>
              <w:jc w:val="center"/>
              <w:rPr>
                <w:rFonts w:hint="default" w:ascii="Times New Roman" w:hAnsi="Times New Roman" w:cs="Times New Roman"/>
                <w:color w:val="auto"/>
                <w:szCs w:val="21"/>
              </w:rPr>
            </w:pP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E58B78">
            <w:pPr>
              <w:widowControl/>
              <w:spacing w:line="300" w:lineRule="exact"/>
              <w:jc w:val="center"/>
              <w:rPr>
                <w:rFonts w:hint="default" w:ascii="Times New Roman" w:hAnsi="Times New Roman" w:cs="Times New Roman"/>
                <w:color w:val="auto"/>
                <w:szCs w:val="21"/>
              </w:rPr>
            </w:pPr>
          </w:p>
        </w:tc>
      </w:tr>
      <w:tr w14:paraId="3E310378">
        <w:tblPrEx>
          <w:tblCellMar>
            <w:top w:w="0" w:type="dxa"/>
            <w:left w:w="108" w:type="dxa"/>
            <w:bottom w:w="0" w:type="dxa"/>
            <w:right w:w="108" w:type="dxa"/>
          </w:tblCellMar>
        </w:tblPrEx>
        <w:trPr>
          <w:trHeight w:val="363" w:hRule="atLeast"/>
        </w:trPr>
        <w:tc>
          <w:tcPr>
            <w:tcW w:w="859" w:type="pct"/>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72D800F">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有组织排放总计</w:t>
            </w:r>
          </w:p>
        </w:tc>
        <w:tc>
          <w:tcPr>
            <w:tcW w:w="61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A29239C">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二氧化硫</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C4CB96">
            <w:pPr>
              <w:widowControl/>
              <w:spacing w:line="300" w:lineRule="exact"/>
              <w:jc w:val="center"/>
              <w:rPr>
                <w:rFonts w:hint="default" w:ascii="Times New Roman" w:hAnsi="Times New Roman" w:cs="Times New Roman"/>
                <w:color w:val="auto"/>
                <w:szCs w:val="21"/>
              </w:rPr>
            </w:pPr>
          </w:p>
        </w:tc>
        <w:tc>
          <w:tcPr>
            <w:tcW w:w="3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BE733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0.180</w:t>
            </w:r>
          </w:p>
        </w:tc>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5C85A5">
            <w:pPr>
              <w:widowControl/>
              <w:spacing w:line="300" w:lineRule="exact"/>
              <w:jc w:val="center"/>
              <w:rPr>
                <w:rFonts w:hint="default" w:ascii="Times New Roman" w:hAnsi="Times New Roman" w:cs="Times New Roman"/>
                <w:color w:val="auto"/>
                <w:szCs w:val="21"/>
              </w:rPr>
            </w:pPr>
          </w:p>
        </w:tc>
        <w:tc>
          <w:tcPr>
            <w:tcW w:w="2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7DF74E">
            <w:pPr>
              <w:widowControl/>
              <w:spacing w:line="300" w:lineRule="exact"/>
              <w:jc w:val="center"/>
              <w:rPr>
                <w:rFonts w:hint="default" w:ascii="Times New Roman" w:hAnsi="Times New Roman" w:cs="Times New Roman"/>
                <w:color w:val="auto"/>
                <w:szCs w:val="21"/>
              </w:rPr>
            </w:pPr>
          </w:p>
        </w:tc>
        <w:tc>
          <w:tcPr>
            <w:tcW w:w="3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4CB38F">
            <w:pPr>
              <w:widowControl/>
              <w:spacing w:line="300" w:lineRule="exact"/>
              <w:jc w:val="center"/>
              <w:rPr>
                <w:rFonts w:hint="default" w:ascii="Times New Roman" w:hAnsi="Times New Roman" w:cs="Times New Roman"/>
                <w:color w:val="auto"/>
                <w:szCs w:val="21"/>
              </w:rPr>
            </w:pPr>
          </w:p>
        </w:tc>
        <w:tc>
          <w:tcPr>
            <w:tcW w:w="2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05A6A7">
            <w:pPr>
              <w:widowControl/>
              <w:spacing w:line="300" w:lineRule="exact"/>
              <w:jc w:val="center"/>
              <w:rPr>
                <w:rFonts w:hint="default" w:ascii="Times New Roman" w:hAnsi="Times New Roman" w:cs="Times New Roman"/>
                <w:color w:val="auto"/>
                <w:szCs w:val="21"/>
              </w:rPr>
            </w:pPr>
          </w:p>
        </w:tc>
        <w:tc>
          <w:tcPr>
            <w:tcW w:w="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709D0B">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0.180</w:t>
            </w:r>
          </w:p>
        </w:tc>
        <w:tc>
          <w:tcPr>
            <w:tcW w:w="2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DCA56C">
            <w:pPr>
              <w:widowControl/>
              <w:spacing w:line="300" w:lineRule="exact"/>
              <w:jc w:val="center"/>
              <w:rPr>
                <w:rFonts w:hint="default" w:ascii="Times New Roman" w:hAnsi="Times New Roman" w:cs="Times New Roman"/>
                <w:color w:val="auto"/>
                <w:szCs w:val="21"/>
              </w:rPr>
            </w:pPr>
          </w:p>
        </w:tc>
        <w:tc>
          <w:tcPr>
            <w:tcW w:w="2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45E46D">
            <w:pPr>
              <w:widowControl/>
              <w:spacing w:line="300" w:lineRule="exact"/>
              <w:jc w:val="center"/>
              <w:rPr>
                <w:rFonts w:hint="default" w:ascii="Times New Roman" w:hAnsi="Times New Roman" w:cs="Times New Roman"/>
                <w:color w:val="auto"/>
                <w:szCs w:val="21"/>
              </w:rPr>
            </w:pPr>
          </w:p>
        </w:tc>
        <w:tc>
          <w:tcPr>
            <w:tcW w:w="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050041">
            <w:pPr>
              <w:widowControl/>
              <w:spacing w:line="300" w:lineRule="exact"/>
              <w:jc w:val="center"/>
              <w:rPr>
                <w:rFonts w:hint="default" w:ascii="Times New Roman" w:hAnsi="Times New Roman" w:cs="Times New Roman"/>
                <w:color w:val="auto"/>
                <w:szCs w:val="21"/>
              </w:rPr>
            </w:pPr>
          </w:p>
        </w:tc>
        <w:tc>
          <w:tcPr>
            <w:tcW w:w="1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DB4DCC">
            <w:pPr>
              <w:widowControl/>
              <w:spacing w:line="300" w:lineRule="exact"/>
              <w:jc w:val="center"/>
              <w:rPr>
                <w:rFonts w:hint="default" w:ascii="Times New Roman" w:hAnsi="Times New Roman" w:cs="Times New Roman"/>
                <w:color w:val="auto"/>
                <w:szCs w:val="21"/>
              </w:rPr>
            </w:pP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5D4280">
            <w:pPr>
              <w:widowControl/>
              <w:spacing w:line="300" w:lineRule="exact"/>
              <w:jc w:val="center"/>
              <w:rPr>
                <w:rFonts w:hint="default" w:ascii="Times New Roman" w:hAnsi="Times New Roman" w:cs="Times New Roman"/>
                <w:color w:val="auto"/>
                <w:szCs w:val="21"/>
              </w:rPr>
            </w:pP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2A3722">
            <w:pPr>
              <w:widowControl/>
              <w:spacing w:line="300" w:lineRule="exact"/>
              <w:jc w:val="center"/>
              <w:rPr>
                <w:rFonts w:hint="default" w:ascii="Times New Roman" w:hAnsi="Times New Roman" w:cs="Times New Roman"/>
                <w:color w:val="auto"/>
                <w:szCs w:val="21"/>
              </w:rPr>
            </w:pPr>
          </w:p>
        </w:tc>
      </w:tr>
      <w:tr w14:paraId="4C6AEFE7">
        <w:tblPrEx>
          <w:tblCellMar>
            <w:top w:w="0" w:type="dxa"/>
            <w:left w:w="108" w:type="dxa"/>
            <w:bottom w:w="0" w:type="dxa"/>
            <w:right w:w="108" w:type="dxa"/>
          </w:tblCellMar>
        </w:tblPrEx>
        <w:trPr>
          <w:trHeight w:val="363" w:hRule="atLeast"/>
        </w:trPr>
        <w:tc>
          <w:tcPr>
            <w:tcW w:w="859"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1D3DF3">
            <w:pPr>
              <w:widowControl/>
              <w:spacing w:line="300" w:lineRule="exact"/>
              <w:jc w:val="center"/>
              <w:rPr>
                <w:rFonts w:hint="default" w:ascii="Times New Roman" w:hAnsi="Times New Roman" w:cs="Times New Roman"/>
                <w:color w:val="auto"/>
                <w:szCs w:val="21"/>
              </w:rPr>
            </w:pPr>
          </w:p>
        </w:tc>
        <w:tc>
          <w:tcPr>
            <w:tcW w:w="61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30BC0F0">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氮氧化物</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1316EE">
            <w:pPr>
              <w:widowControl/>
              <w:spacing w:line="300" w:lineRule="exact"/>
              <w:jc w:val="center"/>
              <w:rPr>
                <w:rFonts w:hint="default" w:ascii="Times New Roman" w:hAnsi="Times New Roman" w:cs="Times New Roman"/>
                <w:color w:val="auto"/>
                <w:szCs w:val="21"/>
              </w:rPr>
            </w:pPr>
          </w:p>
        </w:tc>
        <w:tc>
          <w:tcPr>
            <w:tcW w:w="3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D2ED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1.684</w:t>
            </w:r>
          </w:p>
        </w:tc>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014CB6">
            <w:pPr>
              <w:widowControl/>
              <w:spacing w:line="300" w:lineRule="exact"/>
              <w:jc w:val="center"/>
              <w:rPr>
                <w:rFonts w:hint="default" w:ascii="Times New Roman" w:hAnsi="Times New Roman" w:cs="Times New Roman"/>
                <w:color w:val="auto"/>
                <w:szCs w:val="21"/>
              </w:rPr>
            </w:pPr>
          </w:p>
        </w:tc>
        <w:tc>
          <w:tcPr>
            <w:tcW w:w="2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85323E">
            <w:pPr>
              <w:widowControl/>
              <w:spacing w:line="300" w:lineRule="exact"/>
              <w:jc w:val="center"/>
              <w:rPr>
                <w:rFonts w:hint="default" w:ascii="Times New Roman" w:hAnsi="Times New Roman" w:cs="Times New Roman"/>
                <w:color w:val="auto"/>
                <w:szCs w:val="21"/>
              </w:rPr>
            </w:pPr>
          </w:p>
        </w:tc>
        <w:tc>
          <w:tcPr>
            <w:tcW w:w="3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9A813C">
            <w:pPr>
              <w:widowControl/>
              <w:spacing w:line="300" w:lineRule="exact"/>
              <w:jc w:val="center"/>
              <w:rPr>
                <w:rFonts w:hint="default" w:ascii="Times New Roman" w:hAnsi="Times New Roman" w:cs="Times New Roman"/>
                <w:color w:val="auto"/>
                <w:szCs w:val="21"/>
              </w:rPr>
            </w:pPr>
          </w:p>
        </w:tc>
        <w:tc>
          <w:tcPr>
            <w:tcW w:w="2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3B121B">
            <w:pPr>
              <w:widowControl/>
              <w:spacing w:line="300" w:lineRule="exact"/>
              <w:jc w:val="center"/>
              <w:rPr>
                <w:rFonts w:hint="default" w:ascii="Times New Roman" w:hAnsi="Times New Roman" w:cs="Times New Roman"/>
                <w:color w:val="auto"/>
                <w:szCs w:val="21"/>
              </w:rPr>
            </w:pPr>
          </w:p>
        </w:tc>
        <w:tc>
          <w:tcPr>
            <w:tcW w:w="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3F9A41">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1.684</w:t>
            </w:r>
          </w:p>
        </w:tc>
        <w:tc>
          <w:tcPr>
            <w:tcW w:w="2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4DBDCC">
            <w:pPr>
              <w:widowControl/>
              <w:spacing w:line="300" w:lineRule="exact"/>
              <w:jc w:val="center"/>
              <w:rPr>
                <w:rFonts w:hint="default" w:ascii="Times New Roman" w:hAnsi="Times New Roman" w:cs="Times New Roman"/>
                <w:color w:val="auto"/>
                <w:szCs w:val="21"/>
              </w:rPr>
            </w:pPr>
          </w:p>
        </w:tc>
        <w:tc>
          <w:tcPr>
            <w:tcW w:w="2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E2B0ED">
            <w:pPr>
              <w:widowControl/>
              <w:spacing w:line="300" w:lineRule="exact"/>
              <w:jc w:val="center"/>
              <w:rPr>
                <w:rFonts w:hint="default" w:ascii="Times New Roman" w:hAnsi="Times New Roman" w:cs="Times New Roman"/>
                <w:color w:val="auto"/>
                <w:szCs w:val="21"/>
              </w:rPr>
            </w:pPr>
          </w:p>
        </w:tc>
        <w:tc>
          <w:tcPr>
            <w:tcW w:w="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316DB0">
            <w:pPr>
              <w:widowControl/>
              <w:spacing w:line="300" w:lineRule="exact"/>
              <w:jc w:val="center"/>
              <w:rPr>
                <w:rFonts w:hint="default" w:ascii="Times New Roman" w:hAnsi="Times New Roman" w:cs="Times New Roman"/>
                <w:color w:val="auto"/>
                <w:szCs w:val="21"/>
              </w:rPr>
            </w:pPr>
          </w:p>
        </w:tc>
        <w:tc>
          <w:tcPr>
            <w:tcW w:w="1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A0DF1E">
            <w:pPr>
              <w:widowControl/>
              <w:spacing w:line="300" w:lineRule="exact"/>
              <w:jc w:val="center"/>
              <w:rPr>
                <w:rFonts w:hint="default" w:ascii="Times New Roman" w:hAnsi="Times New Roman" w:cs="Times New Roman"/>
                <w:color w:val="auto"/>
                <w:szCs w:val="21"/>
              </w:rPr>
            </w:pP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03BBCD">
            <w:pPr>
              <w:widowControl/>
              <w:spacing w:line="300" w:lineRule="exact"/>
              <w:jc w:val="center"/>
              <w:rPr>
                <w:rFonts w:hint="default" w:ascii="Times New Roman" w:hAnsi="Times New Roman" w:cs="Times New Roman"/>
                <w:color w:val="auto"/>
                <w:szCs w:val="21"/>
              </w:rPr>
            </w:pP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4BFD0A">
            <w:pPr>
              <w:widowControl/>
              <w:spacing w:line="300" w:lineRule="exact"/>
              <w:jc w:val="center"/>
              <w:rPr>
                <w:rFonts w:hint="default" w:ascii="Times New Roman" w:hAnsi="Times New Roman" w:cs="Times New Roman"/>
                <w:color w:val="auto"/>
                <w:szCs w:val="21"/>
              </w:rPr>
            </w:pPr>
          </w:p>
        </w:tc>
      </w:tr>
      <w:tr w14:paraId="09EAE0AB">
        <w:tblPrEx>
          <w:tblCellMar>
            <w:top w:w="0" w:type="dxa"/>
            <w:left w:w="108" w:type="dxa"/>
            <w:bottom w:w="0" w:type="dxa"/>
            <w:right w:w="108" w:type="dxa"/>
          </w:tblCellMar>
        </w:tblPrEx>
        <w:trPr>
          <w:trHeight w:val="363" w:hRule="atLeast"/>
        </w:trPr>
        <w:tc>
          <w:tcPr>
            <w:tcW w:w="859"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B9FE97">
            <w:pPr>
              <w:widowControl/>
              <w:spacing w:line="300" w:lineRule="exact"/>
              <w:jc w:val="center"/>
              <w:rPr>
                <w:rFonts w:hint="default" w:ascii="Times New Roman" w:hAnsi="Times New Roman" w:cs="Times New Roman"/>
                <w:color w:val="auto"/>
                <w:szCs w:val="21"/>
              </w:rPr>
            </w:pPr>
          </w:p>
        </w:tc>
        <w:tc>
          <w:tcPr>
            <w:tcW w:w="61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3F7F2EB">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颗粒物</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001057">
            <w:pPr>
              <w:widowControl/>
              <w:spacing w:line="300" w:lineRule="exact"/>
              <w:jc w:val="center"/>
              <w:rPr>
                <w:rFonts w:hint="default" w:ascii="Times New Roman" w:hAnsi="Times New Roman" w:cs="Times New Roman"/>
                <w:color w:val="auto"/>
                <w:szCs w:val="21"/>
              </w:rPr>
            </w:pPr>
          </w:p>
        </w:tc>
        <w:tc>
          <w:tcPr>
            <w:tcW w:w="3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E89CC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65.855</w:t>
            </w:r>
          </w:p>
        </w:tc>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6577BB">
            <w:pPr>
              <w:widowControl/>
              <w:spacing w:line="300" w:lineRule="exact"/>
              <w:jc w:val="center"/>
              <w:rPr>
                <w:rFonts w:hint="default" w:ascii="Times New Roman" w:hAnsi="Times New Roman" w:cs="Times New Roman"/>
                <w:color w:val="auto"/>
                <w:szCs w:val="21"/>
              </w:rPr>
            </w:pPr>
          </w:p>
        </w:tc>
        <w:tc>
          <w:tcPr>
            <w:tcW w:w="2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B737B6">
            <w:pPr>
              <w:widowControl/>
              <w:spacing w:line="300" w:lineRule="exact"/>
              <w:jc w:val="center"/>
              <w:rPr>
                <w:rFonts w:hint="default" w:ascii="Times New Roman" w:hAnsi="Times New Roman" w:cs="Times New Roman"/>
                <w:color w:val="auto"/>
                <w:szCs w:val="21"/>
              </w:rPr>
            </w:pPr>
          </w:p>
        </w:tc>
        <w:tc>
          <w:tcPr>
            <w:tcW w:w="3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400CBB">
            <w:pPr>
              <w:widowControl/>
              <w:spacing w:line="300" w:lineRule="exact"/>
              <w:jc w:val="center"/>
              <w:rPr>
                <w:rFonts w:hint="default" w:ascii="Times New Roman" w:hAnsi="Times New Roman" w:cs="Times New Roman"/>
                <w:color w:val="auto"/>
                <w:szCs w:val="21"/>
              </w:rPr>
            </w:pPr>
          </w:p>
        </w:tc>
        <w:tc>
          <w:tcPr>
            <w:tcW w:w="2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2C3B9C">
            <w:pPr>
              <w:widowControl/>
              <w:spacing w:line="300" w:lineRule="exact"/>
              <w:jc w:val="center"/>
              <w:rPr>
                <w:rFonts w:hint="default" w:ascii="Times New Roman" w:hAnsi="Times New Roman" w:cs="Times New Roman"/>
                <w:color w:val="auto"/>
                <w:szCs w:val="21"/>
              </w:rPr>
            </w:pPr>
          </w:p>
        </w:tc>
        <w:tc>
          <w:tcPr>
            <w:tcW w:w="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63905B">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0.812</w:t>
            </w:r>
          </w:p>
        </w:tc>
        <w:tc>
          <w:tcPr>
            <w:tcW w:w="2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0096B5">
            <w:pPr>
              <w:widowControl/>
              <w:spacing w:line="300" w:lineRule="exact"/>
              <w:jc w:val="center"/>
              <w:rPr>
                <w:rFonts w:hint="default" w:ascii="Times New Roman" w:hAnsi="Times New Roman" w:cs="Times New Roman"/>
                <w:color w:val="auto"/>
                <w:szCs w:val="21"/>
              </w:rPr>
            </w:pPr>
          </w:p>
        </w:tc>
        <w:tc>
          <w:tcPr>
            <w:tcW w:w="2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B06942">
            <w:pPr>
              <w:widowControl/>
              <w:spacing w:line="300" w:lineRule="exact"/>
              <w:jc w:val="center"/>
              <w:rPr>
                <w:rFonts w:hint="default" w:ascii="Times New Roman" w:hAnsi="Times New Roman" w:cs="Times New Roman"/>
                <w:color w:val="auto"/>
                <w:szCs w:val="21"/>
              </w:rPr>
            </w:pPr>
          </w:p>
        </w:tc>
        <w:tc>
          <w:tcPr>
            <w:tcW w:w="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49BBAB">
            <w:pPr>
              <w:widowControl/>
              <w:spacing w:line="300" w:lineRule="exact"/>
              <w:jc w:val="center"/>
              <w:rPr>
                <w:rFonts w:hint="default" w:ascii="Times New Roman" w:hAnsi="Times New Roman" w:cs="Times New Roman"/>
                <w:color w:val="auto"/>
                <w:szCs w:val="21"/>
              </w:rPr>
            </w:pPr>
          </w:p>
        </w:tc>
        <w:tc>
          <w:tcPr>
            <w:tcW w:w="1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941F52">
            <w:pPr>
              <w:widowControl/>
              <w:spacing w:line="300" w:lineRule="exact"/>
              <w:jc w:val="center"/>
              <w:rPr>
                <w:rFonts w:hint="default" w:ascii="Times New Roman" w:hAnsi="Times New Roman" w:cs="Times New Roman"/>
                <w:color w:val="auto"/>
                <w:szCs w:val="21"/>
              </w:rPr>
            </w:pP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A11856">
            <w:pPr>
              <w:widowControl/>
              <w:spacing w:line="300" w:lineRule="exact"/>
              <w:jc w:val="center"/>
              <w:rPr>
                <w:rFonts w:hint="default" w:ascii="Times New Roman" w:hAnsi="Times New Roman" w:cs="Times New Roman"/>
                <w:color w:val="auto"/>
                <w:szCs w:val="21"/>
              </w:rPr>
            </w:pP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81DC8C">
            <w:pPr>
              <w:widowControl/>
              <w:spacing w:line="300" w:lineRule="exact"/>
              <w:jc w:val="center"/>
              <w:rPr>
                <w:rFonts w:hint="default" w:ascii="Times New Roman" w:hAnsi="Times New Roman" w:cs="Times New Roman"/>
                <w:color w:val="auto"/>
                <w:szCs w:val="21"/>
              </w:rPr>
            </w:pPr>
          </w:p>
        </w:tc>
      </w:tr>
      <w:tr w14:paraId="37223ED6">
        <w:tblPrEx>
          <w:tblCellMar>
            <w:top w:w="0" w:type="dxa"/>
            <w:left w:w="108" w:type="dxa"/>
            <w:bottom w:w="0" w:type="dxa"/>
            <w:right w:w="108" w:type="dxa"/>
          </w:tblCellMar>
        </w:tblPrEx>
        <w:trPr>
          <w:trHeight w:val="363" w:hRule="atLeast"/>
        </w:trPr>
        <w:tc>
          <w:tcPr>
            <w:tcW w:w="859"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6DB56D">
            <w:pPr>
              <w:widowControl/>
              <w:spacing w:line="300" w:lineRule="exact"/>
              <w:jc w:val="center"/>
              <w:rPr>
                <w:rFonts w:hint="default" w:ascii="Times New Roman" w:hAnsi="Times New Roman" w:cs="Times New Roman"/>
                <w:color w:val="auto"/>
                <w:szCs w:val="21"/>
              </w:rPr>
            </w:pPr>
          </w:p>
        </w:tc>
        <w:tc>
          <w:tcPr>
            <w:tcW w:w="61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21B9AA4">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HCl</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A4EC36">
            <w:pPr>
              <w:widowControl/>
              <w:spacing w:line="300" w:lineRule="exact"/>
              <w:jc w:val="center"/>
              <w:rPr>
                <w:rFonts w:hint="default" w:ascii="Times New Roman" w:hAnsi="Times New Roman" w:cs="Times New Roman"/>
                <w:color w:val="auto"/>
                <w:szCs w:val="21"/>
              </w:rPr>
            </w:pPr>
          </w:p>
        </w:tc>
        <w:tc>
          <w:tcPr>
            <w:tcW w:w="3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00362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93.7</w:t>
            </w:r>
            <w:r>
              <w:rPr>
                <w:rFonts w:hint="default" w:ascii="Times New Roman" w:hAnsi="Times New Roman" w:cs="Times New Roman"/>
                <w:i w:val="0"/>
                <w:iCs w:val="0"/>
                <w:color w:val="auto"/>
                <w:kern w:val="0"/>
                <w:sz w:val="21"/>
                <w:szCs w:val="21"/>
                <w:u w:val="none"/>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7</w:t>
            </w:r>
          </w:p>
        </w:tc>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08BC22">
            <w:pPr>
              <w:widowControl/>
              <w:spacing w:line="300" w:lineRule="exact"/>
              <w:jc w:val="center"/>
              <w:rPr>
                <w:rFonts w:hint="default" w:ascii="Times New Roman" w:hAnsi="Times New Roman" w:cs="Times New Roman"/>
                <w:color w:val="auto"/>
                <w:szCs w:val="21"/>
              </w:rPr>
            </w:pPr>
          </w:p>
        </w:tc>
        <w:tc>
          <w:tcPr>
            <w:tcW w:w="2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F9E244">
            <w:pPr>
              <w:widowControl/>
              <w:spacing w:line="300" w:lineRule="exact"/>
              <w:jc w:val="center"/>
              <w:rPr>
                <w:rFonts w:hint="default" w:ascii="Times New Roman" w:hAnsi="Times New Roman" w:cs="Times New Roman"/>
                <w:color w:val="auto"/>
                <w:szCs w:val="21"/>
              </w:rPr>
            </w:pPr>
          </w:p>
        </w:tc>
        <w:tc>
          <w:tcPr>
            <w:tcW w:w="3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25D737">
            <w:pPr>
              <w:widowControl/>
              <w:spacing w:line="300" w:lineRule="exact"/>
              <w:jc w:val="center"/>
              <w:rPr>
                <w:rFonts w:hint="default" w:ascii="Times New Roman" w:hAnsi="Times New Roman" w:cs="Times New Roman"/>
                <w:color w:val="auto"/>
                <w:szCs w:val="21"/>
              </w:rPr>
            </w:pPr>
          </w:p>
        </w:tc>
        <w:tc>
          <w:tcPr>
            <w:tcW w:w="2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ABD81B">
            <w:pPr>
              <w:widowControl/>
              <w:spacing w:line="300" w:lineRule="exact"/>
              <w:jc w:val="center"/>
              <w:rPr>
                <w:rFonts w:hint="default" w:ascii="Times New Roman" w:hAnsi="Times New Roman" w:cs="Times New Roman"/>
                <w:color w:val="auto"/>
                <w:szCs w:val="21"/>
              </w:rPr>
            </w:pPr>
          </w:p>
        </w:tc>
        <w:tc>
          <w:tcPr>
            <w:tcW w:w="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3EEC10">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4.59</w:t>
            </w:r>
            <w:r>
              <w:rPr>
                <w:rFonts w:hint="default" w:ascii="Times New Roman" w:hAnsi="Times New Roman" w:cs="Times New Roman"/>
                <w:i w:val="0"/>
                <w:iCs w:val="0"/>
                <w:color w:val="auto"/>
                <w:kern w:val="0"/>
                <w:sz w:val="21"/>
                <w:szCs w:val="21"/>
                <w:u w:val="none"/>
                <w:lang w:val="en-US" w:eastAsia="zh-CN" w:bidi="ar"/>
              </w:rPr>
              <w:t>3</w:t>
            </w:r>
          </w:p>
        </w:tc>
        <w:tc>
          <w:tcPr>
            <w:tcW w:w="2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98BA6F">
            <w:pPr>
              <w:widowControl/>
              <w:spacing w:line="300" w:lineRule="exact"/>
              <w:jc w:val="center"/>
              <w:rPr>
                <w:rFonts w:hint="default" w:ascii="Times New Roman" w:hAnsi="Times New Roman" w:cs="Times New Roman"/>
                <w:color w:val="auto"/>
                <w:szCs w:val="21"/>
              </w:rPr>
            </w:pPr>
          </w:p>
        </w:tc>
        <w:tc>
          <w:tcPr>
            <w:tcW w:w="2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67B2E7">
            <w:pPr>
              <w:widowControl/>
              <w:spacing w:line="300" w:lineRule="exact"/>
              <w:jc w:val="center"/>
              <w:rPr>
                <w:rFonts w:hint="default" w:ascii="Times New Roman" w:hAnsi="Times New Roman" w:cs="Times New Roman"/>
                <w:color w:val="auto"/>
                <w:szCs w:val="21"/>
              </w:rPr>
            </w:pPr>
          </w:p>
        </w:tc>
        <w:tc>
          <w:tcPr>
            <w:tcW w:w="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631DA1">
            <w:pPr>
              <w:widowControl/>
              <w:spacing w:line="300" w:lineRule="exact"/>
              <w:jc w:val="center"/>
              <w:rPr>
                <w:rFonts w:hint="default" w:ascii="Times New Roman" w:hAnsi="Times New Roman" w:cs="Times New Roman"/>
                <w:color w:val="auto"/>
                <w:szCs w:val="21"/>
              </w:rPr>
            </w:pPr>
          </w:p>
        </w:tc>
        <w:tc>
          <w:tcPr>
            <w:tcW w:w="1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20B02B">
            <w:pPr>
              <w:widowControl/>
              <w:spacing w:line="300" w:lineRule="exact"/>
              <w:jc w:val="center"/>
              <w:rPr>
                <w:rFonts w:hint="default" w:ascii="Times New Roman" w:hAnsi="Times New Roman" w:cs="Times New Roman"/>
                <w:color w:val="auto"/>
                <w:szCs w:val="21"/>
              </w:rPr>
            </w:pP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786CA0">
            <w:pPr>
              <w:widowControl/>
              <w:spacing w:line="300" w:lineRule="exact"/>
              <w:jc w:val="center"/>
              <w:rPr>
                <w:rFonts w:hint="default" w:ascii="Times New Roman" w:hAnsi="Times New Roman" w:cs="Times New Roman"/>
                <w:color w:val="auto"/>
                <w:szCs w:val="21"/>
              </w:rPr>
            </w:pP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9388C2">
            <w:pPr>
              <w:widowControl/>
              <w:spacing w:line="300" w:lineRule="exact"/>
              <w:jc w:val="center"/>
              <w:rPr>
                <w:rFonts w:hint="default" w:ascii="Times New Roman" w:hAnsi="Times New Roman" w:cs="Times New Roman"/>
                <w:color w:val="auto"/>
                <w:szCs w:val="21"/>
              </w:rPr>
            </w:pPr>
          </w:p>
        </w:tc>
      </w:tr>
    </w:tbl>
    <w:p w14:paraId="757DDC7A">
      <w:pPr>
        <w:bidi w:val="0"/>
        <w:rPr>
          <w:rFonts w:hint="default" w:ascii="Times New Roman" w:hAnsi="Times New Roman" w:cs="Times New Roman"/>
          <w:color w:val="auto"/>
        </w:rPr>
      </w:pPr>
    </w:p>
    <w:p w14:paraId="4DD9B446">
      <w:pPr>
        <w:bidi w:val="0"/>
        <w:rPr>
          <w:rFonts w:hint="default" w:ascii="Times New Roman" w:hAnsi="Times New Roman" w:cs="Times New Roman"/>
          <w:color w:val="auto"/>
        </w:rPr>
      </w:pPr>
    </w:p>
    <w:p w14:paraId="5E28944F">
      <w:pPr>
        <w:bidi w:val="0"/>
        <w:rPr>
          <w:rFonts w:hint="default" w:ascii="Times New Roman" w:hAnsi="Times New Roman" w:cs="Times New Roman"/>
          <w:color w:val="auto"/>
        </w:rPr>
        <w:sectPr>
          <w:pgSz w:w="16838" w:h="11905" w:orient="landscape"/>
          <w:pgMar w:top="1440" w:right="1080" w:bottom="1440" w:left="1080" w:header="964" w:footer="964" w:gutter="0"/>
          <w:pgBorders>
            <w:top w:val="none" w:sz="0" w:space="0"/>
            <w:left w:val="none" w:sz="0" w:space="0"/>
            <w:bottom w:val="none" w:sz="0" w:space="0"/>
            <w:right w:val="none" w:sz="0" w:space="0"/>
          </w:pgBorders>
          <w:cols w:space="720" w:num="1"/>
          <w:docGrid w:type="lines" w:linePitch="378" w:charSpace="0"/>
        </w:sectPr>
      </w:pPr>
    </w:p>
    <w:p w14:paraId="617859E1">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 xml:space="preserve">表4.2-9 </w:t>
      </w:r>
      <w:r>
        <w:rPr>
          <w:rFonts w:hint="eastAsia" w:eastAsia="黑体" w:cs="Times New Roman"/>
          <w:b w:val="0"/>
          <w:bCs/>
          <w:color w:val="auto"/>
          <w:lang w:val="en-US" w:eastAsia="zh-CN"/>
        </w:rPr>
        <w:t xml:space="preserve"> </w:t>
      </w:r>
      <w:r>
        <w:rPr>
          <w:rFonts w:hint="default" w:ascii="Times New Roman" w:hAnsi="Times New Roman" w:eastAsia="黑体" w:cs="Times New Roman"/>
          <w:b w:val="0"/>
          <w:bCs/>
          <w:color w:val="auto"/>
        </w:rPr>
        <w:t>本项目无组织废气排放汇总</w:t>
      </w:r>
    </w:p>
    <w:tbl>
      <w:tblPr>
        <w:tblStyle w:val="34"/>
        <w:tblW w:w="4999" w:type="pct"/>
        <w:tblInd w:w="0" w:type="dxa"/>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autofit"/>
        <w:tblCellMar>
          <w:top w:w="0" w:type="dxa"/>
          <w:left w:w="108" w:type="dxa"/>
          <w:bottom w:w="0" w:type="dxa"/>
          <w:right w:w="108" w:type="dxa"/>
        </w:tblCellMar>
      </w:tblPr>
      <w:tblGrid>
        <w:gridCol w:w="1340"/>
        <w:gridCol w:w="3481"/>
        <w:gridCol w:w="1609"/>
        <w:gridCol w:w="2143"/>
        <w:gridCol w:w="2354"/>
        <w:gridCol w:w="1544"/>
        <w:gridCol w:w="2420"/>
      </w:tblGrid>
      <w:tr w14:paraId="7B88C64A">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512" w:hRule="atLeast"/>
        </w:trPr>
        <w:tc>
          <w:tcPr>
            <w:tcW w:w="450" w:type="pct"/>
            <w:tcBorders>
              <w:bottom w:val="single" w:color="000000" w:sz="4" w:space="0"/>
              <w:right w:val="single" w:color="000000" w:sz="4" w:space="0"/>
            </w:tcBorders>
            <w:shd w:val="clear" w:color="auto" w:fill="auto"/>
            <w:vAlign w:val="center"/>
          </w:tcPr>
          <w:p w14:paraId="7B095D99">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位置</w:t>
            </w:r>
          </w:p>
        </w:tc>
        <w:tc>
          <w:tcPr>
            <w:tcW w:w="1168" w:type="pct"/>
            <w:tcBorders>
              <w:left w:val="single" w:color="000000" w:sz="4" w:space="0"/>
              <w:bottom w:val="single" w:color="000000" w:sz="4" w:space="0"/>
              <w:right w:val="single" w:color="000000" w:sz="4" w:space="0"/>
            </w:tcBorders>
            <w:shd w:val="clear" w:color="auto" w:fill="auto"/>
            <w:vAlign w:val="center"/>
          </w:tcPr>
          <w:p w14:paraId="319748E4">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产污环节</w:t>
            </w:r>
          </w:p>
        </w:tc>
        <w:tc>
          <w:tcPr>
            <w:tcW w:w="540" w:type="pct"/>
            <w:tcBorders>
              <w:left w:val="single" w:color="000000" w:sz="4" w:space="0"/>
              <w:bottom w:val="single" w:color="000000" w:sz="4" w:space="0"/>
              <w:right w:val="single" w:color="000000" w:sz="4" w:space="0"/>
            </w:tcBorders>
            <w:shd w:val="clear" w:color="auto" w:fill="auto"/>
            <w:vAlign w:val="center"/>
          </w:tcPr>
          <w:p w14:paraId="552CD0D8">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主要污染物</w:t>
            </w:r>
          </w:p>
        </w:tc>
        <w:tc>
          <w:tcPr>
            <w:tcW w:w="719" w:type="pct"/>
            <w:tcBorders>
              <w:left w:val="single" w:color="000000" w:sz="4" w:space="0"/>
              <w:bottom w:val="single" w:color="000000" w:sz="4" w:space="0"/>
              <w:right w:val="single" w:color="000000" w:sz="4" w:space="0"/>
            </w:tcBorders>
            <w:shd w:val="clear" w:color="auto" w:fill="auto"/>
            <w:vAlign w:val="center"/>
          </w:tcPr>
          <w:p w14:paraId="4B52FE73">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排放总量（t/a）</w:t>
            </w:r>
          </w:p>
        </w:tc>
        <w:tc>
          <w:tcPr>
            <w:tcW w:w="790" w:type="pct"/>
            <w:tcBorders>
              <w:left w:val="single" w:color="000000" w:sz="4" w:space="0"/>
              <w:bottom w:val="single" w:color="000000" w:sz="4" w:space="0"/>
              <w:right w:val="single" w:color="000000" w:sz="4" w:space="0"/>
            </w:tcBorders>
            <w:shd w:val="clear" w:color="auto" w:fill="auto"/>
            <w:vAlign w:val="center"/>
          </w:tcPr>
          <w:p w14:paraId="0F18DEB4">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排放速率（kg/h）</w:t>
            </w:r>
          </w:p>
        </w:tc>
        <w:tc>
          <w:tcPr>
            <w:tcW w:w="518" w:type="pct"/>
            <w:tcBorders>
              <w:left w:val="single" w:color="000000" w:sz="4" w:space="0"/>
              <w:bottom w:val="single" w:color="000000" w:sz="4" w:space="0"/>
              <w:right w:val="single" w:color="000000" w:sz="4" w:space="0"/>
            </w:tcBorders>
            <w:shd w:val="clear" w:color="auto" w:fill="auto"/>
            <w:vAlign w:val="center"/>
          </w:tcPr>
          <w:p w14:paraId="64FB8F7D">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排放制度h</w:t>
            </w:r>
          </w:p>
        </w:tc>
        <w:tc>
          <w:tcPr>
            <w:tcW w:w="812" w:type="pct"/>
            <w:tcBorders>
              <w:left w:val="single" w:color="000000" w:sz="4" w:space="0"/>
              <w:bottom w:val="single" w:color="000000" w:sz="4" w:space="0"/>
            </w:tcBorders>
            <w:shd w:val="clear" w:color="auto" w:fill="auto"/>
            <w:vAlign w:val="center"/>
          </w:tcPr>
          <w:p w14:paraId="27F90032">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面源m</w:t>
            </w:r>
            <w:r>
              <w:rPr>
                <w:rFonts w:hint="default" w:ascii="Times New Roman" w:hAnsi="Times New Roman" w:cs="Times New Roman"/>
                <w:color w:val="auto"/>
                <w:kern w:val="0"/>
                <w:szCs w:val="21"/>
                <w:vertAlign w:val="superscript"/>
                <w:lang w:bidi="ar"/>
              </w:rPr>
              <w:t>2</w:t>
            </w:r>
          </w:p>
        </w:tc>
      </w:tr>
      <w:tr w14:paraId="17D8479E">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485" w:hRule="atLeast"/>
        </w:trPr>
        <w:tc>
          <w:tcPr>
            <w:tcW w:w="450" w:type="pct"/>
            <w:vMerge w:val="restart"/>
            <w:tcBorders>
              <w:top w:val="single" w:color="000000" w:sz="4" w:space="0"/>
              <w:right w:val="single" w:color="000000" w:sz="4" w:space="0"/>
            </w:tcBorders>
            <w:shd w:val="clear" w:color="auto" w:fill="auto"/>
            <w:vAlign w:val="center"/>
          </w:tcPr>
          <w:p w14:paraId="22BA29DC">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生产车间</w:t>
            </w:r>
          </w:p>
        </w:tc>
        <w:tc>
          <w:tcPr>
            <w:tcW w:w="1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DFA130">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4#车间剥壳除锈、打磨工序</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F336E2">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颗粒物</w:t>
            </w:r>
          </w:p>
        </w:tc>
        <w:tc>
          <w:tcPr>
            <w:tcW w:w="7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BF16D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1.314</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DF1A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0.262</w:t>
            </w: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EB2F3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5016</w:t>
            </w:r>
          </w:p>
        </w:tc>
        <w:tc>
          <w:tcPr>
            <w:tcW w:w="812" w:type="pct"/>
            <w:vMerge w:val="restart"/>
            <w:tcBorders>
              <w:top w:val="single" w:color="000000" w:sz="4" w:space="0"/>
              <w:left w:val="single" w:color="000000" w:sz="4" w:space="0"/>
            </w:tcBorders>
            <w:shd w:val="clear" w:color="auto" w:fill="auto"/>
            <w:vAlign w:val="center"/>
          </w:tcPr>
          <w:p w14:paraId="42A7C97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14500</w:t>
            </w:r>
          </w:p>
          <w:p w14:paraId="472E0AA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（最顶部高15m）</w:t>
            </w:r>
          </w:p>
        </w:tc>
      </w:tr>
      <w:tr w14:paraId="50913858">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517" w:hRule="atLeast"/>
        </w:trPr>
        <w:tc>
          <w:tcPr>
            <w:tcW w:w="450" w:type="pct"/>
            <w:vMerge w:val="continue"/>
            <w:tcBorders>
              <w:right w:val="single" w:color="000000" w:sz="4" w:space="0"/>
            </w:tcBorders>
            <w:shd w:val="clear" w:color="auto" w:fill="auto"/>
            <w:vAlign w:val="center"/>
          </w:tcPr>
          <w:p w14:paraId="0D812EEE">
            <w:pPr>
              <w:jc w:val="center"/>
              <w:rPr>
                <w:rFonts w:hint="default" w:ascii="Times New Roman" w:hAnsi="Times New Roman" w:cs="Times New Roman"/>
                <w:color w:val="auto"/>
                <w:szCs w:val="21"/>
              </w:rPr>
            </w:pPr>
          </w:p>
        </w:tc>
        <w:tc>
          <w:tcPr>
            <w:tcW w:w="1168" w:type="pct"/>
            <w:tcBorders>
              <w:top w:val="single" w:color="000000" w:sz="4" w:space="0"/>
              <w:left w:val="single" w:color="000000" w:sz="4" w:space="0"/>
              <w:right w:val="single" w:color="000000" w:sz="4" w:space="0"/>
            </w:tcBorders>
            <w:shd w:val="clear" w:color="auto" w:fill="auto"/>
            <w:noWrap/>
            <w:vAlign w:val="center"/>
          </w:tcPr>
          <w:p w14:paraId="539CA360">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表面处理工序</w:t>
            </w:r>
          </w:p>
        </w:tc>
        <w:tc>
          <w:tcPr>
            <w:tcW w:w="540" w:type="pct"/>
            <w:tcBorders>
              <w:top w:val="single" w:color="000000" w:sz="4" w:space="0"/>
              <w:left w:val="single" w:color="000000" w:sz="4" w:space="0"/>
              <w:right w:val="single" w:color="000000" w:sz="4" w:space="0"/>
            </w:tcBorders>
            <w:shd w:val="clear" w:color="auto" w:fill="auto"/>
            <w:noWrap/>
            <w:vAlign w:val="center"/>
          </w:tcPr>
          <w:p w14:paraId="4CDB1D98">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HCl</w:t>
            </w:r>
          </w:p>
        </w:tc>
        <w:tc>
          <w:tcPr>
            <w:tcW w:w="719" w:type="pct"/>
            <w:tcBorders>
              <w:top w:val="single" w:color="000000" w:sz="4" w:space="0"/>
              <w:left w:val="single" w:color="000000" w:sz="4" w:space="0"/>
              <w:right w:val="single" w:color="000000" w:sz="4" w:space="0"/>
            </w:tcBorders>
            <w:shd w:val="clear" w:color="auto" w:fill="auto"/>
            <w:noWrap/>
            <w:vAlign w:val="center"/>
          </w:tcPr>
          <w:p w14:paraId="6E78EB1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1.875</w:t>
            </w:r>
          </w:p>
        </w:tc>
        <w:tc>
          <w:tcPr>
            <w:tcW w:w="790" w:type="pct"/>
            <w:tcBorders>
              <w:top w:val="single" w:color="000000" w:sz="4" w:space="0"/>
              <w:left w:val="single" w:color="000000" w:sz="4" w:space="0"/>
              <w:right w:val="single" w:color="000000" w:sz="4" w:space="0"/>
            </w:tcBorders>
            <w:shd w:val="clear" w:color="auto" w:fill="auto"/>
            <w:vAlign w:val="center"/>
          </w:tcPr>
          <w:p w14:paraId="72A36D6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0.260</w:t>
            </w:r>
          </w:p>
        </w:tc>
        <w:tc>
          <w:tcPr>
            <w:tcW w:w="518" w:type="pct"/>
            <w:tcBorders>
              <w:top w:val="single" w:color="000000" w:sz="4" w:space="0"/>
              <w:left w:val="single" w:color="000000" w:sz="4" w:space="0"/>
              <w:right w:val="single" w:color="000000" w:sz="4" w:space="0"/>
            </w:tcBorders>
            <w:shd w:val="clear" w:color="auto" w:fill="auto"/>
            <w:noWrap/>
            <w:vAlign w:val="center"/>
          </w:tcPr>
          <w:p w14:paraId="747216A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7200</w:t>
            </w:r>
          </w:p>
        </w:tc>
        <w:tc>
          <w:tcPr>
            <w:tcW w:w="812" w:type="pct"/>
            <w:vMerge w:val="continue"/>
            <w:tcBorders>
              <w:left w:val="single" w:color="000000" w:sz="4" w:space="0"/>
            </w:tcBorders>
            <w:shd w:val="clear" w:color="auto" w:fill="auto"/>
            <w:vAlign w:val="center"/>
          </w:tcPr>
          <w:p w14:paraId="1B9AB4A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r>
    </w:tbl>
    <w:p w14:paraId="62E19026">
      <w:pPr>
        <w:rPr>
          <w:rFonts w:hint="default" w:ascii="Times New Roman" w:hAnsi="Times New Roman" w:cs="Times New Roman"/>
          <w:color w:val="auto"/>
        </w:rPr>
      </w:pPr>
    </w:p>
    <w:p w14:paraId="4478CA0C">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 xml:space="preserve">表4.2-10 </w:t>
      </w:r>
      <w:r>
        <w:rPr>
          <w:rFonts w:hint="eastAsia" w:eastAsia="黑体" w:cs="Times New Roman"/>
          <w:b w:val="0"/>
          <w:bCs/>
          <w:color w:val="auto"/>
          <w:lang w:val="en-US" w:eastAsia="zh-CN"/>
        </w:rPr>
        <w:t xml:space="preserve"> </w:t>
      </w:r>
      <w:r>
        <w:rPr>
          <w:rFonts w:hint="default" w:ascii="Times New Roman" w:hAnsi="Times New Roman" w:eastAsia="黑体" w:cs="Times New Roman"/>
          <w:b w:val="0"/>
          <w:bCs/>
          <w:color w:val="auto"/>
        </w:rPr>
        <w:t>现有工程整改（以新代老）废气有组织排放情况</w:t>
      </w:r>
    </w:p>
    <w:tbl>
      <w:tblPr>
        <w:tblStyle w:val="34"/>
        <w:tblW w:w="4995" w:type="pct"/>
        <w:tblInd w:w="0" w:type="dxa"/>
        <w:tblLayout w:type="fixed"/>
        <w:tblCellMar>
          <w:top w:w="0" w:type="dxa"/>
          <w:left w:w="108" w:type="dxa"/>
          <w:bottom w:w="0" w:type="dxa"/>
          <w:right w:w="108" w:type="dxa"/>
        </w:tblCellMar>
      </w:tblPr>
      <w:tblGrid>
        <w:gridCol w:w="802"/>
        <w:gridCol w:w="1126"/>
        <w:gridCol w:w="1081"/>
        <w:gridCol w:w="864"/>
        <w:gridCol w:w="668"/>
        <w:gridCol w:w="1099"/>
        <w:gridCol w:w="763"/>
        <w:gridCol w:w="849"/>
        <w:gridCol w:w="772"/>
        <w:gridCol w:w="854"/>
        <w:gridCol w:w="762"/>
        <w:gridCol w:w="798"/>
        <w:gridCol w:w="839"/>
        <w:gridCol w:w="944"/>
        <w:gridCol w:w="598"/>
        <w:gridCol w:w="625"/>
        <w:gridCol w:w="667"/>
        <w:gridCol w:w="771"/>
      </w:tblGrid>
      <w:tr w14:paraId="07B7EDBA">
        <w:tblPrEx>
          <w:tblCellMar>
            <w:top w:w="0" w:type="dxa"/>
            <w:left w:w="108" w:type="dxa"/>
            <w:bottom w:w="0" w:type="dxa"/>
            <w:right w:w="108" w:type="dxa"/>
          </w:tblCellMar>
        </w:tblPrEx>
        <w:trPr>
          <w:trHeight w:val="493" w:hRule="atLeast"/>
        </w:trPr>
        <w:tc>
          <w:tcPr>
            <w:tcW w:w="26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EBC1223">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编号</w:t>
            </w:r>
          </w:p>
        </w:tc>
        <w:tc>
          <w:tcPr>
            <w:tcW w:w="3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0B68B07">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废气源</w:t>
            </w:r>
          </w:p>
        </w:tc>
        <w:tc>
          <w:tcPr>
            <w:tcW w:w="3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94E72AB">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废气量m</w:t>
            </w:r>
            <w:r>
              <w:rPr>
                <w:rFonts w:hint="default" w:ascii="Times New Roman" w:hAnsi="Times New Roman" w:cs="Times New Roman"/>
                <w:color w:val="auto"/>
                <w:kern w:val="0"/>
                <w:szCs w:val="21"/>
                <w:vertAlign w:val="superscript"/>
                <w:lang w:bidi="ar"/>
              </w:rPr>
              <w:t>3</w:t>
            </w:r>
            <w:r>
              <w:rPr>
                <w:rFonts w:hint="default" w:ascii="Times New Roman" w:hAnsi="Times New Roman" w:cs="Times New Roman"/>
                <w:color w:val="auto"/>
                <w:kern w:val="0"/>
                <w:szCs w:val="21"/>
                <w:lang w:bidi="ar"/>
              </w:rPr>
              <w:t>/h</w:t>
            </w:r>
          </w:p>
        </w:tc>
        <w:tc>
          <w:tcPr>
            <w:tcW w:w="29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7E1B71E">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废气</w:t>
            </w:r>
          </w:p>
          <w:p w14:paraId="3F071545">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因子</w:t>
            </w:r>
          </w:p>
        </w:tc>
        <w:tc>
          <w:tcPr>
            <w:tcW w:w="22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390A53">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核算方法</w:t>
            </w:r>
          </w:p>
        </w:tc>
        <w:tc>
          <w:tcPr>
            <w:tcW w:w="62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9D085C6">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产生</w:t>
            </w:r>
          </w:p>
        </w:tc>
        <w:tc>
          <w:tcPr>
            <w:tcW w:w="28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82329A1">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处理</w:t>
            </w:r>
          </w:p>
          <w:p w14:paraId="2F6470BA">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措施</w:t>
            </w:r>
          </w:p>
        </w:tc>
        <w:tc>
          <w:tcPr>
            <w:tcW w:w="2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99060CD">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处理</w:t>
            </w:r>
          </w:p>
          <w:p w14:paraId="10AEE460">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效率</w:t>
            </w:r>
          </w:p>
        </w:tc>
        <w:tc>
          <w:tcPr>
            <w:tcW w:w="81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7EB3F34">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排放</w:t>
            </w:r>
          </w:p>
        </w:tc>
        <w:tc>
          <w:tcPr>
            <w:tcW w:w="59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A63840B">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排放标准</w:t>
            </w:r>
          </w:p>
        </w:tc>
        <w:tc>
          <w:tcPr>
            <w:tcW w:w="63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EBE7A90">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排气筒</w:t>
            </w:r>
          </w:p>
        </w:tc>
        <w:tc>
          <w:tcPr>
            <w:tcW w:w="259" w:type="pct"/>
            <w:vMerge w:val="restart"/>
            <w:tcBorders>
              <w:top w:val="single" w:color="000000" w:sz="4" w:space="0"/>
              <w:left w:val="single" w:color="000000" w:sz="4" w:space="0"/>
              <w:right w:val="single" w:color="000000" w:sz="4" w:space="0"/>
            </w:tcBorders>
            <w:shd w:val="clear" w:color="auto" w:fill="auto"/>
            <w:vAlign w:val="center"/>
          </w:tcPr>
          <w:p w14:paraId="5F2D4C92">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排放时间</w:t>
            </w:r>
          </w:p>
          <w:p w14:paraId="328AB049">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h</w:t>
            </w:r>
          </w:p>
        </w:tc>
      </w:tr>
      <w:tr w14:paraId="78BF6323">
        <w:tblPrEx>
          <w:tblCellMar>
            <w:top w:w="0" w:type="dxa"/>
            <w:left w:w="108" w:type="dxa"/>
            <w:bottom w:w="0" w:type="dxa"/>
            <w:right w:w="108" w:type="dxa"/>
          </w:tblCellMar>
        </w:tblPrEx>
        <w:trPr>
          <w:trHeight w:val="1081" w:hRule="atLeast"/>
        </w:trPr>
        <w:tc>
          <w:tcPr>
            <w:tcW w:w="26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2E2089">
            <w:pPr>
              <w:widowControl/>
              <w:spacing w:line="300" w:lineRule="exact"/>
              <w:jc w:val="center"/>
              <w:rPr>
                <w:rFonts w:hint="default" w:ascii="Times New Roman" w:hAnsi="Times New Roman" w:cs="Times New Roman"/>
                <w:color w:val="auto"/>
                <w:szCs w:val="21"/>
              </w:rPr>
            </w:pPr>
          </w:p>
        </w:tc>
        <w:tc>
          <w:tcPr>
            <w:tcW w:w="3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E991A2">
            <w:pPr>
              <w:widowControl/>
              <w:spacing w:line="300" w:lineRule="exact"/>
              <w:jc w:val="center"/>
              <w:rPr>
                <w:rFonts w:hint="default" w:ascii="Times New Roman" w:hAnsi="Times New Roman" w:cs="Times New Roman"/>
                <w:color w:val="auto"/>
                <w:szCs w:val="21"/>
              </w:rPr>
            </w:pPr>
          </w:p>
        </w:tc>
        <w:tc>
          <w:tcPr>
            <w:tcW w:w="3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D4E0AC">
            <w:pPr>
              <w:widowControl/>
              <w:spacing w:line="300" w:lineRule="exact"/>
              <w:jc w:val="center"/>
              <w:rPr>
                <w:rFonts w:hint="default" w:ascii="Times New Roman" w:hAnsi="Times New Roman" w:cs="Times New Roman"/>
                <w:color w:val="auto"/>
                <w:szCs w:val="21"/>
              </w:rPr>
            </w:pPr>
          </w:p>
        </w:tc>
        <w:tc>
          <w:tcPr>
            <w:tcW w:w="2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FF68E7">
            <w:pPr>
              <w:widowControl/>
              <w:spacing w:line="300" w:lineRule="exact"/>
              <w:jc w:val="center"/>
              <w:rPr>
                <w:rFonts w:hint="default" w:ascii="Times New Roman" w:hAnsi="Times New Roman" w:cs="Times New Roman"/>
                <w:color w:val="auto"/>
                <w:szCs w:val="21"/>
              </w:rPr>
            </w:pPr>
          </w:p>
        </w:tc>
        <w:tc>
          <w:tcPr>
            <w:tcW w:w="22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B3847D">
            <w:pPr>
              <w:widowControl/>
              <w:spacing w:line="300" w:lineRule="exact"/>
              <w:jc w:val="center"/>
              <w:rPr>
                <w:rFonts w:hint="default" w:ascii="Times New Roman" w:hAnsi="Times New Roman" w:cs="Times New Roman"/>
                <w:color w:val="auto"/>
                <w:szCs w:val="21"/>
              </w:rPr>
            </w:pPr>
          </w:p>
        </w:tc>
        <w:tc>
          <w:tcPr>
            <w:tcW w:w="369" w:type="pct"/>
            <w:tcBorders>
              <w:top w:val="single" w:color="000000" w:sz="4" w:space="0"/>
              <w:left w:val="single" w:color="000000" w:sz="4" w:space="0"/>
              <w:right w:val="single" w:color="000000" w:sz="4" w:space="0"/>
            </w:tcBorders>
            <w:shd w:val="clear" w:color="auto" w:fill="auto"/>
            <w:vAlign w:val="center"/>
          </w:tcPr>
          <w:p w14:paraId="78F430FA">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产生浓度</w:t>
            </w:r>
          </w:p>
          <w:p w14:paraId="4DE28069">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mg/m</w:t>
            </w:r>
            <w:r>
              <w:rPr>
                <w:rFonts w:hint="default" w:ascii="Times New Roman" w:hAnsi="Times New Roman" w:cs="Times New Roman"/>
                <w:color w:val="auto"/>
                <w:kern w:val="0"/>
                <w:szCs w:val="21"/>
                <w:vertAlign w:val="superscript"/>
                <w:lang w:bidi="ar"/>
              </w:rPr>
              <w:t>3</w:t>
            </w:r>
          </w:p>
        </w:tc>
        <w:tc>
          <w:tcPr>
            <w:tcW w:w="256" w:type="pct"/>
            <w:tcBorders>
              <w:top w:val="single" w:color="000000" w:sz="4" w:space="0"/>
              <w:left w:val="single" w:color="000000" w:sz="4" w:space="0"/>
              <w:right w:val="single" w:color="000000" w:sz="4" w:space="0"/>
            </w:tcBorders>
            <w:shd w:val="clear" w:color="auto" w:fill="auto"/>
            <w:vAlign w:val="center"/>
          </w:tcPr>
          <w:p w14:paraId="484036E3">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年产生量</w:t>
            </w:r>
          </w:p>
          <w:p w14:paraId="559ECBE5">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t/a</w:t>
            </w:r>
          </w:p>
        </w:tc>
        <w:tc>
          <w:tcPr>
            <w:tcW w:w="28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C2A91B">
            <w:pPr>
              <w:widowControl/>
              <w:spacing w:line="300" w:lineRule="exact"/>
              <w:jc w:val="center"/>
              <w:rPr>
                <w:rFonts w:hint="default" w:ascii="Times New Roman" w:hAnsi="Times New Roman" w:cs="Times New Roman"/>
                <w:color w:val="auto"/>
                <w:szCs w:val="21"/>
              </w:rPr>
            </w:pPr>
          </w:p>
        </w:tc>
        <w:tc>
          <w:tcPr>
            <w:tcW w:w="2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0C18C5">
            <w:pPr>
              <w:widowControl/>
              <w:spacing w:line="300" w:lineRule="exact"/>
              <w:jc w:val="center"/>
              <w:rPr>
                <w:rFonts w:hint="default" w:ascii="Times New Roman" w:hAnsi="Times New Roman" w:cs="Times New Roman"/>
                <w:color w:val="auto"/>
                <w:szCs w:val="21"/>
              </w:rPr>
            </w:pPr>
          </w:p>
        </w:tc>
        <w:tc>
          <w:tcPr>
            <w:tcW w:w="286" w:type="pct"/>
            <w:tcBorders>
              <w:top w:val="single" w:color="000000" w:sz="4" w:space="0"/>
              <w:left w:val="single" w:color="000000" w:sz="4" w:space="0"/>
              <w:right w:val="single" w:color="000000" w:sz="4" w:space="0"/>
            </w:tcBorders>
            <w:shd w:val="clear" w:color="auto" w:fill="auto"/>
            <w:vAlign w:val="center"/>
          </w:tcPr>
          <w:p w14:paraId="793B28A0">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排放</w:t>
            </w:r>
          </w:p>
          <w:p w14:paraId="3BACD324">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浓度</w:t>
            </w:r>
          </w:p>
          <w:p w14:paraId="3105D381">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mg/m</w:t>
            </w:r>
            <w:r>
              <w:rPr>
                <w:rFonts w:hint="default" w:ascii="Times New Roman" w:hAnsi="Times New Roman" w:cs="Times New Roman"/>
                <w:color w:val="auto"/>
                <w:kern w:val="0"/>
                <w:szCs w:val="21"/>
                <w:vertAlign w:val="superscript"/>
                <w:lang w:bidi="ar"/>
              </w:rPr>
              <w:t>3</w:t>
            </w:r>
          </w:p>
        </w:tc>
        <w:tc>
          <w:tcPr>
            <w:tcW w:w="256" w:type="pct"/>
            <w:tcBorders>
              <w:top w:val="single" w:color="000000" w:sz="4" w:space="0"/>
              <w:left w:val="single" w:color="000000" w:sz="4" w:space="0"/>
              <w:right w:val="single" w:color="000000" w:sz="4" w:space="0"/>
            </w:tcBorders>
            <w:shd w:val="clear" w:color="auto" w:fill="auto"/>
            <w:vAlign w:val="center"/>
          </w:tcPr>
          <w:p w14:paraId="6839C173">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排放速率</w:t>
            </w:r>
          </w:p>
          <w:p w14:paraId="539A5606">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kg/h</w:t>
            </w:r>
          </w:p>
        </w:tc>
        <w:tc>
          <w:tcPr>
            <w:tcW w:w="268" w:type="pct"/>
            <w:tcBorders>
              <w:top w:val="single" w:color="000000" w:sz="4" w:space="0"/>
              <w:left w:val="single" w:color="000000" w:sz="4" w:space="0"/>
              <w:right w:val="single" w:color="000000" w:sz="4" w:space="0"/>
            </w:tcBorders>
            <w:shd w:val="clear" w:color="auto" w:fill="auto"/>
            <w:vAlign w:val="center"/>
          </w:tcPr>
          <w:p w14:paraId="1AA531D3">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年排放量</w:t>
            </w:r>
          </w:p>
          <w:p w14:paraId="200ED1D8">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t/a</w:t>
            </w:r>
          </w:p>
        </w:tc>
        <w:tc>
          <w:tcPr>
            <w:tcW w:w="281" w:type="pct"/>
            <w:tcBorders>
              <w:top w:val="single" w:color="000000" w:sz="4" w:space="0"/>
              <w:left w:val="single" w:color="000000" w:sz="4" w:space="0"/>
              <w:right w:val="single" w:color="000000" w:sz="4" w:space="0"/>
            </w:tcBorders>
            <w:shd w:val="clear" w:color="auto" w:fill="auto"/>
            <w:vAlign w:val="center"/>
          </w:tcPr>
          <w:p w14:paraId="6119A5AA">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排放浓度</w:t>
            </w:r>
          </w:p>
          <w:p w14:paraId="41FFEDAA">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mg/m</w:t>
            </w:r>
            <w:r>
              <w:rPr>
                <w:rFonts w:hint="default" w:ascii="Times New Roman" w:hAnsi="Times New Roman" w:cs="Times New Roman"/>
                <w:color w:val="auto"/>
                <w:kern w:val="0"/>
                <w:szCs w:val="21"/>
                <w:vertAlign w:val="superscript"/>
                <w:lang w:bidi="ar"/>
              </w:rPr>
              <w:t>3</w:t>
            </w:r>
          </w:p>
        </w:tc>
        <w:tc>
          <w:tcPr>
            <w:tcW w:w="317" w:type="pct"/>
            <w:tcBorders>
              <w:top w:val="single" w:color="000000" w:sz="4" w:space="0"/>
              <w:left w:val="single" w:color="000000" w:sz="4" w:space="0"/>
              <w:right w:val="single" w:color="000000" w:sz="4" w:space="0"/>
            </w:tcBorders>
            <w:shd w:val="clear" w:color="auto" w:fill="auto"/>
            <w:vAlign w:val="center"/>
          </w:tcPr>
          <w:p w14:paraId="592CF32E">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排放</w:t>
            </w:r>
          </w:p>
          <w:p w14:paraId="62EB5BDD">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速率</w:t>
            </w:r>
          </w:p>
          <w:p w14:paraId="743430AC">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kg/h</w:t>
            </w:r>
          </w:p>
        </w:tc>
        <w:tc>
          <w:tcPr>
            <w:tcW w:w="200" w:type="pct"/>
            <w:tcBorders>
              <w:top w:val="single" w:color="000000" w:sz="4" w:space="0"/>
              <w:left w:val="single" w:color="000000" w:sz="4" w:space="0"/>
              <w:right w:val="single" w:color="000000" w:sz="4" w:space="0"/>
            </w:tcBorders>
            <w:shd w:val="clear" w:color="auto" w:fill="auto"/>
            <w:vAlign w:val="center"/>
          </w:tcPr>
          <w:p w14:paraId="6244D222">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H</w:t>
            </w:r>
          </w:p>
          <w:p w14:paraId="5F2CFB29">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m</w:t>
            </w:r>
          </w:p>
        </w:tc>
        <w:tc>
          <w:tcPr>
            <w:tcW w:w="209" w:type="pct"/>
            <w:tcBorders>
              <w:top w:val="single" w:color="000000" w:sz="4" w:space="0"/>
              <w:left w:val="single" w:color="000000" w:sz="4" w:space="0"/>
              <w:right w:val="single" w:color="000000" w:sz="4" w:space="0"/>
            </w:tcBorders>
            <w:shd w:val="clear" w:color="auto" w:fill="auto"/>
            <w:vAlign w:val="center"/>
          </w:tcPr>
          <w:p w14:paraId="32C928B0">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内径</w:t>
            </w:r>
          </w:p>
          <w:p w14:paraId="556088CC">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m</w:t>
            </w:r>
          </w:p>
        </w:tc>
        <w:tc>
          <w:tcPr>
            <w:tcW w:w="224" w:type="pct"/>
            <w:tcBorders>
              <w:top w:val="single" w:color="000000" w:sz="4" w:space="0"/>
              <w:left w:val="single" w:color="000000" w:sz="4" w:space="0"/>
              <w:right w:val="single" w:color="000000" w:sz="4" w:space="0"/>
            </w:tcBorders>
            <w:shd w:val="clear" w:color="auto" w:fill="auto"/>
            <w:vAlign w:val="center"/>
          </w:tcPr>
          <w:p w14:paraId="2B1BA5E6">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烟气温度</w:t>
            </w:r>
          </w:p>
          <w:p w14:paraId="6D17AD62">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w:t>
            </w:r>
          </w:p>
        </w:tc>
        <w:tc>
          <w:tcPr>
            <w:tcW w:w="259" w:type="pct"/>
            <w:vMerge w:val="continue"/>
            <w:tcBorders>
              <w:left w:val="single" w:color="000000" w:sz="4" w:space="0"/>
              <w:right w:val="single" w:color="000000" w:sz="4" w:space="0"/>
            </w:tcBorders>
            <w:shd w:val="clear" w:color="auto" w:fill="auto"/>
            <w:vAlign w:val="center"/>
          </w:tcPr>
          <w:p w14:paraId="0F0FF960">
            <w:pPr>
              <w:widowControl/>
              <w:spacing w:line="300" w:lineRule="exact"/>
              <w:jc w:val="center"/>
              <w:rPr>
                <w:rFonts w:hint="default" w:ascii="Times New Roman" w:hAnsi="Times New Roman" w:cs="Times New Roman"/>
                <w:color w:val="auto"/>
                <w:szCs w:val="21"/>
              </w:rPr>
            </w:pPr>
          </w:p>
        </w:tc>
      </w:tr>
      <w:tr w14:paraId="13CDE816">
        <w:tblPrEx>
          <w:tblCellMar>
            <w:top w:w="0" w:type="dxa"/>
            <w:left w:w="108" w:type="dxa"/>
            <w:bottom w:w="0" w:type="dxa"/>
            <w:right w:w="108" w:type="dxa"/>
          </w:tblCellMar>
        </w:tblPrEx>
        <w:trPr>
          <w:trHeight w:val="1200" w:hRule="atLeast"/>
        </w:trPr>
        <w:tc>
          <w:tcPr>
            <w:tcW w:w="2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319FD">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DA006</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2F9F1">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1#车间剥壳除锈、打磨工序</w:t>
            </w:r>
          </w:p>
        </w:tc>
        <w:tc>
          <w:tcPr>
            <w:tcW w:w="3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7A0B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5328</w:t>
            </w:r>
          </w:p>
        </w:tc>
        <w:tc>
          <w:tcPr>
            <w:tcW w:w="2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221F5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2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9742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系数法</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2FDAC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3279.558 </w:t>
            </w:r>
          </w:p>
        </w:tc>
        <w:tc>
          <w:tcPr>
            <w:tcW w:w="2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3EA1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46.13</w:t>
            </w:r>
          </w:p>
        </w:tc>
        <w:tc>
          <w:tcPr>
            <w:tcW w:w="2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FA9F3B">
            <w:pPr>
              <w:keepNext w:val="0"/>
              <w:keepLines w:val="0"/>
              <w:widowControl/>
              <w:suppressLineNumbers w:val="0"/>
              <w:jc w:val="center"/>
              <w:textAlignment w:val="center"/>
              <w:rPr>
                <w:rFonts w:hint="default" w:ascii="Times New Roman" w:hAnsi="Times New Roman" w:cs="Times New Roman"/>
                <w:color w:val="auto"/>
                <w:kern w:val="0"/>
                <w:szCs w:val="21"/>
                <w:lang w:val="en-US" w:eastAsia="zh-CN" w:bidi="ar"/>
              </w:rPr>
            </w:pPr>
            <w:r>
              <w:rPr>
                <w:rFonts w:hint="default" w:ascii="Times New Roman" w:hAnsi="Times New Roman" w:cs="Times New Roman"/>
                <w:color w:val="auto"/>
                <w:kern w:val="0"/>
                <w:szCs w:val="21"/>
                <w:lang w:val="en-US" w:eastAsia="zh-CN" w:bidi="ar"/>
              </w:rPr>
              <w:t>滤筒</w:t>
            </w:r>
          </w:p>
          <w:p w14:paraId="0D2484D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除尘</w:t>
            </w:r>
          </w:p>
        </w:tc>
        <w:tc>
          <w:tcPr>
            <w:tcW w:w="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876EB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99%</w:t>
            </w:r>
          </w:p>
        </w:tc>
        <w:tc>
          <w:tcPr>
            <w:tcW w:w="2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9740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30.030 </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E9F2AC">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 xml:space="preserve">0.160 </w:t>
            </w:r>
          </w:p>
        </w:tc>
        <w:tc>
          <w:tcPr>
            <w:tcW w:w="2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31592F">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 xml:space="preserve">0.42 </w:t>
            </w:r>
          </w:p>
        </w:tc>
        <w:tc>
          <w:tcPr>
            <w:tcW w:w="2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7281E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120</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41172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4.94</w:t>
            </w:r>
          </w:p>
        </w:tc>
        <w:tc>
          <w:tcPr>
            <w:tcW w:w="2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57723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18</w:t>
            </w:r>
          </w:p>
        </w:tc>
        <w:tc>
          <w:tcPr>
            <w:tcW w:w="2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CEE6F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0.5</w:t>
            </w:r>
          </w:p>
        </w:tc>
        <w:tc>
          <w:tcPr>
            <w:tcW w:w="2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9A4A57">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常温</w:t>
            </w:r>
          </w:p>
        </w:tc>
        <w:tc>
          <w:tcPr>
            <w:tcW w:w="2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76AA7">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2640</w:t>
            </w:r>
          </w:p>
        </w:tc>
      </w:tr>
    </w:tbl>
    <w:p w14:paraId="792CB7FF">
      <w:pPr>
        <w:rPr>
          <w:rFonts w:hint="default" w:ascii="Times New Roman" w:hAnsi="Times New Roman" w:cs="Times New Roman"/>
          <w:color w:val="auto"/>
        </w:rPr>
      </w:pPr>
    </w:p>
    <w:p w14:paraId="54B672A9">
      <w:pPr>
        <w:rPr>
          <w:rFonts w:hint="default" w:ascii="Times New Roman" w:hAnsi="Times New Roman" w:cs="Times New Roman"/>
          <w:color w:val="auto"/>
        </w:rPr>
      </w:pPr>
    </w:p>
    <w:p w14:paraId="4ED4DCF2">
      <w:pPr>
        <w:pStyle w:val="30"/>
        <w:spacing w:before="0" w:beforeAutospacing="0" w:after="0" w:afterAutospacing="0"/>
        <w:jc w:val="center"/>
        <w:outlineLvl w:val="0"/>
        <w:rPr>
          <w:rFonts w:hint="default" w:ascii="Times New Roman" w:hAnsi="Times New Roman" w:cs="Times New Roman"/>
          <w:color w:val="auto"/>
        </w:rPr>
        <w:sectPr>
          <w:pgSz w:w="16838" w:h="11905" w:orient="landscape"/>
          <w:pgMar w:top="1440" w:right="1080" w:bottom="1440" w:left="1080" w:header="964" w:footer="964" w:gutter="0"/>
          <w:pgBorders>
            <w:top w:val="none" w:sz="0" w:space="0"/>
            <w:left w:val="none" w:sz="0" w:space="0"/>
            <w:bottom w:val="none" w:sz="0" w:space="0"/>
            <w:right w:val="none" w:sz="0" w:space="0"/>
          </w:pgBorders>
          <w:cols w:space="720" w:num="1"/>
          <w:docGrid w:type="lines" w:linePitch="378" w:charSpace="0"/>
        </w:sectPr>
      </w:pPr>
    </w:p>
    <w:tbl>
      <w:tblPr>
        <w:tblStyle w:val="34"/>
        <w:tblW w:w="508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04"/>
        <w:gridCol w:w="8861"/>
      </w:tblGrid>
      <w:tr w14:paraId="3E7C80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69" w:type="pct"/>
            <w:tcMar>
              <w:left w:w="28" w:type="dxa"/>
              <w:right w:w="28" w:type="dxa"/>
            </w:tcMar>
            <w:vAlign w:val="center"/>
          </w:tcPr>
          <w:p w14:paraId="6543A1CE">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运营</w:t>
            </w:r>
          </w:p>
          <w:p w14:paraId="7086F71A">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期环</w:t>
            </w:r>
          </w:p>
          <w:p w14:paraId="6D5EB9CD">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境影</w:t>
            </w:r>
          </w:p>
          <w:p w14:paraId="1396240A">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响和</w:t>
            </w:r>
          </w:p>
          <w:p w14:paraId="186D6CFC">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保护</w:t>
            </w:r>
          </w:p>
          <w:p w14:paraId="2DFDD46B">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措施</w:t>
            </w:r>
          </w:p>
        </w:tc>
        <w:tc>
          <w:tcPr>
            <w:tcW w:w="4730" w:type="pct"/>
            <w:vAlign w:val="center"/>
          </w:tcPr>
          <w:p w14:paraId="213F15A7">
            <w:pPr>
              <w:pStyle w:val="6"/>
              <w:keepNext/>
              <w:keepLines/>
              <w:pageBreakBefore w:val="0"/>
              <w:widowControl w:val="0"/>
              <w:kinsoku/>
              <w:wordWrap/>
              <w:overflowPunct/>
              <w:topLinePunct w:val="0"/>
              <w:autoSpaceDE/>
              <w:autoSpaceDN/>
              <w:bidi w:val="0"/>
              <w:adjustRightInd w:val="0"/>
              <w:snapToGrid w:val="0"/>
              <w:spacing w:before="115" w:beforeLines="30"/>
              <w:textAlignment w:val="auto"/>
              <w:rPr>
                <w:rFonts w:hint="default" w:ascii="Times New Roman" w:hAnsi="Times New Roman" w:cs="Times New Roman"/>
                <w:color w:val="auto"/>
              </w:rPr>
            </w:pPr>
            <w:r>
              <w:rPr>
                <w:rFonts w:hint="default" w:ascii="Times New Roman" w:hAnsi="Times New Roman" w:cs="Times New Roman"/>
                <w:color w:val="auto"/>
              </w:rPr>
              <w:t>4.2.1.2废气环保措施</w:t>
            </w:r>
          </w:p>
          <w:p w14:paraId="0DBBA25F">
            <w:pPr>
              <w:pStyle w:val="10"/>
              <w:keepNext w:val="0"/>
              <w:keepLines w:val="0"/>
              <w:pageBreakBefore w:val="0"/>
              <w:numPr>
                <w:ilvl w:val="0"/>
                <w:numId w:val="14"/>
              </w:numPr>
              <w:kinsoku/>
              <w:wordWrap/>
              <w:overflowPunct/>
              <w:topLinePunct w:val="0"/>
              <w:autoSpaceDE/>
              <w:autoSpaceDN/>
              <w:bidi w:val="0"/>
              <w:adjustRightInd w:val="0"/>
              <w:snapToGrid w:val="0"/>
              <w:spacing w:line="360" w:lineRule="auto"/>
              <w:ind w:left="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剥壳除锈、打磨工序废气</w:t>
            </w:r>
          </w:p>
          <w:p w14:paraId="7D3FDD86">
            <w:pPr>
              <w:pStyle w:val="10"/>
              <w:keepNext w:val="0"/>
              <w:keepLines w:val="0"/>
              <w:pageBreakBefore w:val="0"/>
              <w:kinsoku/>
              <w:wordWrap/>
              <w:overflowPunct/>
              <w:topLinePunct w:val="0"/>
              <w:autoSpaceDE/>
              <w:autoSpaceDN/>
              <w:bidi w:val="0"/>
              <w:adjustRightInd w:val="0"/>
              <w:snapToGrid w:val="0"/>
              <w:spacing w:line="360" w:lineRule="auto"/>
              <w:ind w:left="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本评价剥壳除锈、打磨工序产生的粉尘采用</w:t>
            </w:r>
            <w:r>
              <w:rPr>
                <w:rFonts w:hint="default" w:ascii="Times New Roman" w:hAnsi="Times New Roman" w:cs="Times New Roman"/>
                <w:color w:val="auto"/>
                <w:sz w:val="24"/>
                <w:lang w:val="en-US" w:eastAsia="zh-CN"/>
              </w:rPr>
              <w:t>自带的</w:t>
            </w:r>
            <w:r>
              <w:rPr>
                <w:rFonts w:hint="default" w:ascii="Times New Roman" w:hAnsi="Times New Roman" w:cs="Times New Roman"/>
                <w:color w:val="auto"/>
                <w:sz w:val="24"/>
              </w:rPr>
              <w:t>滤筒除尘</w:t>
            </w:r>
            <w:r>
              <w:rPr>
                <w:rFonts w:hint="default" w:ascii="Times New Roman" w:hAnsi="Times New Roman" w:cs="Times New Roman"/>
                <w:color w:val="auto"/>
                <w:sz w:val="24"/>
                <w:lang w:val="en-US" w:eastAsia="zh-CN"/>
              </w:rPr>
              <w:t>器</w:t>
            </w:r>
            <w:r>
              <w:rPr>
                <w:rFonts w:hint="default" w:ascii="Times New Roman" w:hAnsi="Times New Roman" w:cs="Times New Roman"/>
                <w:color w:val="auto"/>
                <w:sz w:val="24"/>
              </w:rPr>
              <w:t>进行处理达标后，</w:t>
            </w:r>
            <w:r>
              <w:rPr>
                <w:rFonts w:hint="default" w:ascii="Times New Roman" w:hAnsi="Times New Roman" w:cs="Times New Roman"/>
                <w:color w:val="auto"/>
                <w:sz w:val="24"/>
                <w:lang w:val="en-US" w:eastAsia="zh-CN"/>
              </w:rPr>
              <w:t>由</w:t>
            </w:r>
            <w:r>
              <w:rPr>
                <w:rFonts w:hint="default" w:ascii="Times New Roman" w:hAnsi="Times New Roman" w:cs="Times New Roman"/>
                <w:color w:val="auto"/>
                <w:sz w:val="24"/>
              </w:rPr>
              <w:t>18m高排气筒排放。</w:t>
            </w:r>
          </w:p>
          <w:p w14:paraId="3E829731">
            <w:pPr>
              <w:pStyle w:val="10"/>
              <w:keepNext w:val="0"/>
              <w:keepLines w:val="0"/>
              <w:pageBreakBefore w:val="0"/>
              <w:numPr>
                <w:ilvl w:val="0"/>
                <w:numId w:val="14"/>
              </w:numPr>
              <w:kinsoku/>
              <w:wordWrap/>
              <w:overflowPunct/>
              <w:topLinePunct w:val="0"/>
              <w:autoSpaceDE/>
              <w:autoSpaceDN/>
              <w:bidi w:val="0"/>
              <w:adjustRightInd w:val="0"/>
              <w:snapToGrid w:val="0"/>
              <w:spacing w:line="360" w:lineRule="auto"/>
              <w:ind w:left="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表面处理废气</w:t>
            </w:r>
          </w:p>
          <w:p w14:paraId="248367C0">
            <w:pPr>
              <w:keepNext w:val="0"/>
              <w:keepLines w:val="0"/>
              <w:pageBreakBefore w:val="0"/>
              <w:widowControl/>
              <w:kinsoku/>
              <w:wordWrap/>
              <w:overflowPunct/>
              <w:topLinePunct w:val="0"/>
              <w:autoSpaceDE/>
              <w:autoSpaceDN/>
              <w:bidi w:val="0"/>
              <w:adjustRightInd w:val="0"/>
              <w:snapToGrid w:val="0"/>
              <w:spacing w:line="360" w:lineRule="auto"/>
              <w:ind w:left="0" w:firstLine="480" w:firstLineChars="200"/>
              <w:textAlignment w:val="auto"/>
              <w:rPr>
                <w:rFonts w:hint="default" w:ascii="Times New Roman" w:hAnsi="Times New Roman" w:cs="Times New Roman" w:eastAsiaTheme="minorEastAsia"/>
                <w:snapToGrid w:val="0"/>
                <w:color w:val="auto"/>
                <w:kern w:val="0"/>
                <w:sz w:val="24"/>
                <w:lang w:val="zh-CN"/>
              </w:rPr>
            </w:pPr>
            <w:r>
              <w:rPr>
                <w:rFonts w:hint="default" w:ascii="Times New Roman" w:hAnsi="Times New Roman" w:cs="Times New Roman" w:eastAsiaTheme="minorEastAsia"/>
                <w:snapToGrid w:val="0"/>
                <w:color w:val="auto"/>
                <w:kern w:val="0"/>
                <w:sz w:val="24"/>
              </w:rPr>
              <w:t>项目表面处理生产线为全封闭，各槽上部均安装有密封盖，密封盖连接成整体，形成隧道，密封盖上部中间留有吊钩行走道，配置耐酸橡胶皮，防止酸雾外逸，酸洗过程中产生的酸雾经引风机引入碱液喷淋吸收塔（1用1备）处理后，经18m排气筒排放；盐酸储罐呼吸废气、低位回用酸罐（池）废气、低位废酸罐（池）废气，经管道引入碱液喷淋吸收塔处理后，经18m排气筒排放（与酸洗槽废气共用1套）</w:t>
            </w:r>
            <w:r>
              <w:rPr>
                <w:rFonts w:hint="default" w:ascii="Times New Roman" w:hAnsi="Times New Roman" w:cs="Times New Roman" w:eastAsiaTheme="minorEastAsia"/>
                <w:snapToGrid w:val="0"/>
                <w:color w:val="auto"/>
                <w:kern w:val="0"/>
                <w:sz w:val="24"/>
                <w:lang w:val="zh-CN"/>
              </w:rPr>
              <w:t>。</w:t>
            </w:r>
          </w:p>
          <w:p w14:paraId="53ACD078">
            <w:pPr>
              <w:pStyle w:val="6"/>
              <w:keepNext/>
              <w:keepLines/>
              <w:pageBreakBefore w:val="0"/>
              <w:widowControl w:val="0"/>
              <w:kinsoku/>
              <w:wordWrap/>
              <w:overflowPunct/>
              <w:topLinePunct w:val="0"/>
              <w:autoSpaceDE/>
              <w:autoSpaceDN/>
              <w:bidi w:val="0"/>
              <w:adjustRightInd w:val="0"/>
              <w:snapToGrid w:val="0"/>
              <w:spacing w:before="190" w:beforeLines="50" w:after="190" w:afterLines="50"/>
              <w:ind w:left="0" w:leftChars="0"/>
              <w:jc w:val="center"/>
              <w:textAlignment w:val="auto"/>
              <w:rPr>
                <w:rFonts w:hint="default" w:ascii="Times New Roman" w:hAnsi="Times New Roman" w:cs="Times New Roman"/>
                <w:color w:val="auto"/>
              </w:rPr>
            </w:pPr>
            <w:r>
              <w:rPr>
                <w:rFonts w:hint="default" w:ascii="Times New Roman" w:hAnsi="Times New Roman" w:cs="Times New Roman"/>
                <w:color w:val="auto"/>
              </w:rPr>
              <mc:AlternateContent>
                <mc:Choice Requires="wpg">
                  <w:drawing>
                    <wp:inline distT="0" distB="0" distL="114300" distR="114300">
                      <wp:extent cx="4919345" cy="1747520"/>
                      <wp:effectExtent l="4445" t="4445" r="0" b="19685"/>
                      <wp:docPr id="71" name="组合 71"/>
                      <wp:cNvGraphicFramePr/>
                      <a:graphic xmlns:a="http://schemas.openxmlformats.org/drawingml/2006/main">
                        <a:graphicData uri="http://schemas.microsoft.com/office/word/2010/wordprocessingGroup">
                          <wpg:wgp>
                            <wpg:cNvGrpSpPr/>
                            <wpg:grpSpPr>
                              <a:xfrm>
                                <a:off x="0" y="0"/>
                                <a:ext cx="4919345" cy="1747762"/>
                                <a:chOff x="2076" y="3636672"/>
                                <a:chExt cx="7747" cy="2890"/>
                              </a:xfrm>
                            </wpg:grpSpPr>
                            <wps:wsp>
                              <wps:cNvPr id="197" name="文本框 9200"/>
                              <wps:cNvSpPr txBox="1"/>
                              <wps:spPr>
                                <a:xfrm>
                                  <a:off x="2089" y="3636672"/>
                                  <a:ext cx="2724" cy="58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9F0F950">
                                    <w:pPr>
                                      <w:jc w:val="center"/>
                                      <w:rPr>
                                        <w:szCs w:val="21"/>
                                      </w:rPr>
                                    </w:pPr>
                                    <w:r>
                                      <w:rPr>
                                        <w:rFonts w:hint="eastAsia"/>
                                        <w:szCs w:val="21"/>
                                      </w:rPr>
                                      <w:t>酸洗槽废气</w:t>
                                    </w:r>
                                  </w:p>
                                </w:txbxContent>
                              </wps:txbx>
                              <wps:bodyPr wrap="square" upright="1"/>
                            </wps:wsp>
                            <wps:wsp>
                              <wps:cNvPr id="198" name="文本框 9201"/>
                              <wps:cNvSpPr txBox="1"/>
                              <wps:spPr>
                                <a:xfrm>
                                  <a:off x="2089" y="3637425"/>
                                  <a:ext cx="2720" cy="55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EF524F8">
                                    <w:pPr>
                                      <w:jc w:val="center"/>
                                      <w:rPr>
                                        <w:szCs w:val="21"/>
                                      </w:rPr>
                                    </w:pPr>
                                    <w:r>
                                      <w:rPr>
                                        <w:rFonts w:hint="eastAsia"/>
                                        <w:szCs w:val="21"/>
                                      </w:rPr>
                                      <w:t>盐酸储罐废气</w:t>
                                    </w:r>
                                  </w:p>
                                </w:txbxContent>
                              </wps:txbx>
                              <wps:bodyPr wrap="square" upright="1"/>
                            </wps:wsp>
                            <wps:wsp>
                              <wps:cNvPr id="202" name="文本框 9207"/>
                              <wps:cNvSpPr txBox="1"/>
                              <wps:spPr>
                                <a:xfrm>
                                  <a:off x="5720" y="3637837"/>
                                  <a:ext cx="2213" cy="739"/>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1420699">
                                    <w:pPr>
                                      <w:spacing w:line="240" w:lineRule="exact"/>
                                      <w:jc w:val="center"/>
                                      <w:rPr>
                                        <w:rFonts w:hint="eastAsia"/>
                                        <w:szCs w:val="21"/>
                                      </w:rPr>
                                    </w:pPr>
                                    <w:r>
                                      <w:rPr>
                                        <w:rFonts w:hint="eastAsia"/>
                                        <w:szCs w:val="21"/>
                                      </w:rPr>
                                      <w:t>碱液喷淋吸收塔</w:t>
                                    </w:r>
                                  </w:p>
                                  <w:p w14:paraId="2EBF0A8F">
                                    <w:pPr>
                                      <w:spacing w:line="240" w:lineRule="exact"/>
                                      <w:jc w:val="center"/>
                                      <w:rPr>
                                        <w:szCs w:val="21"/>
                                      </w:rPr>
                                    </w:pPr>
                                    <w:r>
                                      <w:rPr>
                                        <w:rFonts w:hint="eastAsia"/>
                                        <w:szCs w:val="21"/>
                                      </w:rPr>
                                      <w:t>（1用1备）</w:t>
                                    </w:r>
                                  </w:p>
                                </w:txbxContent>
                              </wps:txbx>
                              <wps:bodyPr wrap="square" upright="1"/>
                            </wps:wsp>
                            <wps:wsp>
                              <wps:cNvPr id="204" name="自选图形 9216"/>
                              <wps:cNvCnPr/>
                              <wps:spPr>
                                <a:xfrm flipV="1">
                                  <a:off x="7955" y="3638203"/>
                                  <a:ext cx="654" cy="4"/>
                                </a:xfrm>
                                <a:prstGeom prst="straightConnector1">
                                  <a:avLst/>
                                </a:prstGeom>
                                <a:ln w="9525" cap="flat" cmpd="sng">
                                  <a:solidFill>
                                    <a:srgbClr val="000000"/>
                                  </a:solidFill>
                                  <a:prstDash val="solid"/>
                                  <a:headEnd type="none" w="med" len="med"/>
                                  <a:tailEnd type="triangle" w="med" len="med"/>
                                </a:ln>
                              </wps:spPr>
                              <wps:bodyPr/>
                            </wps:wsp>
                            <wps:wsp>
                              <wps:cNvPr id="205" name="文本框 9217"/>
                              <wps:cNvSpPr txBox="1"/>
                              <wps:spPr>
                                <a:xfrm>
                                  <a:off x="8504" y="3637863"/>
                                  <a:ext cx="1319" cy="765"/>
                                </a:xfrm>
                                <a:prstGeom prst="rect">
                                  <a:avLst/>
                                </a:prstGeom>
                                <a:noFill/>
                                <a:ln>
                                  <a:noFill/>
                                </a:ln>
                              </wps:spPr>
                              <wps:txbx>
                                <w:txbxContent>
                                  <w:p w14:paraId="686C5FF8">
                                    <w:pPr>
                                      <w:spacing w:line="240" w:lineRule="exact"/>
                                      <w:jc w:val="center"/>
                                      <w:rPr>
                                        <w:szCs w:val="21"/>
                                      </w:rPr>
                                    </w:pPr>
                                    <w:r>
                                      <w:rPr>
                                        <w:rFonts w:hint="eastAsia"/>
                                        <w:szCs w:val="21"/>
                                      </w:rPr>
                                      <w:t>18m排气筒达标排放</w:t>
                                    </w:r>
                                  </w:p>
                                </w:txbxContent>
                              </wps:txbx>
                              <wps:bodyPr wrap="square" upright="1"/>
                            </wps:wsp>
                            <wps:wsp>
                              <wps:cNvPr id="212" name="自选图形 9208"/>
                              <wps:cNvCnPr/>
                              <wps:spPr>
                                <a:xfrm flipV="1">
                                  <a:off x="5162" y="3638189"/>
                                  <a:ext cx="556" cy="1"/>
                                </a:xfrm>
                                <a:prstGeom prst="straightConnector1">
                                  <a:avLst/>
                                </a:prstGeom>
                                <a:ln w="9525" cap="flat" cmpd="sng">
                                  <a:solidFill>
                                    <a:srgbClr val="000000"/>
                                  </a:solidFill>
                                  <a:prstDash val="solid"/>
                                  <a:headEnd type="none" w="med" len="med"/>
                                  <a:tailEnd type="triangle" w="med" len="med"/>
                                </a:ln>
                              </wps:spPr>
                              <wps:bodyPr/>
                            </wps:wsp>
                            <wps:wsp>
                              <wps:cNvPr id="578" name="肘形连接符 578"/>
                              <wps:cNvCnPr>
                                <a:stCxn id="197" idx="3"/>
                                <a:endCxn id="618" idx="3"/>
                              </wps:cNvCnPr>
                              <wps:spPr>
                                <a:xfrm>
                                  <a:off x="4813" y="3636963"/>
                                  <a:ext cx="18" cy="2326"/>
                                </a:xfrm>
                                <a:prstGeom prst="bentConnector3">
                                  <a:avLst>
                                    <a:gd name="adj1" fmla="val 1994444"/>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7" name="文本框 9200"/>
                              <wps:cNvSpPr txBox="1"/>
                              <wps:spPr>
                                <a:xfrm>
                                  <a:off x="2099" y="3638242"/>
                                  <a:ext cx="2707" cy="52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2F75D32">
                                    <w:pPr>
                                      <w:jc w:val="center"/>
                                      <w:rPr>
                                        <w:szCs w:val="21"/>
                                      </w:rPr>
                                    </w:pPr>
                                    <w:r>
                                      <w:rPr>
                                        <w:szCs w:val="21"/>
                                      </w:rPr>
                                      <w:t>低位回用酸</w:t>
                                    </w:r>
                                    <w:r>
                                      <w:rPr>
                                        <w:rFonts w:hint="eastAsia"/>
                                        <w:szCs w:val="21"/>
                                      </w:rPr>
                                      <w:t>罐（</w:t>
                                    </w:r>
                                    <w:r>
                                      <w:rPr>
                                        <w:szCs w:val="21"/>
                                      </w:rPr>
                                      <w:t>池</w:t>
                                    </w:r>
                                    <w:r>
                                      <w:rPr>
                                        <w:rFonts w:hint="eastAsia"/>
                                        <w:szCs w:val="21"/>
                                      </w:rPr>
                                      <w:t>）</w:t>
                                    </w:r>
                                    <w:r>
                                      <w:rPr>
                                        <w:szCs w:val="21"/>
                                      </w:rPr>
                                      <w:t>废气</w:t>
                                    </w:r>
                                    <w:r>
                                      <w:rPr>
                                        <w:rFonts w:hint="eastAsia"/>
                                        <w:szCs w:val="21"/>
                                      </w:rPr>
                                      <w:t>HCl</w:t>
                                    </w:r>
                                  </w:p>
                                </w:txbxContent>
                              </wps:txbx>
                              <wps:bodyPr wrap="square" upright="1"/>
                            </wps:wsp>
                            <wps:wsp>
                              <wps:cNvPr id="618" name="文本框 9201"/>
                              <wps:cNvSpPr txBox="1"/>
                              <wps:spPr>
                                <a:xfrm>
                                  <a:off x="2076" y="3639013"/>
                                  <a:ext cx="2755" cy="549"/>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236714D">
                                    <w:pPr>
                                      <w:jc w:val="center"/>
                                      <w:rPr>
                                        <w:szCs w:val="21"/>
                                      </w:rPr>
                                    </w:pPr>
                                    <w:r>
                                      <w:rPr>
                                        <w:szCs w:val="21"/>
                                      </w:rPr>
                                      <w:t>低位废酸</w:t>
                                    </w:r>
                                    <w:r>
                                      <w:rPr>
                                        <w:rFonts w:hint="eastAsia"/>
                                        <w:szCs w:val="21"/>
                                      </w:rPr>
                                      <w:t>罐（</w:t>
                                    </w:r>
                                    <w:r>
                                      <w:rPr>
                                        <w:szCs w:val="21"/>
                                      </w:rPr>
                                      <w:t>池</w:t>
                                    </w:r>
                                    <w:r>
                                      <w:rPr>
                                        <w:rFonts w:hint="eastAsia"/>
                                        <w:szCs w:val="21"/>
                                      </w:rPr>
                                      <w:t>）</w:t>
                                    </w:r>
                                    <w:r>
                                      <w:rPr>
                                        <w:szCs w:val="21"/>
                                      </w:rPr>
                                      <w:t>废气</w:t>
                                    </w:r>
                                  </w:p>
                                </w:txbxContent>
                              </wps:txbx>
                              <wps:bodyPr wrap="square" upright="1"/>
                            </wps:wsp>
                            <wps:wsp>
                              <wps:cNvPr id="625" name="自选图形 9208"/>
                              <wps:cNvCnPr/>
                              <wps:spPr>
                                <a:xfrm flipV="1">
                                  <a:off x="4802" y="3637656"/>
                                  <a:ext cx="360" cy="9"/>
                                </a:xfrm>
                                <a:prstGeom prst="straightConnector1">
                                  <a:avLst/>
                                </a:prstGeom>
                                <a:ln w="9525" cap="flat" cmpd="sng">
                                  <a:solidFill>
                                    <a:srgbClr val="000000"/>
                                  </a:solidFill>
                                  <a:prstDash val="solid"/>
                                  <a:headEnd type="none" w="med" len="med"/>
                                  <a:tailEnd type="none" w="med" len="med"/>
                                </a:ln>
                              </wps:spPr>
                              <wps:bodyPr/>
                            </wps:wsp>
                            <wps:wsp>
                              <wps:cNvPr id="626" name="自选图形 9208"/>
                              <wps:cNvCnPr/>
                              <wps:spPr>
                                <a:xfrm flipV="1">
                                  <a:off x="4807" y="3638448"/>
                                  <a:ext cx="360" cy="9"/>
                                </a:xfrm>
                                <a:prstGeom prst="straightConnector1">
                                  <a:avLst/>
                                </a:prstGeom>
                                <a:ln w="9525" cap="flat" cmpd="sng">
                                  <a:solidFill>
                                    <a:srgbClr val="000000"/>
                                  </a:solidFill>
                                  <a:prstDash val="solid"/>
                                  <a:headEnd type="none" w="med" len="med"/>
                                  <a:tailEnd type="none" w="med" len="med"/>
                                </a:ln>
                              </wps:spPr>
                              <wps:bodyPr/>
                            </wps:wsp>
                          </wpg:wgp>
                        </a:graphicData>
                      </a:graphic>
                    </wp:inline>
                  </w:drawing>
                </mc:Choice>
                <mc:Fallback>
                  <w:pict>
                    <v:group id="_x0000_s1026" o:spid="_x0000_s1026" o:spt="203" style="height:137.6pt;width:387.35pt;" coordorigin="2076,3636672" coordsize="7747,2890" o:gfxdata="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">
                      <o:lock v:ext="edit" aspectratio="f"/>
                      <v:shape id="文本框 9200" o:spid="_x0000_s1026" o:spt="202" type="#_x0000_t202" style="position:absolute;left:2089;top:3636672;height:581;width:2724;" fillcolor="#FFFFFF" filled="t" stroked="t" coordsize="21600,21600" o:gfxdata="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htNli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59F0F950">
                              <w:pPr>
                                <w:jc w:val="center"/>
                                <w:rPr>
                                  <w:szCs w:val="21"/>
                                </w:rPr>
                              </w:pPr>
                              <w:r>
                                <w:rPr>
                                  <w:rFonts w:hint="eastAsia"/>
                                  <w:szCs w:val="21"/>
                                </w:rPr>
                                <w:t>酸洗槽废气</w:t>
                              </w:r>
                            </w:p>
                          </w:txbxContent>
                        </v:textbox>
                      </v:shape>
                      <v:shape id="文本框 9201" o:spid="_x0000_s1026" o:spt="202" type="#_x0000_t202" style="position:absolute;left:2089;top:3637425;height:551;width:2720;" fillcolor="#FFFFFF" filled="t" stroked="t" coordsize="21600,21600" o:gfxdata="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nyoiq/&#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1EF524F8">
                              <w:pPr>
                                <w:jc w:val="center"/>
                                <w:rPr>
                                  <w:szCs w:val="21"/>
                                </w:rPr>
                              </w:pPr>
                              <w:r>
                                <w:rPr>
                                  <w:rFonts w:hint="eastAsia"/>
                                  <w:szCs w:val="21"/>
                                </w:rPr>
                                <w:t>盐酸储罐废气</w:t>
                              </w:r>
                            </w:p>
                          </w:txbxContent>
                        </v:textbox>
                      </v:shape>
                      <v:shape id="文本框 9207" o:spid="_x0000_s1026" o:spt="202" type="#_x0000_t202" style="position:absolute;left:5720;top:3637837;height:739;width:2213;" fillcolor="#FFFFFF" filled="t" stroked="t" coordsize="21600,21600" o:gfxdata="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zVhO7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61420699">
                              <w:pPr>
                                <w:spacing w:line="240" w:lineRule="exact"/>
                                <w:jc w:val="center"/>
                                <w:rPr>
                                  <w:rFonts w:hint="eastAsia"/>
                                  <w:szCs w:val="21"/>
                                </w:rPr>
                              </w:pPr>
                              <w:r>
                                <w:rPr>
                                  <w:rFonts w:hint="eastAsia"/>
                                  <w:szCs w:val="21"/>
                                </w:rPr>
                                <w:t>碱液喷淋吸收塔</w:t>
                              </w:r>
                            </w:p>
                            <w:p w14:paraId="2EBF0A8F">
                              <w:pPr>
                                <w:spacing w:line="240" w:lineRule="exact"/>
                                <w:jc w:val="center"/>
                                <w:rPr>
                                  <w:szCs w:val="21"/>
                                </w:rPr>
                              </w:pPr>
                              <w:r>
                                <w:rPr>
                                  <w:rFonts w:hint="eastAsia"/>
                                  <w:szCs w:val="21"/>
                                </w:rPr>
                                <w:t>（1用1备）</w:t>
                              </w:r>
                            </w:p>
                          </w:txbxContent>
                        </v:textbox>
                      </v:shape>
                      <v:shape id="自选图形 9216" o:spid="_x0000_s1026" o:spt="32" type="#_x0000_t32" style="position:absolute;left:7955;top:3638203;flip:y;height:4;width:654;" filled="f" stroked="t" coordsize="21600,21600" o:gfxdata="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JgYoe/&#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文本框 9217" o:spid="_x0000_s1026" o:spt="202" type="#_x0000_t202" style="position:absolute;left:8504;top:3637863;height:765;width:1319;" filled="f" stroked="f" coordsize="21600,21600" o:gfxdata="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Vzai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686C5FF8">
                              <w:pPr>
                                <w:spacing w:line="240" w:lineRule="exact"/>
                                <w:jc w:val="center"/>
                                <w:rPr>
                                  <w:szCs w:val="21"/>
                                </w:rPr>
                              </w:pPr>
                              <w:r>
                                <w:rPr>
                                  <w:rFonts w:hint="eastAsia"/>
                                  <w:szCs w:val="21"/>
                                </w:rPr>
                                <w:t>18m排气筒达标排放</w:t>
                              </w:r>
                            </w:p>
                          </w:txbxContent>
                        </v:textbox>
                      </v:shape>
                      <v:shape id="自选图形 9208" o:spid="_x0000_s1026" o:spt="32" type="#_x0000_t32" style="position:absolute;left:5162;top:3638189;flip:y;height:1;width:556;" filled="f" stroked="t" coordsize="21600,21600" o:gfxdata="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ccybW/&#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34" type="#_x0000_t34" style="position:absolute;left:4813;top:3636963;height:2326;width:18;" filled="f" stroked="t" coordsize="21600,21600" o:gfxdata="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YFtQO8AAAA&#10;3AAAAA8AAAAAAAAAAQAgAAAAIgAAAGRycy9kb3ducmV2LnhtbFBLAQIUABQAAAAIAIdO4kAzLwWe&#10;OwAAADkAAAAQAAAAAAAAAAEAIAAAAAsBAABkcnMvc2hhcGV4bWwueG1sUEsFBgAAAAAGAAYAWwEA&#10;ALUDAAAAAA==&#10;" adj="430800">
                        <v:fill on="f" focussize="0,0"/>
                        <v:stroke weight="0.5pt" color="#000000 [3213]" joinstyle="round"/>
                        <v:imagedata o:title=""/>
                        <o:lock v:ext="edit" aspectratio="f"/>
                      </v:shape>
                      <v:shape id="文本框 9200" o:spid="_x0000_s1026" o:spt="202" type="#_x0000_t202" style="position:absolute;left:2099;top:3638242;height:528;width:2707;" fillcolor="#FFFFFF" filled="t" stroked="t" coordsize="21600,21600" o:gfxdata="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UU+Ge/&#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32F75D32">
                              <w:pPr>
                                <w:jc w:val="center"/>
                                <w:rPr>
                                  <w:szCs w:val="21"/>
                                </w:rPr>
                              </w:pPr>
                              <w:r>
                                <w:rPr>
                                  <w:szCs w:val="21"/>
                                </w:rPr>
                                <w:t>低位回用酸</w:t>
                              </w:r>
                              <w:r>
                                <w:rPr>
                                  <w:rFonts w:hint="eastAsia"/>
                                  <w:szCs w:val="21"/>
                                </w:rPr>
                                <w:t>罐（</w:t>
                              </w:r>
                              <w:r>
                                <w:rPr>
                                  <w:szCs w:val="21"/>
                                </w:rPr>
                                <w:t>池</w:t>
                              </w:r>
                              <w:r>
                                <w:rPr>
                                  <w:rFonts w:hint="eastAsia"/>
                                  <w:szCs w:val="21"/>
                                </w:rPr>
                                <w:t>）</w:t>
                              </w:r>
                              <w:r>
                                <w:rPr>
                                  <w:szCs w:val="21"/>
                                </w:rPr>
                                <w:t>废气</w:t>
                              </w:r>
                              <w:r>
                                <w:rPr>
                                  <w:rFonts w:hint="eastAsia"/>
                                  <w:szCs w:val="21"/>
                                </w:rPr>
                                <w:t>HCl</w:t>
                              </w:r>
                            </w:p>
                          </w:txbxContent>
                        </v:textbox>
                      </v:shape>
                      <v:shape id="文本框 9201" o:spid="_x0000_s1026" o:spt="202" type="#_x0000_t202" style="position:absolute;left:2076;top:3639013;height:549;width:2755;" fillcolor="#FFFFFF" filled="t" stroked="t" coordsize="21600,21600" o:gfxdata="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SLbBW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7236714D">
                              <w:pPr>
                                <w:jc w:val="center"/>
                                <w:rPr>
                                  <w:szCs w:val="21"/>
                                </w:rPr>
                              </w:pPr>
                              <w:r>
                                <w:rPr>
                                  <w:szCs w:val="21"/>
                                </w:rPr>
                                <w:t>低位废酸</w:t>
                              </w:r>
                              <w:r>
                                <w:rPr>
                                  <w:rFonts w:hint="eastAsia"/>
                                  <w:szCs w:val="21"/>
                                </w:rPr>
                                <w:t>罐（</w:t>
                              </w:r>
                              <w:r>
                                <w:rPr>
                                  <w:szCs w:val="21"/>
                                </w:rPr>
                                <w:t>池</w:t>
                              </w:r>
                              <w:r>
                                <w:rPr>
                                  <w:rFonts w:hint="eastAsia"/>
                                  <w:szCs w:val="21"/>
                                </w:rPr>
                                <w:t>）</w:t>
                              </w:r>
                              <w:r>
                                <w:rPr>
                                  <w:szCs w:val="21"/>
                                </w:rPr>
                                <w:t>废气</w:t>
                              </w:r>
                            </w:p>
                          </w:txbxContent>
                        </v:textbox>
                      </v:shape>
                      <v:shape id="自选图形 9208" o:spid="_x0000_s1026" o:spt="32" type="#_x0000_t32" style="position:absolute;left:4802;top:3637656;flip:y;height:9;width:360;" filled="f" stroked="t" coordsize="21600,21600" o:gfxdata="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gNY8r4A&#10;AADcAAAADwAAAAAAAAABACAAAAAiAAAAZHJzL2Rvd25yZXYueG1sUEsBAhQAFAAAAAgAh07iQDMv&#10;BZ47AAAAOQAAABAAAAAAAAAAAQAgAAAADQEAAGRycy9zaGFwZXhtbC54bWxQSwUGAAAAAAYABgBb&#10;AQAAtwMAAAAA&#10;">
                        <v:fill on="f" focussize="0,0"/>
                        <v:stroke color="#000000" joinstyle="round"/>
                        <v:imagedata o:title=""/>
                        <o:lock v:ext="edit" aspectratio="f"/>
                      </v:shape>
                      <v:shape id="自选图形 9208" o:spid="_x0000_s1026" o:spt="32" type="#_x0000_t32" style="position:absolute;left:4807;top:3638448;flip:y;height:9;width:360;" filled="f" stroked="t" coordsize="21600,21600" o:gfxdata="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0caF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shape>
                      <w10:wrap type="none"/>
                      <w10:anchorlock/>
                    </v:group>
                  </w:pict>
                </mc:Fallback>
              </mc:AlternateContent>
            </w:r>
          </w:p>
          <w:p w14:paraId="5351AB79">
            <w:pPr>
              <w:pStyle w:val="129"/>
              <w:keepNext w:val="0"/>
              <w:keepLines w:val="0"/>
              <w:pageBreakBefore w:val="0"/>
              <w:widowControl w:val="0"/>
              <w:kinsoku/>
              <w:wordWrap/>
              <w:overflowPunct/>
              <w:topLinePunct w:val="0"/>
              <w:autoSpaceDE/>
              <w:autoSpaceDN/>
              <w:bidi w:val="0"/>
              <w:adjustRightInd/>
              <w:snapToGrid w:val="0"/>
              <w:spacing w:before="304" w:beforeLines="80" w:after="304" w:afterLines="8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图4.2-1  表面处理废气处理流程示意图</w:t>
            </w:r>
          </w:p>
          <w:p w14:paraId="693455CE">
            <w:pPr>
              <w:pStyle w:val="122"/>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b w:val="0"/>
                <w:color w:val="auto"/>
              </w:rPr>
            </w:pPr>
            <w:r>
              <w:rPr>
                <w:rFonts w:hint="default" w:ascii="Times New Roman" w:hAnsi="Times New Roman" w:eastAsia="宋体" w:cs="Times New Roman"/>
                <w:b w:val="0"/>
                <w:color w:val="auto"/>
              </w:rPr>
              <w:t>（3）天然气燃烧废气</w:t>
            </w:r>
          </w:p>
          <w:p w14:paraId="778F443E">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eastAsiaTheme="minorEastAsia"/>
                <w:snapToGrid w:val="0"/>
                <w:color w:val="auto"/>
                <w:kern w:val="0"/>
                <w:sz w:val="24"/>
              </w:rPr>
            </w:pPr>
            <w:r>
              <w:rPr>
                <w:rFonts w:hint="default" w:ascii="Times New Roman" w:hAnsi="Times New Roman" w:cs="Times New Roman" w:eastAsiaTheme="minorEastAsia"/>
                <w:snapToGrid w:val="0"/>
                <w:color w:val="auto"/>
                <w:kern w:val="0"/>
                <w:sz w:val="24"/>
              </w:rPr>
              <w:t>本项目表面处理工序以及烘干需要用到蒸汽，蒸汽由2套天然气蒸汽发生器提供。天然气为清洁能源，天然气燃烧废气由18m高排气筒排放。</w:t>
            </w:r>
          </w:p>
          <w:p w14:paraId="440DB3C4">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eastAsiaTheme="minorEastAsia"/>
                <w:snapToGrid w:val="0"/>
                <w:color w:val="auto"/>
                <w:kern w:val="0"/>
                <w:sz w:val="24"/>
              </w:rPr>
            </w:pPr>
            <w:r>
              <w:rPr>
                <w:rFonts w:hint="default" w:ascii="Times New Roman" w:hAnsi="Times New Roman" w:cs="Times New Roman" w:eastAsiaTheme="minorEastAsia"/>
                <w:snapToGrid w:val="0"/>
                <w:color w:val="auto"/>
                <w:kern w:val="0"/>
                <w:sz w:val="24"/>
              </w:rPr>
              <w:t>（4）无组织</w:t>
            </w:r>
          </w:p>
          <w:p w14:paraId="596695B6">
            <w:pPr>
              <w:pStyle w:val="2"/>
              <w:keepNext w:val="0"/>
              <w:keepLines w:val="0"/>
              <w:pageBreakBefore w:val="0"/>
              <w:kinsoku/>
              <w:wordWrap/>
              <w:overflowPunct/>
              <w:topLinePunct w:val="0"/>
              <w:autoSpaceDE/>
              <w:autoSpaceDN/>
              <w:bidi w:val="0"/>
              <w:adjustRightInd w:val="0"/>
              <w:snapToGrid w:val="0"/>
              <w:spacing w:line="360" w:lineRule="auto"/>
              <w:ind w:firstLine="480"/>
              <w:textAlignment w:val="auto"/>
              <w:outlineLvl w:val="9"/>
              <w:rPr>
                <w:rFonts w:hint="default" w:ascii="Times New Roman" w:hAnsi="Times New Roman" w:cs="Times New Roman"/>
                <w:color w:val="auto"/>
                <w:sz w:val="24"/>
              </w:rPr>
            </w:pPr>
            <w:r>
              <w:rPr>
                <w:rFonts w:hint="default" w:ascii="Times New Roman" w:hAnsi="Times New Roman" w:cs="Times New Roman"/>
                <w:color w:val="auto"/>
                <w:sz w:val="24"/>
              </w:rPr>
              <w:t>无组织粉尘控制措施：</w:t>
            </w:r>
          </w:p>
          <w:p w14:paraId="75DB7706">
            <w:pPr>
              <w:pStyle w:val="2"/>
              <w:keepNext w:val="0"/>
              <w:keepLines w:val="0"/>
              <w:pageBreakBefore w:val="0"/>
              <w:kinsoku/>
              <w:wordWrap/>
              <w:overflowPunct/>
              <w:topLinePunct w:val="0"/>
              <w:autoSpaceDE/>
              <w:autoSpaceDN/>
              <w:bidi w:val="0"/>
              <w:adjustRightInd w:val="0"/>
              <w:snapToGrid w:val="0"/>
              <w:spacing w:line="360" w:lineRule="auto"/>
              <w:ind w:firstLine="480"/>
              <w:textAlignment w:val="auto"/>
              <w:outlineLvl w:val="9"/>
              <w:rPr>
                <w:rFonts w:hint="default" w:ascii="Times New Roman" w:hAnsi="Times New Roman" w:cs="Times New Roman"/>
                <w:color w:val="auto"/>
                <w:sz w:val="24"/>
              </w:rPr>
            </w:pPr>
            <w:r>
              <w:rPr>
                <w:rFonts w:hint="default" w:ascii="Times New Roman" w:hAnsi="Times New Roman" w:cs="Times New Roman"/>
                <w:color w:val="auto"/>
                <w:sz w:val="24"/>
              </w:rPr>
              <w:t>①剥壳除锈、打磨工序等产生的粉尘的设备设置在密闭车间，产尘点配备布袋除尘器，</w:t>
            </w:r>
            <w:r>
              <w:rPr>
                <w:rFonts w:hint="default" w:ascii="Times New Roman" w:hAnsi="Times New Roman" w:cs="Times New Roman" w:eastAsiaTheme="minorEastAsia"/>
                <w:color w:val="auto"/>
                <w:kern w:val="0"/>
                <w:sz w:val="24"/>
              </w:rPr>
              <w:t>减少无组织粉尘排放</w:t>
            </w:r>
            <w:r>
              <w:rPr>
                <w:rFonts w:hint="default" w:ascii="Times New Roman" w:hAnsi="Times New Roman" w:cs="Times New Roman"/>
                <w:color w:val="auto"/>
                <w:sz w:val="24"/>
              </w:rPr>
              <w:t xml:space="preserve">。 </w:t>
            </w:r>
          </w:p>
          <w:p w14:paraId="54059793">
            <w:pPr>
              <w:pStyle w:val="2"/>
              <w:keepNext w:val="0"/>
              <w:keepLines w:val="0"/>
              <w:pageBreakBefore w:val="0"/>
              <w:kinsoku/>
              <w:wordWrap/>
              <w:overflowPunct/>
              <w:topLinePunct w:val="0"/>
              <w:autoSpaceDE/>
              <w:autoSpaceDN/>
              <w:bidi w:val="0"/>
              <w:adjustRightInd w:val="0"/>
              <w:snapToGrid w:val="0"/>
              <w:spacing w:line="360" w:lineRule="auto"/>
              <w:ind w:firstLine="480"/>
              <w:textAlignment w:val="auto"/>
              <w:outlineLvl w:val="9"/>
              <w:rPr>
                <w:rFonts w:hint="default" w:ascii="Times New Roman" w:hAnsi="Times New Roman" w:cs="Times New Roman"/>
                <w:color w:val="auto"/>
                <w:sz w:val="24"/>
              </w:rPr>
            </w:pPr>
            <w:r>
              <w:rPr>
                <w:rFonts w:hint="default" w:ascii="Times New Roman" w:hAnsi="Times New Roman" w:cs="Times New Roman"/>
                <w:color w:val="auto"/>
                <w:sz w:val="24"/>
              </w:rPr>
              <w:t>②</w:t>
            </w:r>
            <w:r>
              <w:rPr>
                <w:rFonts w:hint="default" w:ascii="Times New Roman" w:hAnsi="Times New Roman" w:cs="Times New Roman" w:eastAsiaTheme="minorEastAsia"/>
                <w:color w:val="auto"/>
                <w:kern w:val="0"/>
                <w:sz w:val="24"/>
              </w:rPr>
              <w:t>表面处理生产线为全封闭负压式，盐酸储罐呼吸废气、低位回用酸罐（池）废气、低位废酸罐（池）废气收集后与酸洗槽废气共用1套治理措施，减少无组织酸雾排放</w:t>
            </w:r>
            <w:r>
              <w:rPr>
                <w:rFonts w:hint="default" w:ascii="Times New Roman" w:hAnsi="Times New Roman" w:cs="Times New Roman"/>
                <w:color w:val="auto"/>
                <w:sz w:val="24"/>
              </w:rPr>
              <w:t xml:space="preserve">。 </w:t>
            </w:r>
          </w:p>
          <w:p w14:paraId="715310B1">
            <w:pPr>
              <w:pStyle w:val="2"/>
              <w:keepNext w:val="0"/>
              <w:keepLines w:val="0"/>
              <w:pageBreakBefore w:val="0"/>
              <w:kinsoku/>
              <w:wordWrap/>
              <w:overflowPunct/>
              <w:topLinePunct w:val="0"/>
              <w:autoSpaceDE/>
              <w:autoSpaceDN/>
              <w:bidi w:val="0"/>
              <w:adjustRightInd w:val="0"/>
              <w:snapToGrid w:val="0"/>
              <w:spacing w:line="360" w:lineRule="auto"/>
              <w:ind w:firstLine="480"/>
              <w:textAlignment w:val="auto"/>
              <w:outlineLvl w:val="9"/>
              <w:rPr>
                <w:rFonts w:hint="default" w:ascii="Times New Roman" w:hAnsi="Times New Roman" w:cs="Times New Roman"/>
                <w:color w:val="auto"/>
                <w:sz w:val="24"/>
              </w:rPr>
            </w:pPr>
            <w:r>
              <w:rPr>
                <w:rFonts w:hint="default" w:ascii="Times New Roman" w:hAnsi="Times New Roman" w:cs="Times New Roman"/>
                <w:color w:val="auto"/>
                <w:sz w:val="24"/>
              </w:rPr>
              <w:t>③定期对厂区道路进行洒水、清洁等措施。</w:t>
            </w:r>
          </w:p>
          <w:p w14:paraId="4A23DA8D">
            <w:pPr>
              <w:pStyle w:val="2"/>
              <w:keepNext w:val="0"/>
              <w:keepLines w:val="0"/>
              <w:pageBreakBefore w:val="0"/>
              <w:kinsoku/>
              <w:wordWrap/>
              <w:overflowPunct/>
              <w:topLinePunct w:val="0"/>
              <w:autoSpaceDE/>
              <w:autoSpaceDN/>
              <w:bidi w:val="0"/>
              <w:adjustRightInd w:val="0"/>
              <w:snapToGrid w:val="0"/>
              <w:spacing w:line="360" w:lineRule="auto"/>
              <w:ind w:firstLine="480"/>
              <w:textAlignment w:val="auto"/>
              <w:outlineLvl w:val="9"/>
              <w:rPr>
                <w:rFonts w:hint="default" w:ascii="Times New Roman" w:hAnsi="Times New Roman" w:cs="Times New Roman"/>
                <w:color w:val="auto"/>
                <w:sz w:val="24"/>
              </w:rPr>
            </w:pPr>
            <w:r>
              <w:rPr>
                <w:rFonts w:hint="default" w:ascii="Times New Roman" w:hAnsi="Times New Roman" w:cs="Times New Roman"/>
                <w:color w:val="auto"/>
                <w:sz w:val="24"/>
              </w:rPr>
              <w:t>④加强设备维护，禁止除尘设备事故运行，降低除尘器漏风率。</w:t>
            </w:r>
          </w:p>
          <w:p w14:paraId="5752AB95">
            <w:pPr>
              <w:pStyle w:val="6"/>
              <w:spacing w:before="113" w:beforeLines="30" w:after="189" w:afterLines="50" w:line="240" w:lineRule="auto"/>
              <w:rPr>
                <w:rFonts w:hint="default" w:ascii="Times New Roman" w:hAnsi="Times New Roman" w:cs="Times New Roman"/>
                <w:color w:val="auto"/>
              </w:rPr>
            </w:pPr>
            <w:r>
              <w:rPr>
                <w:rFonts w:hint="default" w:ascii="Times New Roman" w:hAnsi="Times New Roman" w:cs="Times New Roman"/>
                <w:color w:val="auto"/>
              </w:rPr>
              <w:t>4.2.1.3措施可行性分析</w:t>
            </w:r>
          </w:p>
          <w:p w14:paraId="16685D97">
            <w:pPr>
              <w:widowControl/>
              <w:adjustRightInd w:val="0"/>
              <w:snapToGrid w:val="0"/>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（1）</w:t>
            </w:r>
            <w:r>
              <w:rPr>
                <w:rFonts w:hint="default" w:ascii="Times New Roman" w:hAnsi="Times New Roman" w:cs="Times New Roman"/>
                <w:color w:val="auto"/>
                <w:sz w:val="24"/>
                <w:lang w:val="en-US" w:eastAsia="zh-CN"/>
              </w:rPr>
              <w:t>滤筒</w:t>
            </w:r>
            <w:r>
              <w:rPr>
                <w:rFonts w:hint="default" w:ascii="Times New Roman" w:hAnsi="Times New Roman" w:cs="Times New Roman"/>
                <w:color w:val="auto"/>
                <w:sz w:val="24"/>
              </w:rPr>
              <w:t>除尘可行性分析</w:t>
            </w:r>
          </w:p>
          <w:p w14:paraId="668D031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rPr>
            </w:pPr>
            <w:r>
              <w:rPr>
                <w:rFonts w:hint="default" w:ascii="Times New Roman" w:hAnsi="Times New Roman" w:cs="Times New Roman"/>
                <w:bCs/>
                <w:color w:val="auto"/>
                <w:sz w:val="24"/>
                <w:lang w:eastAsia="zh-CN"/>
              </w:rPr>
              <w:t>滤筒除尘器</w:t>
            </w:r>
            <w:r>
              <w:rPr>
                <w:rFonts w:hint="default" w:ascii="Times New Roman" w:hAnsi="Times New Roman" w:eastAsia="宋体" w:cs="Times New Roman"/>
                <w:bCs/>
                <w:color w:val="auto"/>
                <w:sz w:val="24"/>
              </w:rPr>
              <w:t>高的除尘效率是与它的除尘机理分不开的。含尘气体由除尘器下部进气管道</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rPr>
              <w:t>经导流板进入灰斗时</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rPr>
              <w:t>由于导流板的碰撞和气体速度的降低等作用</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rPr>
              <w:t>粗粒粉尘将落入灰斗中</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rPr>
              <w:t>其余细小颗粒粉尘随气体进入滤室</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rPr>
              <w:t>由于滤料纤维及织物的惯性、扩散、阻隔、钩挂、静电等作用</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rPr>
              <w:t>粉尘被阻留</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rPr>
              <w:t>净化后的气体逸出。积灰用气体逆洗法去除</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rPr>
              <w:t>清除下来的粉尘下到灰斗</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rPr>
              <w:t>经双层卸灰阀排到输灰装置。积灰也可以采用喷吹脉冲气流的方法去除</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rPr>
              <w:t>从而达到清灰的目的</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rPr>
              <w:t>清除下来的粉尘由排灰装置排走。</w:t>
            </w:r>
          </w:p>
          <w:p w14:paraId="7115202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参考有关资料，</w:t>
            </w:r>
            <w:r>
              <w:rPr>
                <w:rFonts w:hint="default" w:ascii="Times New Roman" w:hAnsi="Times New Roman" w:cs="Times New Roman"/>
                <w:bCs/>
                <w:color w:val="auto"/>
                <w:sz w:val="24"/>
                <w:lang w:val="en-US" w:eastAsia="zh-CN"/>
              </w:rPr>
              <w:t>滤筒除尘器</w:t>
            </w:r>
            <w:r>
              <w:rPr>
                <w:rFonts w:hint="default" w:ascii="Times New Roman" w:hAnsi="Times New Roman" w:eastAsia="宋体" w:cs="Times New Roman"/>
                <w:bCs/>
                <w:color w:val="auto"/>
                <w:sz w:val="24"/>
              </w:rPr>
              <w:t>具有以下优点</w:t>
            </w:r>
          </w:p>
          <w:p w14:paraId="13EE4E2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①除尘效率高，最高可达99%以上，除尘器出口气体含尘浓度在数十mg/m</w:t>
            </w:r>
            <w:r>
              <w:rPr>
                <w:rFonts w:hint="default" w:ascii="Times New Roman" w:hAnsi="Times New Roman" w:eastAsia="宋体" w:cs="Times New Roman"/>
                <w:bCs/>
                <w:color w:val="auto"/>
                <w:sz w:val="24"/>
                <w:vertAlign w:val="superscript"/>
              </w:rPr>
              <w:t>3</w:t>
            </w:r>
            <w:r>
              <w:rPr>
                <w:rFonts w:hint="default" w:ascii="Times New Roman" w:hAnsi="Times New Roman" w:eastAsia="宋体" w:cs="Times New Roman"/>
                <w:bCs/>
                <w:color w:val="auto"/>
                <w:sz w:val="24"/>
              </w:rPr>
              <w:t>之内，对亚微米粒径的细尘有较高的分级效率。</w:t>
            </w:r>
          </w:p>
          <w:p w14:paraId="22D1301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②处理风量的范围广，小的仅1min数m</w:t>
            </w:r>
            <w:r>
              <w:rPr>
                <w:rFonts w:hint="default" w:ascii="Times New Roman" w:hAnsi="Times New Roman" w:eastAsia="宋体" w:cs="Times New Roman"/>
                <w:bCs/>
                <w:color w:val="auto"/>
                <w:sz w:val="24"/>
                <w:vertAlign w:val="superscript"/>
              </w:rPr>
              <w:t>3</w:t>
            </w:r>
            <w:r>
              <w:rPr>
                <w:rFonts w:hint="default" w:ascii="Times New Roman" w:hAnsi="Times New Roman" w:eastAsia="宋体" w:cs="Times New Roman"/>
                <w:bCs/>
                <w:color w:val="auto"/>
                <w:sz w:val="24"/>
              </w:rPr>
              <w:t>，大的可达1min数万m</w:t>
            </w:r>
            <w:r>
              <w:rPr>
                <w:rFonts w:hint="default" w:ascii="Times New Roman" w:hAnsi="Times New Roman" w:eastAsia="宋体" w:cs="Times New Roman"/>
                <w:bCs/>
                <w:color w:val="auto"/>
                <w:sz w:val="24"/>
                <w:vertAlign w:val="superscript"/>
              </w:rPr>
              <w:t>3</w:t>
            </w:r>
            <w:r>
              <w:rPr>
                <w:rFonts w:hint="default" w:ascii="Times New Roman" w:hAnsi="Times New Roman" w:eastAsia="宋体" w:cs="Times New Roman"/>
                <w:bCs/>
                <w:color w:val="auto"/>
                <w:sz w:val="24"/>
              </w:rPr>
              <w:t>，既可用于工业炉窑的烟气除尘，减少大气污染物的排放。</w:t>
            </w:r>
          </w:p>
          <w:p w14:paraId="571E1C5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③结构简单，维护操作方便。</w:t>
            </w:r>
          </w:p>
          <w:p w14:paraId="2C006DF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④在保证同样高除尘效率的前提下，造价低于电除尘器。</w:t>
            </w:r>
          </w:p>
          <w:p w14:paraId="06CFFF0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⑤采用玻璃纤维、聚四氟乙烯、P84等耐高温滤料时，可在200℃以上的高温条件下运行。</w:t>
            </w:r>
          </w:p>
          <w:p w14:paraId="2A2D703E">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⑥对粉尘的特性不敏感，不受粉尘及电阻的影响。</w:t>
            </w:r>
          </w:p>
          <w:p w14:paraId="5A2D9E27">
            <w:pPr>
              <w:widowControl/>
              <w:adjustRightInd w:val="0"/>
              <w:snapToGrid w:val="0"/>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bCs/>
                <w:color w:val="auto"/>
                <w:sz w:val="24"/>
                <w:lang w:val="en-US" w:eastAsia="zh-CN"/>
              </w:rPr>
              <w:t>根据源强分析</w:t>
            </w:r>
            <w:r>
              <w:rPr>
                <w:rFonts w:hint="default" w:ascii="Times New Roman" w:hAnsi="Times New Roman" w:cs="Times New Roman"/>
                <w:bCs/>
                <w:color w:val="auto"/>
                <w:sz w:val="24"/>
              </w:rPr>
              <w:t>，</w:t>
            </w:r>
            <w:r>
              <w:rPr>
                <w:rFonts w:hint="default" w:ascii="Times New Roman" w:hAnsi="Times New Roman" w:cs="Times New Roman"/>
                <w:color w:val="auto"/>
                <w:sz w:val="24"/>
              </w:rPr>
              <w:t>颗粒物排放浓度</w:t>
            </w:r>
            <w:r>
              <w:rPr>
                <w:rFonts w:hint="default" w:ascii="Times New Roman" w:hAnsi="Times New Roman" w:cs="Times New Roman"/>
                <w:color w:val="auto"/>
                <w:sz w:val="24"/>
                <w:lang w:val="en-US" w:eastAsia="zh-CN"/>
              </w:rPr>
              <w:t>和</w:t>
            </w:r>
            <w:r>
              <w:rPr>
                <w:rFonts w:hint="default" w:ascii="Times New Roman" w:hAnsi="Times New Roman" w:cs="Times New Roman"/>
                <w:bCs/>
                <w:color w:val="auto"/>
                <w:sz w:val="24"/>
              </w:rPr>
              <w:t>排放速率</w:t>
            </w:r>
            <w:r>
              <w:rPr>
                <w:rFonts w:hint="default" w:ascii="Times New Roman" w:hAnsi="Times New Roman" w:cs="Times New Roman"/>
                <w:bCs/>
                <w:color w:val="auto"/>
                <w:sz w:val="24"/>
                <w:lang w:val="en-US" w:eastAsia="zh-CN"/>
              </w:rPr>
              <w:t>均</w:t>
            </w:r>
            <w:r>
              <w:rPr>
                <w:rFonts w:hint="default" w:ascii="Times New Roman" w:hAnsi="Times New Roman" w:cs="Times New Roman"/>
                <w:bCs/>
                <w:color w:val="auto"/>
                <w:sz w:val="24"/>
              </w:rPr>
              <w:t>能达到《大气污染物综合排放标准》（GB16297-1996）表2限值（≤120</w:t>
            </w:r>
            <w:r>
              <w:rPr>
                <w:rFonts w:hint="default" w:ascii="Times New Roman" w:hAnsi="Times New Roman" w:cs="Times New Roman"/>
                <w:color w:val="auto"/>
                <w:sz w:val="24"/>
              </w:rPr>
              <w:t>mg/m</w:t>
            </w:r>
            <w:r>
              <w:rPr>
                <w:rFonts w:hint="default" w:ascii="Times New Roman" w:hAnsi="Times New Roman" w:cs="Times New Roman"/>
                <w:color w:val="auto"/>
                <w:sz w:val="24"/>
                <w:vertAlign w:val="superscript"/>
              </w:rPr>
              <w:t>3</w:t>
            </w:r>
            <w:r>
              <w:rPr>
                <w:rFonts w:hint="default" w:ascii="Times New Roman" w:hAnsi="Times New Roman" w:cs="Times New Roman"/>
                <w:bCs/>
                <w:color w:val="auto"/>
                <w:sz w:val="24"/>
              </w:rPr>
              <w:t>，4.94kg/h）</w:t>
            </w:r>
            <w:r>
              <w:rPr>
                <w:rFonts w:hint="default" w:ascii="Times New Roman" w:hAnsi="Times New Roman" w:cs="Times New Roman"/>
                <w:color w:val="auto"/>
                <w:sz w:val="24"/>
              </w:rPr>
              <w:t>，其治理措施是可行的。</w:t>
            </w:r>
          </w:p>
          <w:p w14:paraId="2F8DD1D5">
            <w:pPr>
              <w:widowControl/>
              <w:adjustRightInd w:val="0"/>
              <w:snapToGrid w:val="0"/>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（2）碱液喷淋塔可行性分析</w:t>
            </w:r>
          </w:p>
          <w:p w14:paraId="50835F6F">
            <w:pPr>
              <w:widowControl/>
              <w:adjustRightInd w:val="0"/>
              <w:snapToGrid w:val="0"/>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碱液喷淋塔工作原理：碱液喷淋塔是一种利用含污染物的气体冲击喷淋塔内壁或其他特殊构件上用某种方法造成的水膜，使污染物被水膜捕获，气体得到净化的净化设备。具体工作原理是废气通过引风机的动力进入高效填料塔，在填料塔的上端喷头喷出吸收液均匀分布在填料（聚丙烯多面空心球，它的构成是由许多圆环绕结形成立体空间上的单水张力膜，由于球的中间镂空结构形成空隙大，不易被阻塞的特性，这种结构在空气洗涤、废气吸收、灰尘抑制等环保排风系统应用上具有排风量大、阻力小的特点，由于净化球的空隙中有较高的滞液量，可使塔内液体停留时间较长，从而增加了气体与液体的接触面积，延长了接触时间，提高了处理的效率和质量）</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气体流经填料空隙时，气体中的污染物与吸收液在填料表面上充分接触并进行吸收或综合反应，由于填料的机械强度大、耐腐蚀、空隙率高、表面大的特点，废气与吸收液在填料表面有较多的接触面积和反应时间。净化后的气体会饱含水份经过塔顶的除雾装置去除水份后直接排放大气中。它属于微分接触逆流式，塔体内的填料是气液两相接触的基本构件。参照《污染源源强核算技术指南 电镀》附录 F可知，碱液喷淋对氯化氢废气去除效率≥95%</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碱液喷淋吸收塔工作原理结构见图4.2-2。</w:t>
            </w:r>
          </w:p>
          <w:p w14:paraId="1367485A">
            <w:pPr>
              <w:autoSpaceDE w:val="0"/>
              <w:autoSpaceDN w:val="0"/>
              <w:adjustRightInd w:val="0"/>
              <w:jc w:val="left"/>
              <w:rPr>
                <w:rFonts w:hint="default" w:ascii="Times New Roman" w:hAnsi="Times New Roman" w:cs="Times New Roman" w:eastAsiaTheme="minorEastAsia"/>
                <w:color w:val="auto"/>
                <w:kern w:val="0"/>
                <w:highlight w:val="yellow"/>
              </w:rPr>
            </w:pPr>
            <w:r>
              <w:rPr>
                <w:rFonts w:hint="default" w:ascii="Times New Roman" w:hAnsi="Times New Roman" w:cs="Times New Roman" w:eastAsiaTheme="minorEastAsia"/>
                <w:color w:val="auto"/>
                <w:szCs w:val="21"/>
              </w:rPr>
              <w:drawing>
                <wp:inline distT="0" distB="0" distL="114935" distR="114935">
                  <wp:extent cx="5469255" cy="3937635"/>
                  <wp:effectExtent l="0" t="0" r="3810" b="2540"/>
                  <wp:docPr id="100" name="图片 1041" descr="1-13051G15529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41" descr="1-13051G15529414"/>
                          <pic:cNvPicPr>
                            <a:picLocks noChangeAspect="1"/>
                          </pic:cNvPicPr>
                        </pic:nvPicPr>
                        <pic:blipFill>
                          <a:blip r:embed="rId24"/>
                          <a:srcRect r="20544" b="11455"/>
                          <a:stretch>
                            <a:fillRect/>
                          </a:stretch>
                        </pic:blipFill>
                        <pic:spPr>
                          <a:xfrm>
                            <a:off x="0" y="0"/>
                            <a:ext cx="5469255" cy="3937635"/>
                          </a:xfrm>
                          <a:prstGeom prst="rect">
                            <a:avLst/>
                          </a:prstGeom>
                          <a:noFill/>
                          <a:ln>
                            <a:noFill/>
                          </a:ln>
                        </pic:spPr>
                      </pic:pic>
                    </a:graphicData>
                  </a:graphic>
                </wp:inline>
              </w:drawing>
            </w:r>
          </w:p>
          <w:p w14:paraId="74815047">
            <w:pPr>
              <w:pStyle w:val="129"/>
              <w:keepNext w:val="0"/>
              <w:keepLines w:val="0"/>
              <w:pageBreakBefore w:val="0"/>
              <w:widowControl w:val="0"/>
              <w:kinsoku/>
              <w:wordWrap/>
              <w:overflowPunct/>
              <w:topLinePunct w:val="0"/>
              <w:autoSpaceDE/>
              <w:autoSpaceDN/>
              <w:bidi w:val="0"/>
              <w:adjustRightInd/>
              <w:snapToGrid w:val="0"/>
              <w:spacing w:before="190" w:beforeLines="50" w:after="304" w:afterLines="8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图4.2-2  碱液喷淋塔工作原理及结构图</w:t>
            </w:r>
          </w:p>
          <w:p w14:paraId="7E0610CC">
            <w:pPr>
              <w:widowControl/>
              <w:adjustRightInd w:val="0"/>
              <w:snapToGrid w:val="0"/>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根据源强分析，表面处理废气的排放浓度能满足参照标准《电镀污染物排放标准》（GB 21900-2008）表5（氯化氢≤30mg/m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vertAlign w:val="baseline"/>
                <w:lang w:eastAsia="zh-CN"/>
              </w:rPr>
              <w:t>，</w:t>
            </w:r>
            <w:r>
              <w:rPr>
                <w:rFonts w:hint="default" w:ascii="Times New Roman" w:hAnsi="Times New Roman" w:cs="Times New Roman"/>
                <w:color w:val="auto"/>
                <w:sz w:val="24"/>
                <w:lang w:val="en-US" w:eastAsia="zh-CN"/>
              </w:rPr>
              <w:t>NOx</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20</w:t>
            </w:r>
            <w:r>
              <w:rPr>
                <w:rFonts w:hint="default" w:ascii="Times New Roman" w:hAnsi="Times New Roman" w:cs="Times New Roman"/>
                <w:color w:val="auto"/>
                <w:sz w:val="24"/>
              </w:rPr>
              <w:t>0mg/m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）限值要求。</w:t>
            </w:r>
          </w:p>
          <w:p w14:paraId="0A80B3AB">
            <w:pPr>
              <w:widowControl/>
              <w:adjustRightInd w:val="0"/>
              <w:snapToGrid w:val="0"/>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碱液喷淋塔总投资低，技术较成熟，维护方便，维护费用较少，运行费用较低，因此酸雾采用碱液喷淋塔进行处理，在技术、经济上是可行的。</w:t>
            </w:r>
          </w:p>
          <w:p w14:paraId="24A1E8D5">
            <w:pPr>
              <w:bidi w:val="0"/>
              <w:rPr>
                <w:rFonts w:hint="default"/>
                <w:color w:val="auto"/>
              </w:rPr>
            </w:pPr>
          </w:p>
          <w:p w14:paraId="0C698DB9">
            <w:pPr>
              <w:widowControl/>
              <w:adjustRightInd w:val="0"/>
              <w:snapToGrid w:val="0"/>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（3）天然气燃料废气达标分析</w:t>
            </w:r>
          </w:p>
          <w:p w14:paraId="68DC9E8A">
            <w:pPr>
              <w:widowControl/>
              <w:adjustRightInd w:val="0"/>
              <w:snapToGrid w:val="0"/>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根据源强分析，燃天然气废气中二氧化硫、氮氧化物和颗粒物的排放浓度均</w:t>
            </w:r>
            <w:r>
              <w:rPr>
                <w:rStyle w:val="102"/>
                <w:rFonts w:hint="default" w:ascii="Times New Roman" w:hAnsi="Times New Roman" w:cs="Times New Roman"/>
                <w:color w:val="auto"/>
                <w:sz w:val="24"/>
                <w:szCs w:val="24"/>
                <w:lang w:bidi="ar"/>
              </w:rPr>
              <w:t>可达到《锅炉大气污染物排放标准》（GB13271-2014）表2限值（颗粒物≤20mg/m</w:t>
            </w:r>
            <w:r>
              <w:rPr>
                <w:rStyle w:val="102"/>
                <w:rFonts w:hint="default" w:ascii="Times New Roman" w:hAnsi="Times New Roman" w:cs="Times New Roman"/>
                <w:color w:val="auto"/>
                <w:sz w:val="24"/>
                <w:szCs w:val="24"/>
                <w:vertAlign w:val="superscript"/>
                <w:lang w:bidi="ar"/>
              </w:rPr>
              <w:t>3</w:t>
            </w:r>
            <w:r>
              <w:rPr>
                <w:rStyle w:val="102"/>
                <w:rFonts w:hint="default" w:ascii="Times New Roman" w:hAnsi="Times New Roman" w:cs="Times New Roman"/>
                <w:color w:val="auto"/>
                <w:sz w:val="24"/>
                <w:szCs w:val="24"/>
                <w:lang w:bidi="ar"/>
              </w:rPr>
              <w:t>，二氧化硫≤50mg/m</w:t>
            </w:r>
            <w:r>
              <w:rPr>
                <w:rStyle w:val="102"/>
                <w:rFonts w:hint="default" w:ascii="Times New Roman" w:hAnsi="Times New Roman" w:cs="Times New Roman"/>
                <w:color w:val="auto"/>
                <w:sz w:val="24"/>
                <w:szCs w:val="24"/>
                <w:vertAlign w:val="superscript"/>
                <w:lang w:bidi="ar"/>
              </w:rPr>
              <w:t>3</w:t>
            </w:r>
            <w:r>
              <w:rPr>
                <w:rStyle w:val="102"/>
                <w:rFonts w:hint="default" w:ascii="Times New Roman" w:hAnsi="Times New Roman" w:cs="Times New Roman"/>
                <w:color w:val="auto"/>
                <w:sz w:val="24"/>
                <w:szCs w:val="24"/>
                <w:lang w:bidi="ar"/>
              </w:rPr>
              <w:t>，氮氧化物≤200mg/m</w:t>
            </w:r>
            <w:r>
              <w:rPr>
                <w:rStyle w:val="102"/>
                <w:rFonts w:hint="default" w:ascii="Times New Roman" w:hAnsi="Times New Roman" w:cs="Times New Roman"/>
                <w:color w:val="auto"/>
                <w:sz w:val="24"/>
                <w:szCs w:val="24"/>
                <w:vertAlign w:val="superscript"/>
                <w:lang w:bidi="ar"/>
              </w:rPr>
              <w:t>3</w:t>
            </w:r>
            <w:r>
              <w:rPr>
                <w:rStyle w:val="102"/>
                <w:rFonts w:hint="default" w:ascii="Times New Roman" w:hAnsi="Times New Roman" w:cs="Times New Roman"/>
                <w:color w:val="auto"/>
                <w:sz w:val="24"/>
                <w:szCs w:val="24"/>
                <w:lang w:bidi="ar"/>
              </w:rPr>
              <w:t>）要求</w:t>
            </w:r>
            <w:r>
              <w:rPr>
                <w:rFonts w:hint="default" w:ascii="Times New Roman" w:hAnsi="Times New Roman" w:cs="Times New Roman"/>
                <w:color w:val="auto"/>
                <w:sz w:val="24"/>
              </w:rPr>
              <w:t>。</w:t>
            </w:r>
          </w:p>
          <w:p w14:paraId="104D13A7">
            <w:pPr>
              <w:pStyle w:val="6"/>
              <w:spacing w:before="113" w:beforeLines="30" w:after="189" w:afterLines="50" w:line="240" w:lineRule="auto"/>
              <w:rPr>
                <w:rFonts w:hint="default" w:ascii="Times New Roman" w:hAnsi="Times New Roman" w:eastAsia="黑体" w:cs="Times New Roman"/>
                <w:bCs/>
                <w:snapToGrid/>
                <w:color w:val="auto"/>
                <w:kern w:val="2"/>
                <w:sz w:val="24"/>
                <w:szCs w:val="28"/>
                <w:lang w:val="en-US" w:eastAsia="zh-CN" w:bidi="ar-SA"/>
              </w:rPr>
            </w:pPr>
            <w:bookmarkStart w:id="215" w:name="_Toc20140"/>
            <w:bookmarkStart w:id="216" w:name="_Toc23575"/>
            <w:bookmarkStart w:id="217" w:name="_Toc21456"/>
            <w:bookmarkStart w:id="218" w:name="_Toc14712"/>
            <w:bookmarkStart w:id="219" w:name="_Toc26241"/>
            <w:r>
              <w:rPr>
                <w:rFonts w:hint="default" w:ascii="Times New Roman" w:hAnsi="Times New Roman" w:cs="Times New Roman"/>
                <w:color w:val="auto"/>
              </w:rPr>
              <w:t>4.2.1.4</w:t>
            </w:r>
            <w:r>
              <w:rPr>
                <w:rFonts w:hint="default" w:ascii="Times New Roman" w:hAnsi="Times New Roman" w:eastAsia="黑体" w:cs="Times New Roman"/>
                <w:bCs/>
                <w:snapToGrid/>
                <w:color w:val="auto"/>
                <w:kern w:val="2"/>
                <w:sz w:val="24"/>
                <w:szCs w:val="28"/>
                <w:lang w:val="en-US" w:eastAsia="zh-CN" w:bidi="ar-SA"/>
              </w:rPr>
              <w:t>环境防护距离</w:t>
            </w:r>
          </w:p>
          <w:p w14:paraId="3BB0D052">
            <w:pPr>
              <w:pStyle w:val="16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"javascript:void(0);" </w:instrText>
            </w:r>
            <w:r>
              <w:rPr>
                <w:rFonts w:hint="default" w:ascii="Times New Roman" w:hAnsi="Times New Roman" w:cs="Times New Roman"/>
                <w:color w:val="auto"/>
              </w:rPr>
              <w:fldChar w:fldCharType="separate"/>
            </w:r>
            <w:r>
              <w:rPr>
                <w:rFonts w:hint="default" w:ascii="Times New Roman" w:hAnsi="Times New Roman" w:cs="Times New Roman"/>
                <w:color w:val="auto"/>
              </w:rPr>
              <w:t>生态环境部环境工程评估中心</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于</w:t>
            </w:r>
            <w:r>
              <w:rPr>
                <w:rFonts w:hint="default" w:ascii="Times New Roman" w:hAnsi="Times New Roman" w:cs="Times New Roman"/>
                <w:color w:val="auto"/>
              </w:rPr>
              <w:t>2021</w:t>
            </w:r>
            <w:r>
              <w:rPr>
                <w:rFonts w:hint="default" w:ascii="Times New Roman" w:hAnsi="Times New Roman" w:cs="Times New Roman"/>
                <w:color w:val="auto"/>
                <w:lang w:val="en-US" w:eastAsia="zh-CN"/>
              </w:rPr>
              <w:t>年</w:t>
            </w:r>
            <w:r>
              <w:rPr>
                <w:rFonts w:hint="default" w:ascii="Times New Roman" w:hAnsi="Times New Roman" w:cs="Times New Roman"/>
                <w:color w:val="auto"/>
              </w:rPr>
              <w:t>10</w:t>
            </w:r>
            <w:r>
              <w:rPr>
                <w:rFonts w:hint="default" w:ascii="Times New Roman" w:hAnsi="Times New Roman" w:cs="Times New Roman"/>
                <w:color w:val="auto"/>
                <w:lang w:val="en-US" w:eastAsia="zh-CN"/>
              </w:rPr>
              <w:t>月</w:t>
            </w:r>
            <w:r>
              <w:rPr>
                <w:rFonts w:hint="default" w:ascii="Times New Roman" w:hAnsi="Times New Roman" w:cs="Times New Roman"/>
                <w:color w:val="auto"/>
              </w:rPr>
              <w:t>20</w:t>
            </w:r>
            <w:r>
              <w:rPr>
                <w:rFonts w:hint="default" w:ascii="Times New Roman" w:hAnsi="Times New Roman" w:cs="Times New Roman"/>
                <w:color w:val="auto"/>
                <w:lang w:val="en-US" w:eastAsia="zh-CN"/>
              </w:rPr>
              <w:t>日发布《</w:t>
            </w:r>
            <w:r>
              <w:rPr>
                <w:rFonts w:hint="default" w:ascii="Times New Roman" w:hAnsi="Times New Roman" w:cs="Times New Roman"/>
                <w:color w:val="auto"/>
              </w:rPr>
              <w:t>建设项目环境影响报告表内容、格式及编制技术指南常见问题解答</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中填写内容说明：</w:t>
            </w:r>
            <w:r>
              <w:rPr>
                <w:rFonts w:hint="default" w:ascii="Times New Roman" w:hAnsi="Times New Roman" w:cs="Times New Roman"/>
                <w:color w:val="auto"/>
              </w:rPr>
              <w:t>《建设项目环境影响评价技术导则 总纲》(HJ2.1-2016）未对卫生防护距离提出评价要求，建设项目环境影响报告表编制技术指南（以下简称技术指南）不做要求。本项目不设置大气环境防护距离</w:t>
            </w:r>
            <w:r>
              <w:rPr>
                <w:rFonts w:hint="default" w:ascii="Times New Roman" w:hAnsi="Times New Roman" w:cs="Times New Roman"/>
                <w:color w:val="auto"/>
                <w:lang w:eastAsia="zh-CN"/>
              </w:rPr>
              <w:t>，</w:t>
            </w:r>
            <w:r>
              <w:rPr>
                <w:rFonts w:hint="default" w:ascii="Times New Roman" w:hAnsi="Times New Roman" w:cs="Times New Roman"/>
                <w:color w:val="auto"/>
              </w:rPr>
              <w:t>但为加强管理，本项目</w:t>
            </w:r>
            <w:r>
              <w:rPr>
                <w:rFonts w:hint="default" w:ascii="Times New Roman" w:hAnsi="Times New Roman" w:cs="Times New Roman"/>
                <w:color w:val="auto"/>
                <w:lang w:val="en-US" w:eastAsia="zh-CN"/>
              </w:rPr>
              <w:t>周边最近敏感目标为古县村（109m），根据园区规划环评要求：“机械及金属制品业等产业可能涉及表面处理工艺等，古县村位于规划区的西南侧，目前规划区西南侧与古县村约为70m的绿化带进行隔离，本次评价建议保持现有隔离措施，不得随意侵占绿化用地”。因此本评价设置70m环境防护距离，该范围内未涉及居住区、文教区等大气环境敏感目标。</w:t>
            </w:r>
          </w:p>
          <w:p w14:paraId="4BF55BDB">
            <w:pPr>
              <w:pStyle w:val="6"/>
              <w:spacing w:before="113" w:beforeLines="30" w:after="189" w:afterLines="50" w:line="240" w:lineRule="auto"/>
              <w:rPr>
                <w:rFonts w:hint="default" w:ascii="Times New Roman" w:hAnsi="Times New Roman" w:cs="Times New Roman"/>
                <w:color w:val="auto"/>
              </w:rPr>
            </w:pPr>
            <w:r>
              <w:rPr>
                <w:rFonts w:hint="default" w:ascii="Times New Roman" w:hAnsi="Times New Roman" w:cs="Times New Roman"/>
                <w:color w:val="auto"/>
                <w:lang w:val="en-US" w:eastAsia="zh-CN"/>
              </w:rPr>
              <w:t>4.2.1.5</w:t>
            </w:r>
            <w:r>
              <w:rPr>
                <w:rFonts w:hint="default" w:ascii="Times New Roman" w:hAnsi="Times New Roman" w:cs="Times New Roman"/>
                <w:color w:val="auto"/>
              </w:rPr>
              <w:t>污染物排放量核算</w:t>
            </w:r>
          </w:p>
          <w:p w14:paraId="64B5B4E4">
            <w:pPr>
              <w:adjustRightInd w:val="0"/>
              <w:snapToGrid w:val="0"/>
              <w:spacing w:line="360" w:lineRule="auto"/>
              <w:ind w:firstLine="480" w:firstLineChars="200"/>
              <w:rPr>
                <w:rFonts w:hint="default" w:ascii="Times New Roman" w:hAnsi="Times New Roman" w:cs="Times New Roman"/>
                <w:color w:val="auto"/>
                <w:sz w:val="24"/>
              </w:rPr>
            </w:pPr>
            <w:bookmarkStart w:id="220" w:name="OLE_LINK63"/>
            <w:r>
              <w:rPr>
                <w:rFonts w:hint="default" w:ascii="Times New Roman" w:hAnsi="Times New Roman" w:cs="Times New Roman"/>
                <w:color w:val="auto"/>
                <w:sz w:val="24"/>
              </w:rPr>
              <w:t>大气污染物年排放量包括项目各有组织排放源和无组织排放源在正常排放条件下的预测排放量之和。污染物年排放量公式如下</w:t>
            </w:r>
            <w:bookmarkEnd w:id="220"/>
            <w:r>
              <w:rPr>
                <w:rFonts w:hint="default" w:ascii="Times New Roman" w:hAnsi="Times New Roman" w:cs="Times New Roman"/>
                <w:color w:val="auto"/>
                <w:sz w:val="24"/>
              </w:rPr>
              <w:t>：</w:t>
            </w:r>
          </w:p>
          <w:p w14:paraId="0CA274F3">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drawing>
                <wp:inline distT="0" distB="0" distL="114300" distR="114300">
                  <wp:extent cx="4693285" cy="383540"/>
                  <wp:effectExtent l="0" t="0" r="12065" b="16510"/>
                  <wp:docPr id="98" name="图片 143" descr="1547544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43" descr="1547544109(1)"/>
                          <pic:cNvPicPr>
                            <a:picLocks noChangeAspect="1"/>
                          </pic:cNvPicPr>
                        </pic:nvPicPr>
                        <pic:blipFill>
                          <a:blip r:embed="rId25"/>
                          <a:stretch>
                            <a:fillRect/>
                          </a:stretch>
                        </pic:blipFill>
                        <pic:spPr>
                          <a:xfrm>
                            <a:off x="0" y="0"/>
                            <a:ext cx="4693285" cy="383540"/>
                          </a:xfrm>
                          <a:prstGeom prst="rect">
                            <a:avLst/>
                          </a:prstGeom>
                          <a:noFill/>
                          <a:ln>
                            <a:noFill/>
                          </a:ln>
                        </pic:spPr>
                      </pic:pic>
                    </a:graphicData>
                  </a:graphic>
                </wp:inline>
              </w:drawing>
            </w:r>
          </w:p>
          <w:p w14:paraId="67FF39A9">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式中：E 年排放——项目年排放量，t/a；</w:t>
            </w:r>
          </w:p>
          <w:p w14:paraId="2A722827">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 xml:space="preserve">      Mi有组织——第i 个有组织排放源排放速率，kg/h；</w:t>
            </w:r>
          </w:p>
          <w:p w14:paraId="4FCCD935">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 xml:space="preserve">      Hi有组织——第 i 个有组织排放源年有效排放小时数，h/a；</w:t>
            </w:r>
          </w:p>
          <w:p w14:paraId="23FF3639">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 xml:space="preserve">      Mj无组织——第 j 个无组织排放源排放速率，kg/h；</w:t>
            </w:r>
          </w:p>
          <w:p w14:paraId="6ADD945B">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 xml:space="preserve">      Hj无组织——第 j 个无组织排放源全年有效排放小时数，h/a。</w:t>
            </w:r>
          </w:p>
          <w:p w14:paraId="1E4FC912">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污染物排放量核算见表4.2-7~表4.2-9。</w:t>
            </w:r>
          </w:p>
          <w:p w14:paraId="60A29125">
            <w:pPr>
              <w:pStyle w:val="122"/>
              <w:snapToGrid w:val="0"/>
              <w:spacing w:before="113" w:beforeLines="30" w:after="113" w:afterLines="30"/>
              <w:rPr>
                <w:rFonts w:hint="default" w:ascii="Times New Roman" w:hAnsi="Times New Roman" w:cs="Times New Roman"/>
                <w:b w:val="0"/>
                <w:bCs/>
                <w:color w:val="auto"/>
              </w:rPr>
            </w:pPr>
            <w:r>
              <w:rPr>
                <w:rFonts w:hint="default" w:ascii="Times New Roman" w:hAnsi="Times New Roman" w:cs="Times New Roman"/>
                <w:b w:val="0"/>
                <w:bCs/>
                <w:color w:val="auto"/>
              </w:rPr>
              <w:t>表4.2-7  大气污染物有组织排放量核算表</w:t>
            </w:r>
          </w:p>
          <w:tbl>
            <w:tblPr>
              <w:tblStyle w:val="34"/>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63"/>
              <w:gridCol w:w="1833"/>
              <w:gridCol w:w="1384"/>
              <w:gridCol w:w="1628"/>
              <w:gridCol w:w="1543"/>
              <w:gridCol w:w="1479"/>
            </w:tblGrid>
            <w:tr w14:paraId="0F80C6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442" w:type="pct"/>
                  <w:vMerge w:val="restart"/>
                  <w:tcBorders>
                    <w:tl2br w:val="nil"/>
                    <w:tr2bl w:val="nil"/>
                  </w:tcBorders>
                  <w:tcMar>
                    <w:top w:w="15" w:type="dxa"/>
                    <w:left w:w="15" w:type="dxa"/>
                    <w:right w:w="15" w:type="dxa"/>
                  </w:tcMar>
                  <w:vAlign w:val="center"/>
                </w:tcPr>
                <w:p w14:paraId="28E64943">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rPr>
                    <w:t>序号</w:t>
                  </w:r>
                </w:p>
              </w:tc>
              <w:tc>
                <w:tcPr>
                  <w:tcW w:w="1061" w:type="pct"/>
                  <w:vMerge w:val="restart"/>
                  <w:tcBorders>
                    <w:tl2br w:val="nil"/>
                    <w:tr2bl w:val="nil"/>
                  </w:tcBorders>
                  <w:tcMar>
                    <w:top w:w="15" w:type="dxa"/>
                    <w:left w:w="15" w:type="dxa"/>
                    <w:right w:w="15" w:type="dxa"/>
                  </w:tcMar>
                  <w:vAlign w:val="center"/>
                </w:tcPr>
                <w:p w14:paraId="0510C267">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rPr>
                    <w:t>排放口编号</w:t>
                  </w:r>
                </w:p>
              </w:tc>
              <w:tc>
                <w:tcPr>
                  <w:tcW w:w="801" w:type="pct"/>
                  <w:vMerge w:val="restart"/>
                  <w:tcBorders>
                    <w:tl2br w:val="nil"/>
                    <w:tr2bl w:val="nil"/>
                  </w:tcBorders>
                  <w:tcMar>
                    <w:top w:w="15" w:type="dxa"/>
                    <w:left w:w="15" w:type="dxa"/>
                    <w:right w:w="15" w:type="dxa"/>
                  </w:tcMar>
                  <w:vAlign w:val="center"/>
                </w:tcPr>
                <w:p w14:paraId="13843D19">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rPr>
                    <w:t>污染物</w:t>
                  </w:r>
                </w:p>
              </w:tc>
              <w:tc>
                <w:tcPr>
                  <w:tcW w:w="943" w:type="pct"/>
                  <w:tcBorders>
                    <w:tl2br w:val="nil"/>
                    <w:tr2bl w:val="nil"/>
                  </w:tcBorders>
                  <w:tcMar>
                    <w:top w:w="15" w:type="dxa"/>
                    <w:left w:w="15" w:type="dxa"/>
                    <w:right w:w="15" w:type="dxa"/>
                  </w:tcMar>
                  <w:vAlign w:val="center"/>
                </w:tcPr>
                <w:p w14:paraId="127F2E8A">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rPr>
                    <w:t>核算排放浓度/</w:t>
                  </w:r>
                </w:p>
              </w:tc>
              <w:tc>
                <w:tcPr>
                  <w:tcW w:w="893" w:type="pct"/>
                  <w:tcBorders>
                    <w:tl2br w:val="nil"/>
                    <w:tr2bl w:val="nil"/>
                  </w:tcBorders>
                  <w:tcMar>
                    <w:top w:w="15" w:type="dxa"/>
                    <w:left w:w="15" w:type="dxa"/>
                    <w:right w:w="15" w:type="dxa"/>
                  </w:tcMar>
                  <w:vAlign w:val="center"/>
                </w:tcPr>
                <w:p w14:paraId="2CF9DCEA">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rPr>
                    <w:t>核算排放速率/</w:t>
                  </w:r>
                </w:p>
              </w:tc>
              <w:tc>
                <w:tcPr>
                  <w:tcW w:w="856" w:type="pct"/>
                  <w:tcBorders>
                    <w:tl2br w:val="nil"/>
                    <w:tr2bl w:val="nil"/>
                  </w:tcBorders>
                  <w:tcMar>
                    <w:top w:w="15" w:type="dxa"/>
                    <w:left w:w="15" w:type="dxa"/>
                    <w:right w:w="15" w:type="dxa"/>
                  </w:tcMar>
                  <w:vAlign w:val="center"/>
                </w:tcPr>
                <w:p w14:paraId="6030981F">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rPr>
                    <w:t>核算年排放量/</w:t>
                  </w:r>
                </w:p>
              </w:tc>
            </w:tr>
            <w:tr w14:paraId="4D8E63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442" w:type="pct"/>
                  <w:vMerge w:val="continue"/>
                  <w:tcBorders>
                    <w:tl2br w:val="nil"/>
                    <w:tr2bl w:val="nil"/>
                  </w:tcBorders>
                  <w:tcMar>
                    <w:top w:w="15" w:type="dxa"/>
                    <w:left w:w="15" w:type="dxa"/>
                    <w:right w:w="15" w:type="dxa"/>
                  </w:tcMar>
                  <w:vAlign w:val="center"/>
                </w:tcPr>
                <w:p w14:paraId="40A44D22">
                  <w:pPr>
                    <w:keepNext w:val="0"/>
                    <w:keepLines w:val="0"/>
                    <w:pageBreakBefore w:val="0"/>
                    <w:widowControl/>
                    <w:kinsoku/>
                    <w:wordWrap/>
                    <w:overflowPunct/>
                    <w:topLinePunct w:val="0"/>
                    <w:autoSpaceDE/>
                    <w:autoSpaceDN/>
                    <w:bidi w:val="0"/>
                    <w:adjustRightInd/>
                    <w:snapToGrid w:val="0"/>
                    <w:spacing w:line="240" w:lineRule="auto"/>
                    <w:jc w:val="center"/>
                    <w:rPr>
                      <w:rFonts w:hint="default" w:ascii="Times New Roman" w:hAnsi="Times New Roman" w:cs="Times New Roman"/>
                      <w:color w:val="auto"/>
                    </w:rPr>
                  </w:pPr>
                </w:p>
              </w:tc>
              <w:tc>
                <w:tcPr>
                  <w:tcW w:w="1061" w:type="pct"/>
                  <w:vMerge w:val="continue"/>
                  <w:tcBorders>
                    <w:tl2br w:val="nil"/>
                    <w:tr2bl w:val="nil"/>
                  </w:tcBorders>
                  <w:tcMar>
                    <w:top w:w="15" w:type="dxa"/>
                    <w:left w:w="15" w:type="dxa"/>
                    <w:right w:w="15" w:type="dxa"/>
                  </w:tcMar>
                  <w:vAlign w:val="center"/>
                </w:tcPr>
                <w:p w14:paraId="5B6E9653">
                  <w:pPr>
                    <w:keepNext w:val="0"/>
                    <w:keepLines w:val="0"/>
                    <w:pageBreakBefore w:val="0"/>
                    <w:widowControl/>
                    <w:kinsoku/>
                    <w:wordWrap/>
                    <w:overflowPunct/>
                    <w:topLinePunct w:val="0"/>
                    <w:autoSpaceDE/>
                    <w:autoSpaceDN/>
                    <w:bidi w:val="0"/>
                    <w:adjustRightInd/>
                    <w:snapToGrid w:val="0"/>
                    <w:spacing w:line="240" w:lineRule="auto"/>
                    <w:jc w:val="center"/>
                    <w:rPr>
                      <w:rFonts w:hint="default" w:ascii="Times New Roman" w:hAnsi="Times New Roman" w:cs="Times New Roman"/>
                      <w:color w:val="auto"/>
                    </w:rPr>
                  </w:pPr>
                </w:p>
              </w:tc>
              <w:tc>
                <w:tcPr>
                  <w:tcW w:w="801" w:type="pct"/>
                  <w:vMerge w:val="continue"/>
                  <w:tcBorders>
                    <w:tl2br w:val="nil"/>
                    <w:tr2bl w:val="nil"/>
                  </w:tcBorders>
                  <w:tcMar>
                    <w:top w:w="15" w:type="dxa"/>
                    <w:left w:w="15" w:type="dxa"/>
                    <w:right w:w="15" w:type="dxa"/>
                  </w:tcMar>
                  <w:vAlign w:val="center"/>
                </w:tcPr>
                <w:p w14:paraId="05647C21">
                  <w:pPr>
                    <w:keepNext w:val="0"/>
                    <w:keepLines w:val="0"/>
                    <w:pageBreakBefore w:val="0"/>
                    <w:widowControl/>
                    <w:kinsoku/>
                    <w:wordWrap/>
                    <w:overflowPunct/>
                    <w:topLinePunct w:val="0"/>
                    <w:autoSpaceDE/>
                    <w:autoSpaceDN/>
                    <w:bidi w:val="0"/>
                    <w:adjustRightInd/>
                    <w:snapToGrid w:val="0"/>
                    <w:spacing w:line="240" w:lineRule="auto"/>
                    <w:jc w:val="center"/>
                    <w:rPr>
                      <w:rFonts w:hint="default" w:ascii="Times New Roman" w:hAnsi="Times New Roman" w:cs="Times New Roman"/>
                      <w:color w:val="auto"/>
                    </w:rPr>
                  </w:pPr>
                </w:p>
              </w:tc>
              <w:tc>
                <w:tcPr>
                  <w:tcW w:w="943" w:type="pct"/>
                  <w:tcBorders>
                    <w:tl2br w:val="nil"/>
                    <w:tr2bl w:val="nil"/>
                  </w:tcBorders>
                  <w:tcMar>
                    <w:top w:w="15" w:type="dxa"/>
                    <w:left w:w="15" w:type="dxa"/>
                    <w:right w:w="15" w:type="dxa"/>
                  </w:tcMar>
                  <w:vAlign w:val="center"/>
                </w:tcPr>
                <w:p w14:paraId="10EC2B06">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rPr>
                    <w:t>(mg/m</w:t>
                  </w:r>
                  <w:r>
                    <w:rPr>
                      <w:rFonts w:hint="default" w:ascii="Times New Roman" w:hAnsi="Times New Roman" w:cs="Times New Roman"/>
                      <w:color w:val="auto"/>
                      <w:vertAlign w:val="superscript"/>
                    </w:rPr>
                    <w:t>3</w:t>
                  </w:r>
                  <w:bookmarkStart w:id="221" w:name="OLE_LINK2"/>
                  <w:r>
                    <w:rPr>
                      <w:rFonts w:hint="default" w:ascii="Times New Roman" w:hAnsi="Times New Roman" w:cs="Times New Roman"/>
                      <w:color w:val="auto"/>
                    </w:rPr>
                    <w:t>)</w:t>
                  </w:r>
                  <w:bookmarkEnd w:id="221"/>
                </w:p>
              </w:tc>
              <w:tc>
                <w:tcPr>
                  <w:tcW w:w="893" w:type="pct"/>
                  <w:tcBorders>
                    <w:tl2br w:val="nil"/>
                    <w:tr2bl w:val="nil"/>
                  </w:tcBorders>
                  <w:tcMar>
                    <w:top w:w="15" w:type="dxa"/>
                    <w:left w:w="15" w:type="dxa"/>
                    <w:right w:w="15" w:type="dxa"/>
                  </w:tcMar>
                  <w:vAlign w:val="center"/>
                </w:tcPr>
                <w:p w14:paraId="2F90D954">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rPr>
                    <w:t>(kg/h)</w:t>
                  </w:r>
                </w:p>
              </w:tc>
              <w:tc>
                <w:tcPr>
                  <w:tcW w:w="856" w:type="pct"/>
                  <w:tcBorders>
                    <w:tl2br w:val="nil"/>
                    <w:tr2bl w:val="nil"/>
                  </w:tcBorders>
                  <w:tcMar>
                    <w:top w:w="15" w:type="dxa"/>
                    <w:left w:w="15" w:type="dxa"/>
                    <w:right w:w="15" w:type="dxa"/>
                  </w:tcMar>
                  <w:vAlign w:val="center"/>
                </w:tcPr>
                <w:p w14:paraId="352ADAC9">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rPr>
                    <w:t>(t/a)</w:t>
                  </w:r>
                </w:p>
              </w:tc>
            </w:tr>
            <w:tr w14:paraId="55105C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00" w:type="pct"/>
                  <w:gridSpan w:val="6"/>
                  <w:tcBorders>
                    <w:tl2br w:val="nil"/>
                    <w:tr2bl w:val="nil"/>
                  </w:tcBorders>
                  <w:tcMar>
                    <w:top w:w="15" w:type="dxa"/>
                    <w:left w:w="15" w:type="dxa"/>
                    <w:right w:w="15" w:type="dxa"/>
                  </w:tcMar>
                  <w:vAlign w:val="center"/>
                </w:tcPr>
                <w:p w14:paraId="1D249ABA">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rPr>
                    <w:t>一般排放口</w:t>
                  </w:r>
                </w:p>
              </w:tc>
            </w:tr>
            <w:tr w14:paraId="06B5F1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42" w:type="pct"/>
                  <w:tcBorders>
                    <w:tl2br w:val="nil"/>
                    <w:tr2bl w:val="nil"/>
                  </w:tcBorders>
                  <w:tcMar>
                    <w:top w:w="15" w:type="dxa"/>
                    <w:left w:w="15" w:type="dxa"/>
                    <w:right w:w="15" w:type="dxa"/>
                  </w:tcMar>
                  <w:vAlign w:val="center"/>
                </w:tcPr>
                <w:p w14:paraId="04B50DA1">
                  <w:pPr>
                    <w:keepNext w:val="0"/>
                    <w:keepLines w:val="0"/>
                    <w:pageBreakBefore w:val="0"/>
                    <w:widowControl/>
                    <w:numPr>
                      <w:ilvl w:val="0"/>
                      <w:numId w:val="15"/>
                    </w:numPr>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p>
              </w:tc>
              <w:tc>
                <w:tcPr>
                  <w:tcW w:w="1061" w:type="pct"/>
                  <w:tcBorders>
                    <w:tl2br w:val="nil"/>
                    <w:tr2bl w:val="nil"/>
                  </w:tcBorders>
                  <w:tcMar>
                    <w:top w:w="15" w:type="dxa"/>
                    <w:left w:w="15" w:type="dxa"/>
                    <w:right w:w="15" w:type="dxa"/>
                  </w:tcMar>
                  <w:vAlign w:val="center"/>
                </w:tcPr>
                <w:p w14:paraId="613F31C0">
                  <w:pPr>
                    <w:keepNext w:val="0"/>
                    <w:keepLines w:val="0"/>
                    <w:pageBreakBefore w:val="0"/>
                    <w:widowControl/>
                    <w:kinsoku/>
                    <w:wordWrap/>
                    <w:overflowPunct/>
                    <w:topLinePunct w:val="0"/>
                    <w:autoSpaceDE/>
                    <w:autoSpaceDN/>
                    <w:bidi w:val="0"/>
                    <w:adjustRightInd/>
                    <w:snapToGrid w:val="0"/>
                    <w:spacing w:line="240" w:lineRule="auto"/>
                    <w:jc w:val="center"/>
                    <w:rPr>
                      <w:rFonts w:hint="default" w:ascii="Times New Roman" w:hAnsi="Times New Roman" w:cs="Times New Roman"/>
                      <w:color w:val="auto"/>
                    </w:rPr>
                  </w:pPr>
                  <w:r>
                    <w:rPr>
                      <w:rFonts w:hint="default" w:ascii="Times New Roman" w:hAnsi="Times New Roman" w:cs="Times New Roman"/>
                      <w:color w:val="auto"/>
                    </w:rPr>
                    <w:t>DA006</w:t>
                  </w:r>
                </w:p>
              </w:tc>
              <w:tc>
                <w:tcPr>
                  <w:tcW w:w="801" w:type="pct"/>
                  <w:tcBorders>
                    <w:tl2br w:val="nil"/>
                    <w:tr2bl w:val="nil"/>
                  </w:tcBorders>
                  <w:tcMar>
                    <w:top w:w="15" w:type="dxa"/>
                    <w:left w:w="15" w:type="dxa"/>
                    <w:right w:w="15" w:type="dxa"/>
                  </w:tcMar>
                  <w:vAlign w:val="center"/>
                </w:tcPr>
                <w:p w14:paraId="79C34CF0">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rPr>
                    <w:t>颗粒物</w:t>
                  </w:r>
                </w:p>
              </w:tc>
              <w:tc>
                <w:tcPr>
                  <w:tcW w:w="943" w:type="pct"/>
                  <w:tcBorders>
                    <w:tl2br w:val="nil"/>
                    <w:tr2bl w:val="nil"/>
                  </w:tcBorders>
                  <w:tcMar>
                    <w:top w:w="15" w:type="dxa"/>
                    <w:left w:w="15" w:type="dxa"/>
                    <w:right w:w="15" w:type="dxa"/>
                  </w:tcMar>
                  <w:vAlign w:val="center"/>
                </w:tcPr>
                <w:p w14:paraId="3EA5DE3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30.03</w:t>
                  </w:r>
                </w:p>
              </w:tc>
              <w:tc>
                <w:tcPr>
                  <w:tcW w:w="893" w:type="pct"/>
                  <w:tcBorders>
                    <w:tl2br w:val="nil"/>
                    <w:tr2bl w:val="nil"/>
                  </w:tcBorders>
                  <w:tcMar>
                    <w:top w:w="15" w:type="dxa"/>
                    <w:left w:w="15" w:type="dxa"/>
                    <w:right w:w="15" w:type="dxa"/>
                  </w:tcMar>
                  <w:vAlign w:val="center"/>
                </w:tcPr>
                <w:p w14:paraId="77DE34C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0.160</w:t>
                  </w:r>
                </w:p>
              </w:tc>
              <w:tc>
                <w:tcPr>
                  <w:tcW w:w="856" w:type="pct"/>
                  <w:tcBorders>
                    <w:tl2br w:val="nil"/>
                    <w:tr2bl w:val="nil"/>
                  </w:tcBorders>
                  <w:tcMar>
                    <w:top w:w="15" w:type="dxa"/>
                    <w:left w:w="15" w:type="dxa"/>
                    <w:right w:w="15" w:type="dxa"/>
                  </w:tcMar>
                  <w:vAlign w:val="center"/>
                </w:tcPr>
                <w:p w14:paraId="50A865D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0.42</w:t>
                  </w:r>
                </w:p>
              </w:tc>
            </w:tr>
            <w:tr w14:paraId="1A6665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42" w:type="pct"/>
                  <w:tcBorders>
                    <w:tl2br w:val="nil"/>
                    <w:tr2bl w:val="nil"/>
                  </w:tcBorders>
                  <w:tcMar>
                    <w:top w:w="15" w:type="dxa"/>
                    <w:left w:w="15" w:type="dxa"/>
                    <w:right w:w="15" w:type="dxa"/>
                  </w:tcMar>
                  <w:vAlign w:val="center"/>
                </w:tcPr>
                <w:p w14:paraId="63463373">
                  <w:pPr>
                    <w:keepNext w:val="0"/>
                    <w:keepLines w:val="0"/>
                    <w:pageBreakBefore w:val="0"/>
                    <w:widowControl/>
                    <w:numPr>
                      <w:ilvl w:val="0"/>
                      <w:numId w:val="15"/>
                    </w:numPr>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bookmarkStart w:id="222" w:name="OLE_LINK96" w:colFirst="2" w:colLast="2"/>
                </w:p>
              </w:tc>
              <w:tc>
                <w:tcPr>
                  <w:tcW w:w="1061" w:type="pct"/>
                  <w:tcBorders>
                    <w:tl2br w:val="nil"/>
                    <w:tr2bl w:val="nil"/>
                  </w:tcBorders>
                  <w:tcMar>
                    <w:top w:w="15" w:type="dxa"/>
                    <w:left w:w="15" w:type="dxa"/>
                    <w:right w:w="15" w:type="dxa"/>
                  </w:tcMar>
                  <w:vAlign w:val="center"/>
                </w:tcPr>
                <w:p w14:paraId="34F570E0">
                  <w:pPr>
                    <w:keepNext w:val="0"/>
                    <w:keepLines w:val="0"/>
                    <w:pageBreakBefore w:val="0"/>
                    <w:widowControl/>
                    <w:kinsoku/>
                    <w:wordWrap/>
                    <w:overflowPunct/>
                    <w:topLinePunct w:val="0"/>
                    <w:autoSpaceDE/>
                    <w:autoSpaceDN/>
                    <w:bidi w:val="0"/>
                    <w:adjustRightInd/>
                    <w:snapToGrid w:val="0"/>
                    <w:spacing w:line="240" w:lineRule="auto"/>
                    <w:jc w:val="center"/>
                    <w:rPr>
                      <w:rFonts w:hint="default" w:ascii="Times New Roman" w:hAnsi="Times New Roman" w:cs="Times New Roman"/>
                      <w:color w:val="auto"/>
                    </w:rPr>
                  </w:pPr>
                  <w:r>
                    <w:rPr>
                      <w:rFonts w:hint="default" w:ascii="Times New Roman" w:hAnsi="Times New Roman" w:cs="Times New Roman"/>
                      <w:color w:val="auto"/>
                    </w:rPr>
                    <w:t>DA007</w:t>
                  </w:r>
                </w:p>
              </w:tc>
              <w:tc>
                <w:tcPr>
                  <w:tcW w:w="801" w:type="pct"/>
                  <w:tcBorders>
                    <w:tl2br w:val="nil"/>
                    <w:tr2bl w:val="nil"/>
                  </w:tcBorders>
                  <w:tcMar>
                    <w:top w:w="15" w:type="dxa"/>
                    <w:left w:w="15" w:type="dxa"/>
                    <w:right w:w="15" w:type="dxa"/>
                  </w:tcMar>
                  <w:vAlign w:val="center"/>
                </w:tcPr>
                <w:p w14:paraId="1FD303D8">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rPr>
                    <w:t>颗粒物</w:t>
                  </w:r>
                </w:p>
              </w:tc>
              <w:tc>
                <w:tcPr>
                  <w:tcW w:w="943" w:type="pct"/>
                  <w:tcBorders>
                    <w:tl2br w:val="nil"/>
                    <w:tr2bl w:val="nil"/>
                  </w:tcBorders>
                  <w:tcMar>
                    <w:top w:w="15" w:type="dxa"/>
                    <w:left w:w="15" w:type="dxa"/>
                    <w:right w:w="15" w:type="dxa"/>
                  </w:tcMar>
                  <w:vAlign w:val="center"/>
                </w:tcPr>
                <w:p w14:paraId="7C7FD88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12.939</w:t>
                  </w:r>
                </w:p>
              </w:tc>
              <w:tc>
                <w:tcPr>
                  <w:tcW w:w="893" w:type="pct"/>
                  <w:tcBorders>
                    <w:tl2br w:val="nil"/>
                    <w:tr2bl w:val="nil"/>
                  </w:tcBorders>
                  <w:tcMar>
                    <w:top w:w="15" w:type="dxa"/>
                    <w:left w:w="15" w:type="dxa"/>
                    <w:right w:w="15" w:type="dxa"/>
                  </w:tcMar>
                  <w:vAlign w:val="center"/>
                </w:tcPr>
                <w:p w14:paraId="75FEAB4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0.131</w:t>
                  </w:r>
                </w:p>
              </w:tc>
              <w:tc>
                <w:tcPr>
                  <w:tcW w:w="856" w:type="pct"/>
                  <w:tcBorders>
                    <w:tl2br w:val="nil"/>
                    <w:tr2bl w:val="nil"/>
                  </w:tcBorders>
                  <w:tcMar>
                    <w:top w:w="15" w:type="dxa"/>
                    <w:left w:w="15" w:type="dxa"/>
                    <w:right w:w="15" w:type="dxa"/>
                  </w:tcMar>
                  <w:vAlign w:val="center"/>
                </w:tcPr>
                <w:p w14:paraId="166599F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0.657</w:t>
                  </w:r>
                </w:p>
              </w:tc>
            </w:tr>
            <w:tr w14:paraId="53F510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42" w:type="pct"/>
                  <w:tcBorders>
                    <w:tl2br w:val="nil"/>
                    <w:tr2bl w:val="nil"/>
                  </w:tcBorders>
                  <w:tcMar>
                    <w:top w:w="15" w:type="dxa"/>
                    <w:left w:w="15" w:type="dxa"/>
                    <w:right w:w="15" w:type="dxa"/>
                  </w:tcMar>
                  <w:vAlign w:val="center"/>
                </w:tcPr>
                <w:p w14:paraId="4A2B69A4">
                  <w:pPr>
                    <w:keepNext w:val="0"/>
                    <w:keepLines w:val="0"/>
                    <w:pageBreakBefore w:val="0"/>
                    <w:widowControl/>
                    <w:numPr>
                      <w:ilvl w:val="0"/>
                      <w:numId w:val="15"/>
                    </w:numPr>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p>
              </w:tc>
              <w:tc>
                <w:tcPr>
                  <w:tcW w:w="1061" w:type="pct"/>
                  <w:tcBorders>
                    <w:tl2br w:val="nil"/>
                    <w:tr2bl w:val="nil"/>
                  </w:tcBorders>
                  <w:tcMar>
                    <w:top w:w="15" w:type="dxa"/>
                    <w:left w:w="15" w:type="dxa"/>
                    <w:right w:w="15" w:type="dxa"/>
                  </w:tcMar>
                  <w:vAlign w:val="center"/>
                </w:tcPr>
                <w:p w14:paraId="3DD28BF3">
                  <w:pPr>
                    <w:keepNext w:val="0"/>
                    <w:keepLines w:val="0"/>
                    <w:pageBreakBefore w:val="0"/>
                    <w:widowControl/>
                    <w:kinsoku/>
                    <w:wordWrap/>
                    <w:overflowPunct/>
                    <w:topLinePunct w:val="0"/>
                    <w:autoSpaceDE/>
                    <w:autoSpaceDN/>
                    <w:bidi w:val="0"/>
                    <w:adjustRightInd/>
                    <w:snapToGrid w:val="0"/>
                    <w:spacing w:line="240" w:lineRule="auto"/>
                    <w:jc w:val="center"/>
                    <w:rPr>
                      <w:rFonts w:hint="default" w:ascii="Times New Roman" w:hAnsi="Times New Roman" w:cs="Times New Roman"/>
                      <w:color w:val="auto"/>
                    </w:rPr>
                  </w:pPr>
                  <w:r>
                    <w:rPr>
                      <w:rFonts w:hint="default" w:ascii="Times New Roman" w:hAnsi="Times New Roman" w:cs="Times New Roman"/>
                      <w:color w:val="auto"/>
                    </w:rPr>
                    <w:t>DA008</w:t>
                  </w:r>
                </w:p>
              </w:tc>
              <w:tc>
                <w:tcPr>
                  <w:tcW w:w="801" w:type="pct"/>
                  <w:tcBorders>
                    <w:tl2br w:val="nil"/>
                    <w:tr2bl w:val="nil"/>
                  </w:tcBorders>
                  <w:tcMar>
                    <w:top w:w="15" w:type="dxa"/>
                    <w:left w:w="15" w:type="dxa"/>
                    <w:right w:w="15" w:type="dxa"/>
                  </w:tcMar>
                  <w:vAlign w:val="center"/>
                </w:tcPr>
                <w:p w14:paraId="6FC490A7">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rPr>
                    <w:t>酸雾（HCl）</w:t>
                  </w:r>
                </w:p>
              </w:tc>
              <w:tc>
                <w:tcPr>
                  <w:tcW w:w="943" w:type="pct"/>
                  <w:tcBorders>
                    <w:tl2br w:val="nil"/>
                    <w:tr2bl w:val="nil"/>
                  </w:tcBorders>
                  <w:tcMar>
                    <w:top w:w="15" w:type="dxa"/>
                    <w:left w:w="15" w:type="dxa"/>
                    <w:right w:w="15" w:type="dxa"/>
                  </w:tcMar>
                  <w:vAlign w:val="center"/>
                </w:tcPr>
                <w:p w14:paraId="34CDAAC9">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21.267</w:t>
                  </w:r>
                </w:p>
              </w:tc>
              <w:tc>
                <w:tcPr>
                  <w:tcW w:w="893" w:type="pct"/>
                  <w:tcBorders>
                    <w:tl2br w:val="nil"/>
                    <w:tr2bl w:val="nil"/>
                  </w:tcBorders>
                  <w:tcMar>
                    <w:top w:w="15" w:type="dxa"/>
                    <w:left w:w="15" w:type="dxa"/>
                    <w:right w:w="15" w:type="dxa"/>
                  </w:tcMar>
                  <w:vAlign w:val="center"/>
                </w:tcPr>
                <w:p w14:paraId="78B9F762">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0.638</w:t>
                  </w:r>
                </w:p>
              </w:tc>
              <w:tc>
                <w:tcPr>
                  <w:tcW w:w="856" w:type="pct"/>
                  <w:tcBorders>
                    <w:tl2br w:val="nil"/>
                    <w:tr2bl w:val="nil"/>
                  </w:tcBorders>
                  <w:tcMar>
                    <w:top w:w="15" w:type="dxa"/>
                    <w:left w:w="15" w:type="dxa"/>
                    <w:right w:w="15" w:type="dxa"/>
                  </w:tcMar>
                  <w:vAlign w:val="center"/>
                </w:tcPr>
                <w:p w14:paraId="6E68BE5D">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4.59</w:t>
                  </w:r>
                  <w:r>
                    <w:rPr>
                      <w:rFonts w:hint="default" w:ascii="Times New Roman" w:hAnsi="Times New Roman" w:cs="Times New Roman"/>
                      <w:color w:val="auto"/>
                      <w:kern w:val="0"/>
                      <w:szCs w:val="21"/>
                      <w:lang w:val="en-US" w:eastAsia="zh-CN" w:bidi="ar"/>
                    </w:rPr>
                    <w:t>3</w:t>
                  </w:r>
                </w:p>
              </w:tc>
            </w:tr>
            <w:tr w14:paraId="1AB540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42" w:type="pct"/>
                  <w:vMerge w:val="restart"/>
                  <w:tcBorders>
                    <w:tl2br w:val="nil"/>
                    <w:tr2bl w:val="nil"/>
                  </w:tcBorders>
                  <w:tcMar>
                    <w:top w:w="15" w:type="dxa"/>
                    <w:left w:w="15" w:type="dxa"/>
                    <w:right w:w="15" w:type="dxa"/>
                  </w:tcMar>
                  <w:vAlign w:val="center"/>
                </w:tcPr>
                <w:p w14:paraId="271D1740">
                  <w:pPr>
                    <w:keepNext w:val="0"/>
                    <w:keepLines w:val="0"/>
                    <w:pageBreakBefore w:val="0"/>
                    <w:widowControl/>
                    <w:tabs>
                      <w:tab w:val="left" w:pos="425"/>
                    </w:tabs>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rPr>
                    <w:t>4</w:t>
                  </w:r>
                </w:p>
              </w:tc>
              <w:tc>
                <w:tcPr>
                  <w:tcW w:w="1061" w:type="pct"/>
                  <w:vMerge w:val="restart"/>
                  <w:tcBorders>
                    <w:tl2br w:val="nil"/>
                    <w:tr2bl w:val="nil"/>
                  </w:tcBorders>
                  <w:tcMar>
                    <w:top w:w="15" w:type="dxa"/>
                    <w:left w:w="15" w:type="dxa"/>
                    <w:right w:w="15" w:type="dxa"/>
                  </w:tcMar>
                  <w:vAlign w:val="center"/>
                </w:tcPr>
                <w:p w14:paraId="29650E21">
                  <w:pPr>
                    <w:keepNext w:val="0"/>
                    <w:keepLines w:val="0"/>
                    <w:pageBreakBefore w:val="0"/>
                    <w:widowControl/>
                    <w:kinsoku/>
                    <w:wordWrap/>
                    <w:overflowPunct/>
                    <w:topLinePunct w:val="0"/>
                    <w:autoSpaceDE/>
                    <w:autoSpaceDN/>
                    <w:bidi w:val="0"/>
                    <w:adjustRightInd/>
                    <w:snapToGrid w:val="0"/>
                    <w:spacing w:line="240" w:lineRule="auto"/>
                    <w:jc w:val="center"/>
                    <w:rPr>
                      <w:rFonts w:hint="default" w:ascii="Times New Roman" w:hAnsi="Times New Roman" w:cs="Times New Roman"/>
                      <w:color w:val="auto"/>
                    </w:rPr>
                  </w:pPr>
                  <w:r>
                    <w:rPr>
                      <w:rFonts w:hint="default" w:ascii="Times New Roman" w:hAnsi="Times New Roman" w:cs="Times New Roman"/>
                      <w:color w:val="auto"/>
                    </w:rPr>
                    <w:t>DA009</w:t>
                  </w:r>
                </w:p>
              </w:tc>
              <w:tc>
                <w:tcPr>
                  <w:tcW w:w="801" w:type="pct"/>
                  <w:tcBorders>
                    <w:tl2br w:val="nil"/>
                    <w:tr2bl w:val="nil"/>
                  </w:tcBorders>
                  <w:shd w:val="clear" w:color="auto" w:fill="auto"/>
                  <w:tcMar>
                    <w:top w:w="15" w:type="dxa"/>
                    <w:left w:w="15" w:type="dxa"/>
                    <w:right w:w="15" w:type="dxa"/>
                  </w:tcMar>
                  <w:vAlign w:val="center"/>
                </w:tcPr>
                <w:p w14:paraId="3DF9A0A4">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二氧化硫</w:t>
                  </w:r>
                </w:p>
              </w:tc>
              <w:tc>
                <w:tcPr>
                  <w:tcW w:w="943" w:type="pct"/>
                  <w:tcBorders>
                    <w:tl2br w:val="nil"/>
                    <w:tr2bl w:val="nil"/>
                  </w:tcBorders>
                  <w:shd w:val="clear" w:color="auto" w:fill="auto"/>
                  <w:tcMar>
                    <w:top w:w="15" w:type="dxa"/>
                    <w:left w:w="15" w:type="dxa"/>
                    <w:right w:w="15" w:type="dxa"/>
                  </w:tcMar>
                  <w:vAlign w:val="center"/>
                </w:tcPr>
                <w:p w14:paraId="7A7F4FCA">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14.674</w:t>
                  </w:r>
                </w:p>
              </w:tc>
              <w:tc>
                <w:tcPr>
                  <w:tcW w:w="893" w:type="pct"/>
                  <w:tcBorders>
                    <w:tl2br w:val="nil"/>
                    <w:tr2bl w:val="nil"/>
                  </w:tcBorders>
                  <w:shd w:val="clear" w:color="auto" w:fill="auto"/>
                  <w:tcMar>
                    <w:top w:w="15" w:type="dxa"/>
                    <w:left w:w="15" w:type="dxa"/>
                    <w:right w:w="15" w:type="dxa"/>
                  </w:tcMar>
                  <w:vAlign w:val="center"/>
                </w:tcPr>
                <w:p w14:paraId="56ADDC77">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0.025</w:t>
                  </w:r>
                </w:p>
              </w:tc>
              <w:tc>
                <w:tcPr>
                  <w:tcW w:w="856" w:type="pct"/>
                  <w:tcBorders>
                    <w:tl2br w:val="nil"/>
                    <w:tr2bl w:val="nil"/>
                  </w:tcBorders>
                  <w:shd w:val="clear" w:color="auto" w:fill="auto"/>
                  <w:tcMar>
                    <w:top w:w="15" w:type="dxa"/>
                    <w:left w:w="15" w:type="dxa"/>
                    <w:right w:w="15" w:type="dxa"/>
                  </w:tcMar>
                  <w:vAlign w:val="center"/>
                </w:tcPr>
                <w:p w14:paraId="6037F571">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0.180</w:t>
                  </w:r>
                </w:p>
              </w:tc>
            </w:tr>
            <w:tr w14:paraId="3077E3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42" w:type="pct"/>
                  <w:vMerge w:val="continue"/>
                  <w:tcBorders>
                    <w:tl2br w:val="nil"/>
                    <w:tr2bl w:val="nil"/>
                  </w:tcBorders>
                  <w:tcMar>
                    <w:top w:w="15" w:type="dxa"/>
                    <w:left w:w="15" w:type="dxa"/>
                    <w:right w:w="15" w:type="dxa"/>
                  </w:tcMar>
                  <w:vAlign w:val="center"/>
                </w:tcPr>
                <w:p w14:paraId="24D015AB">
                  <w:pPr>
                    <w:keepNext w:val="0"/>
                    <w:keepLines w:val="0"/>
                    <w:pageBreakBefore w:val="0"/>
                    <w:widowControl/>
                    <w:tabs>
                      <w:tab w:val="left" w:pos="425"/>
                    </w:tabs>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p>
              </w:tc>
              <w:tc>
                <w:tcPr>
                  <w:tcW w:w="1061" w:type="pct"/>
                  <w:vMerge w:val="continue"/>
                  <w:tcBorders>
                    <w:tl2br w:val="nil"/>
                    <w:tr2bl w:val="nil"/>
                  </w:tcBorders>
                  <w:tcMar>
                    <w:top w:w="15" w:type="dxa"/>
                    <w:left w:w="15" w:type="dxa"/>
                    <w:right w:w="15" w:type="dxa"/>
                  </w:tcMar>
                  <w:vAlign w:val="center"/>
                </w:tcPr>
                <w:p w14:paraId="3B49B5D2">
                  <w:pPr>
                    <w:keepNext w:val="0"/>
                    <w:keepLines w:val="0"/>
                    <w:pageBreakBefore w:val="0"/>
                    <w:widowControl/>
                    <w:kinsoku/>
                    <w:wordWrap/>
                    <w:overflowPunct/>
                    <w:topLinePunct w:val="0"/>
                    <w:autoSpaceDE/>
                    <w:autoSpaceDN/>
                    <w:bidi w:val="0"/>
                    <w:adjustRightInd/>
                    <w:snapToGrid w:val="0"/>
                    <w:spacing w:line="240" w:lineRule="auto"/>
                    <w:jc w:val="center"/>
                    <w:rPr>
                      <w:rFonts w:hint="default" w:ascii="Times New Roman" w:hAnsi="Times New Roman" w:cs="Times New Roman"/>
                      <w:color w:val="auto"/>
                    </w:rPr>
                  </w:pPr>
                </w:p>
              </w:tc>
              <w:tc>
                <w:tcPr>
                  <w:tcW w:w="801" w:type="pct"/>
                  <w:tcBorders>
                    <w:tl2br w:val="nil"/>
                    <w:tr2bl w:val="nil"/>
                  </w:tcBorders>
                  <w:shd w:val="clear" w:color="auto" w:fill="auto"/>
                  <w:tcMar>
                    <w:top w:w="15" w:type="dxa"/>
                    <w:left w:w="15" w:type="dxa"/>
                    <w:right w:w="15" w:type="dxa"/>
                  </w:tcMar>
                  <w:vAlign w:val="center"/>
                </w:tcPr>
                <w:p w14:paraId="1334F837">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氮氧化物</w:t>
                  </w:r>
                </w:p>
              </w:tc>
              <w:tc>
                <w:tcPr>
                  <w:tcW w:w="943" w:type="pct"/>
                  <w:tcBorders>
                    <w:tl2br w:val="nil"/>
                    <w:tr2bl w:val="nil"/>
                  </w:tcBorders>
                  <w:shd w:val="clear" w:color="auto" w:fill="auto"/>
                  <w:tcMar>
                    <w:top w:w="15" w:type="dxa"/>
                    <w:left w:w="15" w:type="dxa"/>
                    <w:right w:w="15" w:type="dxa"/>
                  </w:tcMar>
                  <w:vAlign w:val="center"/>
                </w:tcPr>
                <w:p w14:paraId="5245196D">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137.271</w:t>
                  </w:r>
                </w:p>
              </w:tc>
              <w:tc>
                <w:tcPr>
                  <w:tcW w:w="893" w:type="pct"/>
                  <w:tcBorders>
                    <w:tl2br w:val="nil"/>
                    <w:tr2bl w:val="nil"/>
                  </w:tcBorders>
                  <w:shd w:val="clear" w:color="auto" w:fill="auto"/>
                  <w:tcMar>
                    <w:top w:w="15" w:type="dxa"/>
                    <w:left w:w="15" w:type="dxa"/>
                    <w:right w:w="15" w:type="dxa"/>
                  </w:tcMar>
                  <w:vAlign w:val="center"/>
                </w:tcPr>
                <w:p w14:paraId="2FCC9CE3">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0.234</w:t>
                  </w:r>
                </w:p>
              </w:tc>
              <w:tc>
                <w:tcPr>
                  <w:tcW w:w="856" w:type="pct"/>
                  <w:tcBorders>
                    <w:tl2br w:val="nil"/>
                    <w:tr2bl w:val="nil"/>
                  </w:tcBorders>
                  <w:shd w:val="clear" w:color="auto" w:fill="auto"/>
                  <w:tcMar>
                    <w:top w:w="15" w:type="dxa"/>
                    <w:left w:w="15" w:type="dxa"/>
                    <w:right w:w="15" w:type="dxa"/>
                  </w:tcMar>
                  <w:vAlign w:val="center"/>
                </w:tcPr>
                <w:p w14:paraId="2AEB66D0">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1.684</w:t>
                  </w:r>
                </w:p>
              </w:tc>
            </w:tr>
            <w:tr w14:paraId="6733BF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42" w:type="pct"/>
                  <w:vMerge w:val="continue"/>
                  <w:tcBorders>
                    <w:tl2br w:val="nil"/>
                    <w:tr2bl w:val="nil"/>
                  </w:tcBorders>
                  <w:tcMar>
                    <w:top w:w="15" w:type="dxa"/>
                    <w:left w:w="15" w:type="dxa"/>
                    <w:right w:w="15" w:type="dxa"/>
                  </w:tcMar>
                  <w:vAlign w:val="center"/>
                </w:tcPr>
                <w:p w14:paraId="58C3EAB3">
                  <w:pPr>
                    <w:keepNext w:val="0"/>
                    <w:keepLines w:val="0"/>
                    <w:pageBreakBefore w:val="0"/>
                    <w:widowControl/>
                    <w:tabs>
                      <w:tab w:val="left" w:pos="425"/>
                    </w:tabs>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p>
              </w:tc>
              <w:tc>
                <w:tcPr>
                  <w:tcW w:w="1061" w:type="pct"/>
                  <w:vMerge w:val="continue"/>
                  <w:tcBorders>
                    <w:tl2br w:val="nil"/>
                    <w:tr2bl w:val="nil"/>
                  </w:tcBorders>
                  <w:tcMar>
                    <w:top w:w="15" w:type="dxa"/>
                    <w:left w:w="15" w:type="dxa"/>
                    <w:right w:w="15" w:type="dxa"/>
                  </w:tcMar>
                  <w:vAlign w:val="center"/>
                </w:tcPr>
                <w:p w14:paraId="26E51CB7">
                  <w:pPr>
                    <w:keepNext w:val="0"/>
                    <w:keepLines w:val="0"/>
                    <w:pageBreakBefore w:val="0"/>
                    <w:widowControl/>
                    <w:kinsoku/>
                    <w:wordWrap/>
                    <w:overflowPunct/>
                    <w:topLinePunct w:val="0"/>
                    <w:autoSpaceDE/>
                    <w:autoSpaceDN/>
                    <w:bidi w:val="0"/>
                    <w:adjustRightInd/>
                    <w:snapToGrid w:val="0"/>
                    <w:spacing w:line="240" w:lineRule="auto"/>
                    <w:jc w:val="center"/>
                    <w:rPr>
                      <w:rFonts w:hint="default" w:ascii="Times New Roman" w:hAnsi="Times New Roman" w:cs="Times New Roman"/>
                      <w:color w:val="auto"/>
                    </w:rPr>
                  </w:pPr>
                </w:p>
              </w:tc>
              <w:tc>
                <w:tcPr>
                  <w:tcW w:w="801" w:type="pct"/>
                  <w:tcBorders>
                    <w:tl2br w:val="nil"/>
                    <w:tr2bl w:val="nil"/>
                  </w:tcBorders>
                  <w:shd w:val="clear" w:color="auto" w:fill="auto"/>
                  <w:tcMar>
                    <w:top w:w="15" w:type="dxa"/>
                    <w:left w:w="15" w:type="dxa"/>
                    <w:right w:w="15" w:type="dxa"/>
                  </w:tcMar>
                  <w:vAlign w:val="center"/>
                </w:tcPr>
                <w:p w14:paraId="721AA72E">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颗粒物</w:t>
                  </w:r>
                </w:p>
              </w:tc>
              <w:tc>
                <w:tcPr>
                  <w:tcW w:w="943" w:type="pct"/>
                  <w:tcBorders>
                    <w:tl2br w:val="nil"/>
                    <w:tr2bl w:val="nil"/>
                  </w:tcBorders>
                  <w:shd w:val="clear" w:color="auto" w:fill="auto"/>
                  <w:tcMar>
                    <w:top w:w="15" w:type="dxa"/>
                    <w:left w:w="15" w:type="dxa"/>
                    <w:right w:w="15" w:type="dxa"/>
                  </w:tcMar>
                  <w:vAlign w:val="center"/>
                </w:tcPr>
                <w:p w14:paraId="4235416E">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12.619</w:t>
                  </w:r>
                </w:p>
              </w:tc>
              <w:tc>
                <w:tcPr>
                  <w:tcW w:w="893" w:type="pct"/>
                  <w:tcBorders>
                    <w:tl2br w:val="nil"/>
                    <w:tr2bl w:val="nil"/>
                  </w:tcBorders>
                  <w:shd w:val="clear" w:color="auto" w:fill="auto"/>
                  <w:tcMar>
                    <w:top w:w="15" w:type="dxa"/>
                    <w:left w:w="15" w:type="dxa"/>
                    <w:right w:w="15" w:type="dxa"/>
                  </w:tcMar>
                  <w:vAlign w:val="center"/>
                </w:tcPr>
                <w:p w14:paraId="5328540E">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0.022</w:t>
                  </w:r>
                </w:p>
              </w:tc>
              <w:tc>
                <w:tcPr>
                  <w:tcW w:w="856" w:type="pct"/>
                  <w:tcBorders>
                    <w:tl2br w:val="nil"/>
                    <w:tr2bl w:val="nil"/>
                  </w:tcBorders>
                  <w:shd w:val="clear" w:color="auto" w:fill="auto"/>
                  <w:tcMar>
                    <w:top w:w="15" w:type="dxa"/>
                    <w:left w:w="15" w:type="dxa"/>
                    <w:right w:w="15" w:type="dxa"/>
                  </w:tcMar>
                  <w:vAlign w:val="center"/>
                </w:tcPr>
                <w:p w14:paraId="1267ECD2">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0.155</w:t>
                  </w:r>
                </w:p>
              </w:tc>
            </w:tr>
            <w:tr w14:paraId="0C1919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04" w:type="pct"/>
                  <w:gridSpan w:val="2"/>
                  <w:vMerge w:val="restart"/>
                  <w:tcBorders>
                    <w:tl2br w:val="nil"/>
                    <w:tr2bl w:val="nil"/>
                  </w:tcBorders>
                  <w:tcMar>
                    <w:top w:w="15" w:type="dxa"/>
                    <w:left w:w="15" w:type="dxa"/>
                    <w:right w:w="15" w:type="dxa"/>
                  </w:tcMar>
                  <w:vAlign w:val="center"/>
                </w:tcPr>
                <w:p w14:paraId="6BF11BD1">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rPr>
                    <w:t>一般排放口合计</w:t>
                  </w:r>
                </w:p>
              </w:tc>
              <w:tc>
                <w:tcPr>
                  <w:tcW w:w="2639" w:type="pct"/>
                  <w:gridSpan w:val="3"/>
                  <w:tcBorders>
                    <w:tl2br w:val="nil"/>
                    <w:tr2bl w:val="nil"/>
                  </w:tcBorders>
                  <w:tcMar>
                    <w:top w:w="15" w:type="dxa"/>
                    <w:left w:w="15" w:type="dxa"/>
                    <w:right w:w="15" w:type="dxa"/>
                  </w:tcMar>
                  <w:vAlign w:val="center"/>
                </w:tcPr>
                <w:p w14:paraId="7132E8A6">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二氧化硫</w:t>
                  </w:r>
                </w:p>
              </w:tc>
              <w:tc>
                <w:tcPr>
                  <w:tcW w:w="856" w:type="pct"/>
                  <w:tcBorders>
                    <w:tl2br w:val="nil"/>
                    <w:tr2bl w:val="nil"/>
                  </w:tcBorders>
                  <w:tcMar>
                    <w:top w:w="15" w:type="dxa"/>
                    <w:left w:w="15" w:type="dxa"/>
                    <w:right w:w="15" w:type="dxa"/>
                  </w:tcMar>
                  <w:vAlign w:val="center"/>
                </w:tcPr>
                <w:p w14:paraId="5046F158">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0.180</w:t>
                  </w:r>
                </w:p>
              </w:tc>
            </w:tr>
            <w:tr w14:paraId="740FA8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04" w:type="pct"/>
                  <w:gridSpan w:val="2"/>
                  <w:vMerge w:val="continue"/>
                  <w:tcBorders>
                    <w:tl2br w:val="nil"/>
                    <w:tr2bl w:val="nil"/>
                  </w:tcBorders>
                  <w:tcMar>
                    <w:top w:w="15" w:type="dxa"/>
                    <w:left w:w="15" w:type="dxa"/>
                    <w:right w:w="15" w:type="dxa"/>
                  </w:tcMar>
                  <w:vAlign w:val="center"/>
                </w:tcPr>
                <w:p w14:paraId="259953F0">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p>
              </w:tc>
              <w:tc>
                <w:tcPr>
                  <w:tcW w:w="2639" w:type="pct"/>
                  <w:gridSpan w:val="3"/>
                  <w:tcBorders>
                    <w:tl2br w:val="nil"/>
                    <w:tr2bl w:val="nil"/>
                  </w:tcBorders>
                  <w:tcMar>
                    <w:top w:w="15" w:type="dxa"/>
                    <w:left w:w="15" w:type="dxa"/>
                    <w:right w:w="15" w:type="dxa"/>
                  </w:tcMar>
                  <w:vAlign w:val="center"/>
                </w:tcPr>
                <w:p w14:paraId="59BBA4E3">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氮氧化物</w:t>
                  </w:r>
                </w:p>
              </w:tc>
              <w:tc>
                <w:tcPr>
                  <w:tcW w:w="856" w:type="pct"/>
                  <w:tcBorders>
                    <w:tl2br w:val="nil"/>
                    <w:tr2bl w:val="nil"/>
                  </w:tcBorders>
                  <w:shd w:val="clear" w:color="auto" w:fill="auto"/>
                  <w:tcMar>
                    <w:top w:w="15" w:type="dxa"/>
                    <w:left w:w="15" w:type="dxa"/>
                    <w:right w:w="15" w:type="dxa"/>
                  </w:tcMar>
                  <w:vAlign w:val="center"/>
                </w:tcPr>
                <w:p w14:paraId="3AAB56C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1.684</w:t>
                  </w:r>
                </w:p>
              </w:tc>
            </w:tr>
            <w:tr w14:paraId="0D828B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04" w:type="pct"/>
                  <w:gridSpan w:val="2"/>
                  <w:vMerge w:val="continue"/>
                  <w:tcBorders>
                    <w:tl2br w:val="nil"/>
                    <w:tr2bl w:val="nil"/>
                  </w:tcBorders>
                  <w:tcMar>
                    <w:top w:w="15" w:type="dxa"/>
                    <w:left w:w="15" w:type="dxa"/>
                    <w:right w:w="15" w:type="dxa"/>
                  </w:tcMar>
                  <w:vAlign w:val="center"/>
                </w:tcPr>
                <w:p w14:paraId="7C87936C">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p>
              </w:tc>
              <w:tc>
                <w:tcPr>
                  <w:tcW w:w="2639" w:type="pct"/>
                  <w:gridSpan w:val="3"/>
                  <w:tcBorders>
                    <w:tl2br w:val="nil"/>
                    <w:tr2bl w:val="nil"/>
                  </w:tcBorders>
                  <w:tcMar>
                    <w:top w:w="15" w:type="dxa"/>
                    <w:left w:w="15" w:type="dxa"/>
                    <w:right w:w="15" w:type="dxa"/>
                  </w:tcMar>
                  <w:vAlign w:val="center"/>
                </w:tcPr>
                <w:p w14:paraId="1E1ADF0E">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颗粒物</w:t>
                  </w:r>
                </w:p>
              </w:tc>
              <w:tc>
                <w:tcPr>
                  <w:tcW w:w="856" w:type="pct"/>
                  <w:tcBorders>
                    <w:tl2br w:val="nil"/>
                    <w:tr2bl w:val="nil"/>
                  </w:tcBorders>
                  <w:tcMar>
                    <w:top w:w="15" w:type="dxa"/>
                    <w:left w:w="15" w:type="dxa"/>
                    <w:right w:w="15" w:type="dxa"/>
                  </w:tcMar>
                  <w:vAlign w:val="center"/>
                </w:tcPr>
                <w:p w14:paraId="3E0B752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0.81</w:t>
                  </w:r>
                </w:p>
              </w:tc>
            </w:tr>
            <w:tr w14:paraId="29C226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04" w:type="pct"/>
                  <w:gridSpan w:val="2"/>
                  <w:vMerge w:val="continue"/>
                  <w:tcBorders>
                    <w:tl2br w:val="nil"/>
                    <w:tr2bl w:val="nil"/>
                  </w:tcBorders>
                  <w:tcMar>
                    <w:top w:w="15" w:type="dxa"/>
                    <w:left w:w="15" w:type="dxa"/>
                    <w:right w:w="15" w:type="dxa"/>
                  </w:tcMar>
                  <w:vAlign w:val="center"/>
                </w:tcPr>
                <w:p w14:paraId="129D78D6">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p>
              </w:tc>
              <w:tc>
                <w:tcPr>
                  <w:tcW w:w="2639" w:type="pct"/>
                  <w:gridSpan w:val="3"/>
                  <w:tcBorders>
                    <w:tl2br w:val="nil"/>
                    <w:tr2bl w:val="nil"/>
                  </w:tcBorders>
                  <w:tcMar>
                    <w:top w:w="15" w:type="dxa"/>
                    <w:left w:w="15" w:type="dxa"/>
                    <w:right w:w="15" w:type="dxa"/>
                  </w:tcMar>
                  <w:vAlign w:val="center"/>
                </w:tcPr>
                <w:p w14:paraId="6EE6550C">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HCl</w:t>
                  </w:r>
                </w:p>
              </w:tc>
              <w:tc>
                <w:tcPr>
                  <w:tcW w:w="856" w:type="pct"/>
                  <w:tcBorders>
                    <w:tl2br w:val="nil"/>
                    <w:tr2bl w:val="nil"/>
                  </w:tcBorders>
                  <w:tcMar>
                    <w:top w:w="15" w:type="dxa"/>
                    <w:left w:w="15" w:type="dxa"/>
                    <w:right w:w="15" w:type="dxa"/>
                  </w:tcMar>
                  <w:vAlign w:val="center"/>
                </w:tcPr>
                <w:p w14:paraId="52FB494E">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4.59</w:t>
                  </w:r>
                  <w:r>
                    <w:rPr>
                      <w:rFonts w:hint="default" w:ascii="Times New Roman" w:hAnsi="Times New Roman" w:cs="Times New Roman"/>
                      <w:color w:val="auto"/>
                      <w:kern w:val="0"/>
                      <w:szCs w:val="21"/>
                      <w:lang w:val="en-US" w:eastAsia="zh-CN" w:bidi="ar"/>
                    </w:rPr>
                    <w:t>3</w:t>
                  </w:r>
                </w:p>
              </w:tc>
            </w:tr>
            <w:bookmarkEnd w:id="222"/>
            <w:tr w14:paraId="4870B4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00" w:type="pct"/>
                  <w:gridSpan w:val="6"/>
                  <w:tcBorders>
                    <w:tl2br w:val="nil"/>
                    <w:tr2bl w:val="nil"/>
                  </w:tcBorders>
                  <w:tcMar>
                    <w:top w:w="15" w:type="dxa"/>
                    <w:left w:w="15" w:type="dxa"/>
                    <w:right w:w="15" w:type="dxa"/>
                  </w:tcMar>
                  <w:vAlign w:val="center"/>
                </w:tcPr>
                <w:p w14:paraId="32FC8F6A">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rPr>
                    <w:t>有组织排放总计</w:t>
                  </w:r>
                </w:p>
              </w:tc>
            </w:tr>
            <w:tr w14:paraId="47ED0E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04" w:type="pct"/>
                  <w:gridSpan w:val="2"/>
                  <w:vMerge w:val="restart"/>
                  <w:tcBorders>
                    <w:tl2br w:val="nil"/>
                    <w:tr2bl w:val="nil"/>
                  </w:tcBorders>
                  <w:tcMar>
                    <w:top w:w="15" w:type="dxa"/>
                    <w:left w:w="15" w:type="dxa"/>
                    <w:right w:w="15" w:type="dxa"/>
                  </w:tcMar>
                  <w:vAlign w:val="center"/>
                </w:tcPr>
                <w:p w14:paraId="580D877D">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rPr>
                    <w:t>有组织排放总计</w:t>
                  </w:r>
                </w:p>
              </w:tc>
              <w:tc>
                <w:tcPr>
                  <w:tcW w:w="2639" w:type="pct"/>
                  <w:gridSpan w:val="3"/>
                  <w:tcBorders>
                    <w:tl2br w:val="nil"/>
                    <w:tr2bl w:val="nil"/>
                  </w:tcBorders>
                  <w:tcMar>
                    <w:top w:w="15" w:type="dxa"/>
                    <w:left w:w="15" w:type="dxa"/>
                    <w:right w:w="15" w:type="dxa"/>
                  </w:tcMar>
                  <w:vAlign w:val="center"/>
                </w:tcPr>
                <w:p w14:paraId="65B09880">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二氧化硫</w:t>
                  </w:r>
                </w:p>
              </w:tc>
              <w:tc>
                <w:tcPr>
                  <w:tcW w:w="1479" w:type="dxa"/>
                  <w:tcBorders>
                    <w:tl2br w:val="nil"/>
                    <w:tr2bl w:val="nil"/>
                  </w:tcBorders>
                  <w:tcMar>
                    <w:top w:w="15" w:type="dxa"/>
                    <w:left w:w="15" w:type="dxa"/>
                    <w:right w:w="15" w:type="dxa"/>
                  </w:tcMar>
                  <w:vAlign w:val="center"/>
                </w:tcPr>
                <w:p w14:paraId="047BD5C9">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0.180</w:t>
                  </w:r>
                </w:p>
              </w:tc>
            </w:tr>
            <w:tr w14:paraId="28CE55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04" w:type="pct"/>
                  <w:gridSpan w:val="2"/>
                  <w:vMerge w:val="continue"/>
                  <w:tcBorders>
                    <w:tl2br w:val="nil"/>
                    <w:tr2bl w:val="nil"/>
                  </w:tcBorders>
                  <w:tcMar>
                    <w:top w:w="15" w:type="dxa"/>
                    <w:left w:w="15" w:type="dxa"/>
                    <w:right w:w="15" w:type="dxa"/>
                  </w:tcMar>
                  <w:vAlign w:val="center"/>
                </w:tcPr>
                <w:p w14:paraId="63E14C37">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p>
              </w:tc>
              <w:tc>
                <w:tcPr>
                  <w:tcW w:w="2639" w:type="pct"/>
                  <w:gridSpan w:val="3"/>
                  <w:tcBorders>
                    <w:tl2br w:val="nil"/>
                    <w:tr2bl w:val="nil"/>
                  </w:tcBorders>
                  <w:tcMar>
                    <w:top w:w="15" w:type="dxa"/>
                    <w:left w:w="15" w:type="dxa"/>
                    <w:right w:w="15" w:type="dxa"/>
                  </w:tcMar>
                  <w:vAlign w:val="center"/>
                </w:tcPr>
                <w:p w14:paraId="3F694835">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氮氧化物</w:t>
                  </w:r>
                </w:p>
              </w:tc>
              <w:tc>
                <w:tcPr>
                  <w:tcW w:w="1479" w:type="dxa"/>
                  <w:tcBorders>
                    <w:tl2br w:val="nil"/>
                    <w:tr2bl w:val="nil"/>
                  </w:tcBorders>
                  <w:shd w:val="clear" w:color="auto" w:fill="auto"/>
                  <w:tcMar>
                    <w:top w:w="15" w:type="dxa"/>
                    <w:left w:w="15" w:type="dxa"/>
                    <w:right w:w="15" w:type="dxa"/>
                  </w:tcMar>
                  <w:vAlign w:val="center"/>
                </w:tcPr>
                <w:p w14:paraId="2901FF8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1.684</w:t>
                  </w:r>
                </w:p>
              </w:tc>
            </w:tr>
            <w:tr w14:paraId="5D8D67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04" w:type="pct"/>
                  <w:gridSpan w:val="2"/>
                  <w:vMerge w:val="continue"/>
                  <w:tcBorders>
                    <w:tl2br w:val="nil"/>
                    <w:tr2bl w:val="nil"/>
                  </w:tcBorders>
                  <w:tcMar>
                    <w:top w:w="15" w:type="dxa"/>
                    <w:left w:w="15" w:type="dxa"/>
                    <w:right w:w="15" w:type="dxa"/>
                  </w:tcMar>
                  <w:vAlign w:val="center"/>
                </w:tcPr>
                <w:p w14:paraId="1FBBD1AC">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p>
              </w:tc>
              <w:tc>
                <w:tcPr>
                  <w:tcW w:w="2639" w:type="pct"/>
                  <w:gridSpan w:val="3"/>
                  <w:tcBorders>
                    <w:tl2br w:val="nil"/>
                    <w:tr2bl w:val="nil"/>
                  </w:tcBorders>
                  <w:tcMar>
                    <w:top w:w="15" w:type="dxa"/>
                    <w:left w:w="15" w:type="dxa"/>
                    <w:right w:w="15" w:type="dxa"/>
                  </w:tcMar>
                  <w:vAlign w:val="center"/>
                </w:tcPr>
                <w:p w14:paraId="7C7957E5">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颗粒物</w:t>
                  </w:r>
                </w:p>
              </w:tc>
              <w:tc>
                <w:tcPr>
                  <w:tcW w:w="1479" w:type="dxa"/>
                  <w:tcBorders>
                    <w:tl2br w:val="nil"/>
                    <w:tr2bl w:val="nil"/>
                  </w:tcBorders>
                  <w:tcMar>
                    <w:top w:w="15" w:type="dxa"/>
                    <w:left w:w="15" w:type="dxa"/>
                    <w:right w:w="15" w:type="dxa"/>
                  </w:tcMar>
                  <w:vAlign w:val="center"/>
                </w:tcPr>
                <w:p w14:paraId="0B8E8F3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0.81</w:t>
                  </w:r>
                </w:p>
              </w:tc>
            </w:tr>
            <w:tr w14:paraId="029AB7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04" w:type="pct"/>
                  <w:gridSpan w:val="2"/>
                  <w:vMerge w:val="continue"/>
                  <w:tcBorders>
                    <w:tl2br w:val="nil"/>
                    <w:tr2bl w:val="nil"/>
                  </w:tcBorders>
                  <w:tcMar>
                    <w:top w:w="15" w:type="dxa"/>
                    <w:left w:w="15" w:type="dxa"/>
                    <w:right w:w="15" w:type="dxa"/>
                  </w:tcMar>
                  <w:vAlign w:val="center"/>
                </w:tcPr>
                <w:p w14:paraId="5404CE9B">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p>
              </w:tc>
              <w:tc>
                <w:tcPr>
                  <w:tcW w:w="2639" w:type="pct"/>
                  <w:gridSpan w:val="3"/>
                  <w:tcBorders>
                    <w:tl2br w:val="nil"/>
                    <w:tr2bl w:val="nil"/>
                  </w:tcBorders>
                  <w:tcMar>
                    <w:top w:w="15" w:type="dxa"/>
                    <w:left w:w="15" w:type="dxa"/>
                    <w:right w:w="15" w:type="dxa"/>
                  </w:tcMar>
                  <w:vAlign w:val="center"/>
                </w:tcPr>
                <w:p w14:paraId="353439CE">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HCl</w:t>
                  </w:r>
                </w:p>
              </w:tc>
              <w:tc>
                <w:tcPr>
                  <w:tcW w:w="1479" w:type="dxa"/>
                  <w:tcBorders>
                    <w:tl2br w:val="nil"/>
                    <w:tr2bl w:val="nil"/>
                  </w:tcBorders>
                  <w:tcMar>
                    <w:top w:w="15" w:type="dxa"/>
                    <w:left w:w="15" w:type="dxa"/>
                    <w:right w:w="15" w:type="dxa"/>
                  </w:tcMar>
                  <w:vAlign w:val="center"/>
                </w:tcPr>
                <w:p w14:paraId="1509C871">
                  <w:pPr>
                    <w:keepNext w:val="0"/>
                    <w:keepLines w:val="0"/>
                    <w:pageBreakBefore w:val="0"/>
                    <w:widowControl/>
                    <w:kinsoku/>
                    <w:wordWrap/>
                    <w:overflowPunct/>
                    <w:topLinePunct w:val="0"/>
                    <w:autoSpaceDE/>
                    <w:autoSpaceDN/>
                    <w:bidi w:val="0"/>
                    <w:adjustRightInd/>
                    <w:snapToGrid w:val="0"/>
                    <w:spacing w:line="240" w:lineRule="auto"/>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4.59</w:t>
                  </w:r>
                  <w:r>
                    <w:rPr>
                      <w:rFonts w:hint="default" w:ascii="Times New Roman" w:hAnsi="Times New Roman" w:cs="Times New Roman"/>
                      <w:color w:val="auto"/>
                      <w:kern w:val="0"/>
                      <w:szCs w:val="21"/>
                      <w:lang w:val="en-US" w:eastAsia="zh-CN" w:bidi="ar"/>
                    </w:rPr>
                    <w:t>3</w:t>
                  </w:r>
                </w:p>
              </w:tc>
            </w:tr>
          </w:tbl>
          <w:p w14:paraId="76E7C3E1">
            <w:pPr>
              <w:pStyle w:val="122"/>
              <w:snapToGrid w:val="0"/>
              <w:spacing w:before="113" w:beforeLines="30" w:after="113" w:afterLines="30"/>
              <w:rPr>
                <w:rFonts w:hint="default" w:ascii="Times New Roman" w:hAnsi="Times New Roman" w:cs="Times New Roman"/>
                <w:b w:val="0"/>
                <w:bCs/>
                <w:color w:val="auto"/>
              </w:rPr>
            </w:pPr>
            <w:r>
              <w:rPr>
                <w:rFonts w:hint="default" w:ascii="Times New Roman" w:hAnsi="Times New Roman" w:cs="Times New Roman"/>
                <w:b w:val="0"/>
                <w:bCs/>
                <w:color w:val="auto"/>
              </w:rPr>
              <w:t>表4.2-8  大气污染物无组织排放量核算表</w:t>
            </w:r>
          </w:p>
          <w:tbl>
            <w:tblPr>
              <w:tblStyle w:val="34"/>
              <w:tblW w:w="4994"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67"/>
              <w:gridCol w:w="595"/>
              <w:gridCol w:w="849"/>
              <w:gridCol w:w="988"/>
              <w:gridCol w:w="2335"/>
              <w:gridCol w:w="1436"/>
              <w:gridCol w:w="1232"/>
              <w:gridCol w:w="823"/>
            </w:tblGrid>
            <w:tr w14:paraId="26BAC2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212" w:type="pct"/>
                  <w:vMerge w:val="restart"/>
                  <w:tcBorders>
                    <w:tl2br w:val="nil"/>
                    <w:tr2bl w:val="nil"/>
                  </w:tcBorders>
                  <w:vAlign w:val="center"/>
                </w:tcPr>
                <w:p w14:paraId="722DA4E5">
                  <w:pPr>
                    <w:pStyle w:val="65"/>
                    <w:kinsoku w:val="0"/>
                    <w:overflowPunct w:val="0"/>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344" w:type="pct"/>
                  <w:vMerge w:val="restart"/>
                  <w:tcBorders>
                    <w:tl2br w:val="nil"/>
                    <w:tr2bl w:val="nil"/>
                  </w:tcBorders>
                  <w:vAlign w:val="center"/>
                </w:tcPr>
                <w:p w14:paraId="7E861A92">
                  <w:pPr>
                    <w:pStyle w:val="65"/>
                    <w:kinsoku w:val="0"/>
                    <w:overflowPunct w:val="0"/>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产污</w:t>
                  </w:r>
                </w:p>
                <w:p w14:paraId="15DCAD09">
                  <w:pPr>
                    <w:pStyle w:val="65"/>
                    <w:kinsoku w:val="0"/>
                    <w:overflowPunct w:val="0"/>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环节</w:t>
                  </w:r>
                </w:p>
              </w:tc>
              <w:tc>
                <w:tcPr>
                  <w:tcW w:w="492" w:type="pct"/>
                  <w:vMerge w:val="restart"/>
                  <w:tcBorders>
                    <w:tl2br w:val="nil"/>
                    <w:tr2bl w:val="nil"/>
                  </w:tcBorders>
                  <w:vAlign w:val="center"/>
                </w:tcPr>
                <w:p w14:paraId="5464F15A">
                  <w:pPr>
                    <w:pStyle w:val="65"/>
                    <w:kinsoku w:val="0"/>
                    <w:overflowPunct w:val="0"/>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w:t>
                  </w:r>
                </w:p>
              </w:tc>
              <w:tc>
                <w:tcPr>
                  <w:tcW w:w="1926" w:type="pct"/>
                  <w:gridSpan w:val="2"/>
                  <w:vMerge w:val="restart"/>
                  <w:tcBorders>
                    <w:tl2br w:val="nil"/>
                    <w:tr2bl w:val="nil"/>
                  </w:tcBorders>
                  <w:vAlign w:val="center"/>
                </w:tcPr>
                <w:p w14:paraId="6F4E742F">
                  <w:pPr>
                    <w:pStyle w:val="65"/>
                    <w:kinsoku w:val="0"/>
                    <w:overflowPunct w:val="0"/>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主要污染</w:t>
                  </w:r>
                </w:p>
                <w:p w14:paraId="7A3E4A42">
                  <w:pPr>
                    <w:pStyle w:val="65"/>
                    <w:kinsoku w:val="0"/>
                    <w:overflowPunct w:val="0"/>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防治措施</w:t>
                  </w:r>
                </w:p>
              </w:tc>
              <w:tc>
                <w:tcPr>
                  <w:tcW w:w="1546" w:type="pct"/>
                  <w:gridSpan w:val="2"/>
                  <w:tcBorders>
                    <w:tl2br w:val="nil"/>
                    <w:tr2bl w:val="nil"/>
                  </w:tcBorders>
                  <w:vAlign w:val="center"/>
                </w:tcPr>
                <w:p w14:paraId="4C185F43">
                  <w:pPr>
                    <w:pStyle w:val="65"/>
                    <w:kinsoku w:val="0"/>
                    <w:overflowPunct w:val="0"/>
                    <w:spacing w:line="240" w:lineRule="exact"/>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国家或地方污染物排放标准</w:t>
                  </w:r>
                </w:p>
              </w:tc>
              <w:tc>
                <w:tcPr>
                  <w:tcW w:w="477" w:type="pct"/>
                  <w:vMerge w:val="restart"/>
                  <w:tcBorders>
                    <w:tl2br w:val="nil"/>
                    <w:tr2bl w:val="nil"/>
                  </w:tcBorders>
                  <w:vAlign w:val="center"/>
                </w:tcPr>
                <w:p w14:paraId="656560BC">
                  <w:pPr>
                    <w:pStyle w:val="65"/>
                    <w:kinsoku w:val="0"/>
                    <w:overflowPunct w:val="0"/>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年排放量/（t/a）</w:t>
                  </w:r>
                </w:p>
              </w:tc>
            </w:tr>
            <w:tr w14:paraId="5E9770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2" w:hRule="atLeast"/>
                <w:jc w:val="center"/>
              </w:trPr>
              <w:tc>
                <w:tcPr>
                  <w:tcW w:w="212" w:type="pct"/>
                  <w:vMerge w:val="continue"/>
                  <w:tcBorders>
                    <w:tl2br w:val="nil"/>
                    <w:tr2bl w:val="nil"/>
                  </w:tcBorders>
                  <w:vAlign w:val="center"/>
                </w:tcPr>
                <w:p w14:paraId="45ACC384">
                  <w:pPr>
                    <w:pStyle w:val="65"/>
                    <w:kinsoku w:val="0"/>
                    <w:overflowPunct w:val="0"/>
                    <w:spacing w:line="240" w:lineRule="exact"/>
                    <w:jc w:val="center"/>
                    <w:rPr>
                      <w:rFonts w:hint="default" w:ascii="Times New Roman" w:hAnsi="Times New Roman" w:cs="Times New Roman"/>
                      <w:color w:val="auto"/>
                      <w:sz w:val="21"/>
                      <w:szCs w:val="21"/>
                    </w:rPr>
                  </w:pPr>
                </w:p>
              </w:tc>
              <w:tc>
                <w:tcPr>
                  <w:tcW w:w="344" w:type="pct"/>
                  <w:vMerge w:val="continue"/>
                  <w:tcBorders>
                    <w:tl2br w:val="nil"/>
                    <w:tr2bl w:val="nil"/>
                  </w:tcBorders>
                  <w:vAlign w:val="center"/>
                </w:tcPr>
                <w:p w14:paraId="60B4D21A">
                  <w:pPr>
                    <w:pStyle w:val="65"/>
                    <w:kinsoku w:val="0"/>
                    <w:overflowPunct w:val="0"/>
                    <w:spacing w:line="240" w:lineRule="exact"/>
                    <w:jc w:val="center"/>
                    <w:rPr>
                      <w:rFonts w:hint="default" w:ascii="Times New Roman" w:hAnsi="Times New Roman" w:cs="Times New Roman"/>
                      <w:color w:val="auto"/>
                      <w:sz w:val="21"/>
                      <w:szCs w:val="21"/>
                    </w:rPr>
                  </w:pPr>
                </w:p>
              </w:tc>
              <w:tc>
                <w:tcPr>
                  <w:tcW w:w="492" w:type="pct"/>
                  <w:vMerge w:val="continue"/>
                  <w:tcBorders>
                    <w:tl2br w:val="nil"/>
                    <w:tr2bl w:val="nil"/>
                  </w:tcBorders>
                  <w:vAlign w:val="center"/>
                </w:tcPr>
                <w:p w14:paraId="48C78689">
                  <w:pPr>
                    <w:pStyle w:val="65"/>
                    <w:kinsoku w:val="0"/>
                    <w:overflowPunct w:val="0"/>
                    <w:spacing w:line="240" w:lineRule="exact"/>
                    <w:jc w:val="center"/>
                    <w:rPr>
                      <w:rFonts w:hint="default" w:ascii="Times New Roman" w:hAnsi="Times New Roman" w:cs="Times New Roman"/>
                      <w:color w:val="auto"/>
                      <w:sz w:val="21"/>
                      <w:szCs w:val="21"/>
                    </w:rPr>
                  </w:pPr>
                </w:p>
              </w:tc>
              <w:tc>
                <w:tcPr>
                  <w:tcW w:w="1926" w:type="pct"/>
                  <w:gridSpan w:val="2"/>
                  <w:vMerge w:val="continue"/>
                  <w:tcBorders>
                    <w:tl2br w:val="nil"/>
                    <w:tr2bl w:val="nil"/>
                  </w:tcBorders>
                  <w:vAlign w:val="center"/>
                </w:tcPr>
                <w:p w14:paraId="47F5BE57">
                  <w:pPr>
                    <w:pStyle w:val="65"/>
                    <w:kinsoku w:val="0"/>
                    <w:overflowPunct w:val="0"/>
                    <w:spacing w:line="240" w:lineRule="exact"/>
                    <w:jc w:val="center"/>
                    <w:rPr>
                      <w:rFonts w:hint="default" w:ascii="Times New Roman" w:hAnsi="Times New Roman" w:cs="Times New Roman"/>
                      <w:color w:val="auto"/>
                      <w:sz w:val="21"/>
                      <w:szCs w:val="21"/>
                    </w:rPr>
                  </w:pPr>
                </w:p>
              </w:tc>
              <w:tc>
                <w:tcPr>
                  <w:tcW w:w="832" w:type="pct"/>
                  <w:tcBorders>
                    <w:tl2br w:val="nil"/>
                    <w:tr2bl w:val="nil"/>
                  </w:tcBorders>
                  <w:vAlign w:val="center"/>
                </w:tcPr>
                <w:p w14:paraId="6500D5E3">
                  <w:pPr>
                    <w:pStyle w:val="65"/>
                    <w:kinsoku w:val="0"/>
                    <w:overflowPunct w:val="0"/>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标准名称</w:t>
                  </w:r>
                </w:p>
              </w:tc>
              <w:tc>
                <w:tcPr>
                  <w:tcW w:w="714" w:type="pct"/>
                  <w:tcBorders>
                    <w:tl2br w:val="nil"/>
                    <w:tr2bl w:val="nil"/>
                  </w:tcBorders>
                  <w:vAlign w:val="center"/>
                </w:tcPr>
                <w:p w14:paraId="724A802D">
                  <w:pPr>
                    <w:pStyle w:val="65"/>
                    <w:kinsoku w:val="0"/>
                    <w:overflowPunct w:val="0"/>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浓度限值/</w:t>
                  </w:r>
                </w:p>
                <w:p w14:paraId="297FF812">
                  <w:pPr>
                    <w:pStyle w:val="65"/>
                    <w:kinsoku w:val="0"/>
                    <w:overflowPunct w:val="0"/>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lang w:eastAsia="zh-CN"/>
                    </w:rPr>
                    <w:t>)</w:t>
                  </w:r>
                </w:p>
              </w:tc>
              <w:tc>
                <w:tcPr>
                  <w:tcW w:w="477" w:type="pct"/>
                  <w:vMerge w:val="continue"/>
                  <w:tcBorders>
                    <w:tl2br w:val="nil"/>
                    <w:tr2bl w:val="nil"/>
                  </w:tcBorders>
                  <w:vAlign w:val="center"/>
                </w:tcPr>
                <w:p w14:paraId="6BE92811">
                  <w:pPr>
                    <w:pStyle w:val="65"/>
                    <w:kinsoku w:val="0"/>
                    <w:overflowPunct w:val="0"/>
                    <w:spacing w:line="240" w:lineRule="exact"/>
                    <w:jc w:val="center"/>
                    <w:rPr>
                      <w:rFonts w:hint="default" w:ascii="Times New Roman" w:hAnsi="Times New Roman" w:cs="Times New Roman"/>
                      <w:color w:val="auto"/>
                      <w:sz w:val="21"/>
                      <w:szCs w:val="21"/>
                    </w:rPr>
                  </w:pPr>
                </w:p>
              </w:tc>
            </w:tr>
            <w:tr w14:paraId="14D057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50" w:hRule="atLeast"/>
                <w:jc w:val="center"/>
              </w:trPr>
              <w:tc>
                <w:tcPr>
                  <w:tcW w:w="212" w:type="pct"/>
                  <w:tcBorders>
                    <w:tl2br w:val="nil"/>
                    <w:tr2bl w:val="nil"/>
                  </w:tcBorders>
                  <w:vAlign w:val="center"/>
                </w:tcPr>
                <w:p w14:paraId="20D92C9A">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344" w:type="pct"/>
                  <w:vMerge w:val="restart"/>
                  <w:tcBorders>
                    <w:tl2br w:val="nil"/>
                    <w:tr2bl w:val="nil"/>
                  </w:tcBorders>
                  <w:vAlign w:val="center"/>
                </w:tcPr>
                <w:p w14:paraId="42B0736C">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生产车间</w:t>
                  </w:r>
                </w:p>
              </w:tc>
              <w:tc>
                <w:tcPr>
                  <w:tcW w:w="492" w:type="pct"/>
                  <w:tcBorders>
                    <w:tl2br w:val="nil"/>
                    <w:tr2bl w:val="nil"/>
                  </w:tcBorders>
                  <w:vAlign w:val="center"/>
                </w:tcPr>
                <w:p w14:paraId="089ACB58">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颗粒物</w:t>
                  </w:r>
                </w:p>
              </w:tc>
              <w:tc>
                <w:tcPr>
                  <w:tcW w:w="1926" w:type="pct"/>
                  <w:gridSpan w:val="2"/>
                  <w:vMerge w:val="restart"/>
                  <w:tcBorders>
                    <w:tl2br w:val="nil"/>
                    <w:tr2bl w:val="nil"/>
                  </w:tcBorders>
                  <w:vAlign w:val="center"/>
                </w:tcPr>
                <w:p w14:paraId="0AC5FC49">
                  <w:pPr>
                    <w:rPr>
                      <w:rFonts w:hint="default" w:ascii="Times New Roman" w:hAnsi="Times New Roman" w:cs="Times New Roman"/>
                      <w:color w:val="auto"/>
                      <w:szCs w:val="21"/>
                    </w:rPr>
                  </w:pPr>
                  <w:r>
                    <w:rPr>
                      <w:rFonts w:hint="default" w:ascii="Times New Roman" w:hAnsi="Times New Roman" w:cs="Times New Roman"/>
                      <w:color w:val="auto"/>
                      <w:szCs w:val="21"/>
                    </w:rPr>
                    <w:t>产生的粉尘的设备设置在密闭车间，产尘点配备布袋除尘器；表面处理生产线为全封闭负压式，盐酸储罐呼吸废气、低位回用酸罐（池）废气、低位废酸罐（池）废气收集后处理，减少无组织酸雾排放；定期对厂区道路进行洒水、清洁等措施；加强设备维护，禁止除尘设备事故运行，降低除尘器漏风率。</w:t>
                  </w:r>
                </w:p>
              </w:tc>
              <w:tc>
                <w:tcPr>
                  <w:tcW w:w="832" w:type="pct"/>
                  <w:vMerge w:val="restart"/>
                  <w:tcBorders>
                    <w:tl2br w:val="nil"/>
                    <w:tr2bl w:val="nil"/>
                  </w:tcBorders>
                  <w:vAlign w:val="center"/>
                </w:tcPr>
                <w:p w14:paraId="694D6E84">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GB16297-1996 《大气污染物综合排放标准》表2</w:t>
                  </w:r>
                </w:p>
              </w:tc>
              <w:tc>
                <w:tcPr>
                  <w:tcW w:w="714" w:type="pct"/>
                  <w:tcBorders>
                    <w:tl2br w:val="nil"/>
                    <w:tr2bl w:val="nil"/>
                  </w:tcBorders>
                  <w:vAlign w:val="center"/>
                </w:tcPr>
                <w:p w14:paraId="505EA3D1">
                  <w:pPr>
                    <w:widowControl/>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w:t>
                  </w:r>
                </w:p>
              </w:tc>
              <w:tc>
                <w:tcPr>
                  <w:tcW w:w="477" w:type="pct"/>
                  <w:tcBorders>
                    <w:tl2br w:val="nil"/>
                    <w:tr2bl w:val="nil"/>
                  </w:tcBorders>
                  <w:vAlign w:val="center"/>
                </w:tcPr>
                <w:p w14:paraId="2082E27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1.314 </w:t>
                  </w:r>
                </w:p>
              </w:tc>
            </w:tr>
            <w:tr w14:paraId="6A6009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212" w:type="pct"/>
                  <w:tcBorders>
                    <w:tl2br w:val="nil"/>
                    <w:tr2bl w:val="nil"/>
                  </w:tcBorders>
                  <w:vAlign w:val="center"/>
                </w:tcPr>
                <w:p w14:paraId="03393D52">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2</w:t>
                  </w:r>
                </w:p>
              </w:tc>
              <w:tc>
                <w:tcPr>
                  <w:tcW w:w="344" w:type="pct"/>
                  <w:vMerge w:val="continue"/>
                  <w:tcBorders>
                    <w:tl2br w:val="nil"/>
                    <w:tr2bl w:val="nil"/>
                  </w:tcBorders>
                  <w:vAlign w:val="center"/>
                </w:tcPr>
                <w:p w14:paraId="2A30FB5D">
                  <w:pPr>
                    <w:widowControl/>
                    <w:jc w:val="center"/>
                    <w:textAlignment w:val="center"/>
                    <w:rPr>
                      <w:rFonts w:hint="default" w:ascii="Times New Roman" w:hAnsi="Times New Roman" w:cs="Times New Roman"/>
                      <w:color w:val="auto"/>
                      <w:szCs w:val="21"/>
                    </w:rPr>
                  </w:pPr>
                </w:p>
              </w:tc>
              <w:tc>
                <w:tcPr>
                  <w:tcW w:w="492" w:type="pct"/>
                  <w:tcBorders>
                    <w:tl2br w:val="nil"/>
                    <w:tr2bl w:val="nil"/>
                  </w:tcBorders>
                  <w:vAlign w:val="center"/>
                </w:tcPr>
                <w:p w14:paraId="28FF50AE">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酸雾（HCl）</w:t>
                  </w:r>
                </w:p>
              </w:tc>
              <w:tc>
                <w:tcPr>
                  <w:tcW w:w="1926" w:type="pct"/>
                  <w:gridSpan w:val="2"/>
                  <w:vMerge w:val="continue"/>
                  <w:tcBorders>
                    <w:tl2br w:val="nil"/>
                    <w:tr2bl w:val="nil"/>
                  </w:tcBorders>
                  <w:vAlign w:val="center"/>
                </w:tcPr>
                <w:p w14:paraId="79A50E21">
                  <w:pPr>
                    <w:rPr>
                      <w:rFonts w:hint="default" w:ascii="Times New Roman" w:hAnsi="Times New Roman" w:cs="Times New Roman"/>
                      <w:color w:val="auto"/>
                      <w:szCs w:val="21"/>
                    </w:rPr>
                  </w:pPr>
                </w:p>
              </w:tc>
              <w:tc>
                <w:tcPr>
                  <w:tcW w:w="832" w:type="pct"/>
                  <w:vMerge w:val="continue"/>
                  <w:tcBorders>
                    <w:tl2br w:val="nil"/>
                    <w:tr2bl w:val="nil"/>
                  </w:tcBorders>
                  <w:vAlign w:val="center"/>
                </w:tcPr>
                <w:p w14:paraId="7A22BA45">
                  <w:pPr>
                    <w:adjustRightInd w:val="0"/>
                    <w:snapToGrid w:val="0"/>
                    <w:jc w:val="center"/>
                    <w:rPr>
                      <w:rFonts w:hint="default" w:ascii="Times New Roman" w:hAnsi="Times New Roman" w:cs="Times New Roman"/>
                      <w:color w:val="auto"/>
                      <w:szCs w:val="21"/>
                    </w:rPr>
                  </w:pPr>
                </w:p>
              </w:tc>
              <w:tc>
                <w:tcPr>
                  <w:tcW w:w="714" w:type="pct"/>
                  <w:tcBorders>
                    <w:tl2br w:val="nil"/>
                    <w:tr2bl w:val="nil"/>
                  </w:tcBorders>
                  <w:vAlign w:val="center"/>
                </w:tcPr>
                <w:p w14:paraId="750FD534">
                  <w:pPr>
                    <w:widowControl/>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0.2</w:t>
                  </w:r>
                </w:p>
              </w:tc>
              <w:tc>
                <w:tcPr>
                  <w:tcW w:w="477" w:type="pct"/>
                  <w:tcBorders>
                    <w:tl2br w:val="nil"/>
                    <w:tr2bl w:val="nil"/>
                  </w:tcBorders>
                  <w:vAlign w:val="center"/>
                </w:tcPr>
                <w:p w14:paraId="64520C80">
                  <w:pPr>
                    <w:widowControl/>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1.875</w:t>
                  </w:r>
                </w:p>
              </w:tc>
            </w:tr>
            <w:tr w14:paraId="07DCDC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5000" w:type="pct"/>
                  <w:gridSpan w:val="8"/>
                  <w:tcBorders>
                    <w:tl2br w:val="nil"/>
                    <w:tr2bl w:val="nil"/>
                  </w:tcBorders>
                  <w:vAlign w:val="center"/>
                </w:tcPr>
                <w:p w14:paraId="1AC9C93F">
                  <w:pPr>
                    <w:pStyle w:val="65"/>
                    <w:kinsoku w:val="0"/>
                    <w:overflowPunct w:val="0"/>
                    <w:spacing w:line="240" w:lineRule="exact"/>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无组织排放总计</w:t>
                  </w:r>
                </w:p>
              </w:tc>
            </w:tr>
            <w:tr w14:paraId="3EAA97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1622" w:type="pct"/>
                  <w:gridSpan w:val="4"/>
                  <w:vMerge w:val="restart"/>
                  <w:tcBorders>
                    <w:tl2br w:val="nil"/>
                    <w:tr2bl w:val="nil"/>
                  </w:tcBorders>
                  <w:vAlign w:val="center"/>
                </w:tcPr>
                <w:p w14:paraId="554BF404">
                  <w:pPr>
                    <w:pStyle w:val="65"/>
                    <w:kinsoku w:val="0"/>
                    <w:overflowPunct w:val="0"/>
                    <w:spacing w:line="240" w:lineRule="exact"/>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无组织排放总计</w:t>
                  </w:r>
                </w:p>
              </w:tc>
              <w:tc>
                <w:tcPr>
                  <w:tcW w:w="2186" w:type="pct"/>
                  <w:gridSpan w:val="2"/>
                  <w:tcBorders>
                    <w:tl2br w:val="nil"/>
                    <w:tr2bl w:val="nil"/>
                  </w:tcBorders>
                  <w:vAlign w:val="center"/>
                </w:tcPr>
                <w:p w14:paraId="3D7F8E91">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颗粒物</w:t>
                  </w:r>
                </w:p>
              </w:tc>
              <w:tc>
                <w:tcPr>
                  <w:tcW w:w="1191" w:type="pct"/>
                  <w:gridSpan w:val="2"/>
                  <w:tcBorders>
                    <w:tl2br w:val="nil"/>
                    <w:tr2bl w:val="nil"/>
                  </w:tcBorders>
                  <w:vAlign w:val="center"/>
                </w:tcPr>
                <w:p w14:paraId="288571F8">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 xml:space="preserve">1.314 </w:t>
                  </w:r>
                </w:p>
              </w:tc>
            </w:tr>
            <w:tr w14:paraId="62FB60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1622" w:type="pct"/>
                  <w:gridSpan w:val="4"/>
                  <w:vMerge w:val="continue"/>
                  <w:tcBorders>
                    <w:tl2br w:val="nil"/>
                    <w:tr2bl w:val="nil"/>
                  </w:tcBorders>
                  <w:vAlign w:val="center"/>
                </w:tcPr>
                <w:p w14:paraId="38771D45">
                  <w:pPr>
                    <w:pStyle w:val="65"/>
                    <w:kinsoku w:val="0"/>
                    <w:overflowPunct w:val="0"/>
                    <w:spacing w:line="240" w:lineRule="exact"/>
                    <w:jc w:val="center"/>
                    <w:rPr>
                      <w:rFonts w:hint="default" w:ascii="Times New Roman" w:hAnsi="Times New Roman" w:cs="Times New Roman"/>
                      <w:color w:val="auto"/>
                      <w:sz w:val="21"/>
                      <w:szCs w:val="21"/>
                      <w:lang w:eastAsia="zh-CN"/>
                    </w:rPr>
                  </w:pPr>
                </w:p>
              </w:tc>
              <w:tc>
                <w:tcPr>
                  <w:tcW w:w="2186" w:type="pct"/>
                  <w:gridSpan w:val="2"/>
                  <w:tcBorders>
                    <w:tl2br w:val="nil"/>
                    <w:tr2bl w:val="nil"/>
                  </w:tcBorders>
                  <w:vAlign w:val="center"/>
                </w:tcPr>
                <w:p w14:paraId="04C8A5F3">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rPr>
                    <w:t>酸雾（HCl）</w:t>
                  </w:r>
                </w:p>
              </w:tc>
              <w:tc>
                <w:tcPr>
                  <w:tcW w:w="1191" w:type="pct"/>
                  <w:gridSpan w:val="2"/>
                  <w:tcBorders>
                    <w:tl2br w:val="nil"/>
                    <w:tr2bl w:val="nil"/>
                  </w:tcBorders>
                  <w:vAlign w:val="center"/>
                </w:tcPr>
                <w:p w14:paraId="3BD830DA">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1.875</w:t>
                  </w:r>
                </w:p>
              </w:tc>
            </w:tr>
          </w:tbl>
          <w:p w14:paraId="6F3BD340">
            <w:pPr>
              <w:pStyle w:val="72"/>
              <w:snapToGrid w:val="0"/>
              <w:spacing w:before="75" w:beforeLines="20" w:after="75" w:afterLines="20" w:line="240" w:lineRule="auto"/>
              <w:jc w:val="center"/>
              <w:textAlignment w:val="auto"/>
              <w:outlineLvl w:val="4"/>
              <w:rPr>
                <w:rFonts w:hint="default" w:ascii="Times New Roman" w:hAnsi="Times New Roman" w:cs="Times New Roman"/>
                <w:bCs/>
                <w:snapToGrid/>
                <w:color w:val="auto"/>
                <w:kern w:val="2"/>
                <w:sz w:val="24"/>
                <w:szCs w:val="24"/>
              </w:rPr>
            </w:pPr>
            <w:r>
              <w:rPr>
                <w:rFonts w:hint="default" w:ascii="Times New Roman" w:hAnsi="Times New Roman" w:cs="Times New Roman"/>
                <w:bCs/>
                <w:snapToGrid/>
                <w:color w:val="auto"/>
                <w:kern w:val="2"/>
                <w:sz w:val="24"/>
                <w:szCs w:val="24"/>
              </w:rPr>
              <w:t>表4.2-9  大气污染物年排放量核算表</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5"/>
              <w:gridCol w:w="3185"/>
              <w:gridCol w:w="3490"/>
            </w:tblGrid>
            <w:tr w14:paraId="60E7D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132" w:type="pct"/>
                  <w:tcBorders>
                    <w:tl2br w:val="nil"/>
                    <w:tr2bl w:val="nil"/>
                  </w:tcBorders>
                  <w:tcMar>
                    <w:top w:w="0" w:type="dxa"/>
                    <w:left w:w="0" w:type="dxa"/>
                    <w:bottom w:w="0" w:type="dxa"/>
                    <w:right w:w="0" w:type="dxa"/>
                  </w:tcMar>
                  <w:vAlign w:val="center"/>
                </w:tcPr>
                <w:p w14:paraId="73D94E70">
                  <w:pPr>
                    <w:pStyle w:val="65"/>
                    <w:kinsoku w:val="0"/>
                    <w:overflowPunct w:val="0"/>
                    <w:snapToGrid w:val="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序号</w:t>
                  </w:r>
                </w:p>
              </w:tc>
              <w:tc>
                <w:tcPr>
                  <w:tcW w:w="1845" w:type="pct"/>
                  <w:tcBorders>
                    <w:tl2br w:val="nil"/>
                    <w:tr2bl w:val="nil"/>
                  </w:tcBorders>
                  <w:tcMar>
                    <w:top w:w="0" w:type="dxa"/>
                    <w:left w:w="0" w:type="dxa"/>
                    <w:bottom w:w="0" w:type="dxa"/>
                    <w:right w:w="0" w:type="dxa"/>
                  </w:tcMar>
                  <w:vAlign w:val="center"/>
                </w:tcPr>
                <w:p w14:paraId="1D7637A8">
                  <w:pPr>
                    <w:pStyle w:val="65"/>
                    <w:kinsoku w:val="0"/>
                    <w:overflowPunct w:val="0"/>
                    <w:snapToGrid w:val="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污染物</w:t>
                  </w:r>
                </w:p>
              </w:tc>
              <w:tc>
                <w:tcPr>
                  <w:tcW w:w="2022" w:type="pct"/>
                  <w:tcBorders>
                    <w:tl2br w:val="nil"/>
                    <w:tr2bl w:val="nil"/>
                  </w:tcBorders>
                  <w:tcMar>
                    <w:top w:w="0" w:type="dxa"/>
                    <w:left w:w="0" w:type="dxa"/>
                    <w:bottom w:w="0" w:type="dxa"/>
                    <w:right w:w="0" w:type="dxa"/>
                  </w:tcMar>
                  <w:vAlign w:val="center"/>
                </w:tcPr>
                <w:p w14:paraId="6036C6B3">
                  <w:pPr>
                    <w:pStyle w:val="65"/>
                    <w:kinsoku w:val="0"/>
                    <w:overflowPunct w:val="0"/>
                    <w:snapToGrid w:val="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年排放量/（t/a）</w:t>
                  </w:r>
                </w:p>
              </w:tc>
            </w:tr>
            <w:tr w14:paraId="5901F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132" w:type="pct"/>
                  <w:tcBorders>
                    <w:tl2br w:val="nil"/>
                    <w:tr2bl w:val="nil"/>
                  </w:tcBorders>
                  <w:tcMar>
                    <w:top w:w="0" w:type="dxa"/>
                    <w:left w:w="0" w:type="dxa"/>
                    <w:bottom w:w="0" w:type="dxa"/>
                    <w:right w:w="0" w:type="dxa"/>
                  </w:tcMar>
                  <w:vAlign w:val="center"/>
                </w:tcPr>
                <w:p w14:paraId="6BA57C75">
                  <w:pPr>
                    <w:pStyle w:val="65"/>
                    <w:kinsoku w:val="0"/>
                    <w:overflowPunct w:val="0"/>
                    <w:snapToGrid w:val="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1</w:t>
                  </w:r>
                </w:p>
              </w:tc>
              <w:tc>
                <w:tcPr>
                  <w:tcW w:w="1845" w:type="pct"/>
                  <w:tcBorders>
                    <w:tl2br w:val="nil"/>
                    <w:tr2bl w:val="nil"/>
                  </w:tcBorders>
                  <w:tcMar>
                    <w:top w:w="0" w:type="dxa"/>
                    <w:left w:w="0" w:type="dxa"/>
                    <w:bottom w:w="0" w:type="dxa"/>
                    <w:right w:w="0" w:type="dxa"/>
                  </w:tcMar>
                  <w:vAlign w:val="center"/>
                </w:tcPr>
                <w:p w14:paraId="1A357649">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二氧化硫</w:t>
                  </w:r>
                </w:p>
              </w:tc>
              <w:tc>
                <w:tcPr>
                  <w:tcW w:w="3490" w:type="dxa"/>
                  <w:tcBorders>
                    <w:tl2br w:val="nil"/>
                    <w:tr2bl w:val="nil"/>
                  </w:tcBorders>
                  <w:tcMar>
                    <w:top w:w="0" w:type="dxa"/>
                    <w:left w:w="0" w:type="dxa"/>
                    <w:bottom w:w="0" w:type="dxa"/>
                    <w:right w:w="0" w:type="dxa"/>
                  </w:tcMar>
                  <w:vAlign w:val="center"/>
                </w:tcPr>
                <w:p w14:paraId="1629F2BB">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0.180</w:t>
                  </w:r>
                </w:p>
              </w:tc>
            </w:tr>
            <w:tr w14:paraId="5A73B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132" w:type="pct"/>
                  <w:tcBorders>
                    <w:tl2br w:val="nil"/>
                    <w:tr2bl w:val="nil"/>
                  </w:tcBorders>
                  <w:tcMar>
                    <w:top w:w="0" w:type="dxa"/>
                    <w:left w:w="0" w:type="dxa"/>
                    <w:bottom w:w="0" w:type="dxa"/>
                    <w:right w:w="0" w:type="dxa"/>
                  </w:tcMar>
                  <w:vAlign w:val="center"/>
                </w:tcPr>
                <w:p w14:paraId="61074A67">
                  <w:pPr>
                    <w:pStyle w:val="65"/>
                    <w:kinsoku w:val="0"/>
                    <w:overflowPunct w:val="0"/>
                    <w:snapToGrid w:val="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2</w:t>
                  </w:r>
                </w:p>
              </w:tc>
              <w:tc>
                <w:tcPr>
                  <w:tcW w:w="1845" w:type="pct"/>
                  <w:tcBorders>
                    <w:tl2br w:val="nil"/>
                    <w:tr2bl w:val="nil"/>
                  </w:tcBorders>
                  <w:tcMar>
                    <w:top w:w="0" w:type="dxa"/>
                    <w:left w:w="0" w:type="dxa"/>
                    <w:bottom w:w="0" w:type="dxa"/>
                    <w:right w:w="0" w:type="dxa"/>
                  </w:tcMar>
                  <w:vAlign w:val="center"/>
                </w:tcPr>
                <w:p w14:paraId="30CD0E64">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氮氧化物</w:t>
                  </w:r>
                </w:p>
              </w:tc>
              <w:tc>
                <w:tcPr>
                  <w:tcW w:w="3490" w:type="dxa"/>
                  <w:tcBorders>
                    <w:tl2br w:val="nil"/>
                    <w:tr2bl w:val="nil"/>
                  </w:tcBorders>
                  <w:shd w:val="clear" w:color="auto" w:fill="auto"/>
                  <w:tcMar>
                    <w:top w:w="0" w:type="dxa"/>
                    <w:left w:w="0" w:type="dxa"/>
                    <w:bottom w:w="0" w:type="dxa"/>
                    <w:right w:w="0" w:type="dxa"/>
                  </w:tcMar>
                  <w:vAlign w:val="center"/>
                </w:tcPr>
                <w:p w14:paraId="11DFD4DB">
                  <w:pPr>
                    <w:keepNext w:val="0"/>
                    <w:keepLines w:val="0"/>
                    <w:widowControl/>
                    <w:suppressLineNumbers w:val="0"/>
                    <w:jc w:val="center"/>
                    <w:textAlignment w:val="center"/>
                    <w:rPr>
                      <w:rFonts w:hint="default" w:ascii="Times New Roman" w:hAnsi="Times New Roman" w:cs="Times New Roman"/>
                      <w:color w:val="auto"/>
                      <w:kern w:val="0"/>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1.684</w:t>
                  </w:r>
                </w:p>
              </w:tc>
            </w:tr>
            <w:tr w14:paraId="78FF4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132" w:type="pct"/>
                  <w:tcBorders>
                    <w:tl2br w:val="nil"/>
                    <w:tr2bl w:val="nil"/>
                  </w:tcBorders>
                  <w:tcMar>
                    <w:top w:w="0" w:type="dxa"/>
                    <w:left w:w="0" w:type="dxa"/>
                    <w:bottom w:w="0" w:type="dxa"/>
                    <w:right w:w="0" w:type="dxa"/>
                  </w:tcMar>
                  <w:vAlign w:val="center"/>
                </w:tcPr>
                <w:p w14:paraId="4B0CC588">
                  <w:pPr>
                    <w:pStyle w:val="65"/>
                    <w:kinsoku w:val="0"/>
                    <w:overflowPunct w:val="0"/>
                    <w:snapToGrid w:val="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3</w:t>
                  </w:r>
                </w:p>
              </w:tc>
              <w:tc>
                <w:tcPr>
                  <w:tcW w:w="1845" w:type="pct"/>
                  <w:tcBorders>
                    <w:tl2br w:val="nil"/>
                    <w:tr2bl w:val="nil"/>
                  </w:tcBorders>
                  <w:tcMar>
                    <w:top w:w="0" w:type="dxa"/>
                    <w:left w:w="0" w:type="dxa"/>
                    <w:bottom w:w="0" w:type="dxa"/>
                    <w:right w:w="0" w:type="dxa"/>
                  </w:tcMar>
                  <w:vAlign w:val="center"/>
                </w:tcPr>
                <w:p w14:paraId="2E7B2064">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颗粒物</w:t>
                  </w:r>
                </w:p>
              </w:tc>
              <w:tc>
                <w:tcPr>
                  <w:tcW w:w="3490" w:type="dxa"/>
                  <w:tcBorders>
                    <w:tl2br w:val="nil"/>
                    <w:tr2bl w:val="nil"/>
                  </w:tcBorders>
                  <w:tcMar>
                    <w:top w:w="0" w:type="dxa"/>
                    <w:left w:w="0" w:type="dxa"/>
                    <w:bottom w:w="0" w:type="dxa"/>
                    <w:right w:w="0" w:type="dxa"/>
                  </w:tcMar>
                  <w:vAlign w:val="center"/>
                </w:tcPr>
                <w:p w14:paraId="5311E27E">
                  <w:pPr>
                    <w:keepNext w:val="0"/>
                    <w:keepLines w:val="0"/>
                    <w:widowControl/>
                    <w:suppressLineNumbers w:val="0"/>
                    <w:jc w:val="center"/>
                    <w:textAlignment w:val="center"/>
                    <w:rPr>
                      <w:rFonts w:hint="default" w:ascii="Times New Roman" w:hAnsi="Times New Roman" w:cs="Times New Roman"/>
                      <w:color w:val="auto"/>
                      <w:sz w:val="21"/>
                      <w:szCs w:val="21"/>
                      <w:lang w:val="en-US"/>
                    </w:rPr>
                  </w:pPr>
                  <w:r>
                    <w:rPr>
                      <w:rFonts w:hint="default" w:ascii="Times New Roman" w:hAnsi="Times New Roman" w:eastAsia="宋体" w:cs="Times New Roman"/>
                      <w:i w:val="0"/>
                      <w:iCs w:val="0"/>
                      <w:color w:val="auto"/>
                      <w:kern w:val="0"/>
                      <w:sz w:val="21"/>
                      <w:szCs w:val="21"/>
                      <w:u w:val="none"/>
                      <w:lang w:val="en-US" w:eastAsia="zh-CN" w:bidi="ar"/>
                    </w:rPr>
                    <w:t>2.54</w:t>
                  </w:r>
                  <w:r>
                    <w:rPr>
                      <w:rFonts w:hint="default" w:ascii="Times New Roman" w:hAnsi="Times New Roman" w:cs="Times New Roman"/>
                      <w:i w:val="0"/>
                      <w:iCs w:val="0"/>
                      <w:color w:val="auto"/>
                      <w:kern w:val="0"/>
                      <w:sz w:val="21"/>
                      <w:szCs w:val="21"/>
                      <w:u w:val="none"/>
                      <w:lang w:val="en-US" w:eastAsia="zh-CN" w:bidi="ar"/>
                    </w:rPr>
                    <w:t>6</w:t>
                  </w:r>
                </w:p>
              </w:tc>
            </w:tr>
            <w:tr w14:paraId="110ED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132" w:type="pct"/>
                  <w:tcBorders>
                    <w:tl2br w:val="nil"/>
                    <w:tr2bl w:val="nil"/>
                  </w:tcBorders>
                  <w:tcMar>
                    <w:top w:w="0" w:type="dxa"/>
                    <w:left w:w="0" w:type="dxa"/>
                    <w:bottom w:w="0" w:type="dxa"/>
                    <w:right w:w="0" w:type="dxa"/>
                  </w:tcMar>
                  <w:vAlign w:val="center"/>
                </w:tcPr>
                <w:p w14:paraId="5FDCB083">
                  <w:pPr>
                    <w:pStyle w:val="65"/>
                    <w:kinsoku w:val="0"/>
                    <w:overflowPunct w:val="0"/>
                    <w:snapToGrid w:val="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4</w:t>
                  </w:r>
                </w:p>
              </w:tc>
              <w:tc>
                <w:tcPr>
                  <w:tcW w:w="1845" w:type="pct"/>
                  <w:tcBorders>
                    <w:tl2br w:val="nil"/>
                    <w:tr2bl w:val="nil"/>
                  </w:tcBorders>
                  <w:tcMar>
                    <w:top w:w="0" w:type="dxa"/>
                    <w:left w:w="0" w:type="dxa"/>
                    <w:bottom w:w="0" w:type="dxa"/>
                    <w:right w:w="0" w:type="dxa"/>
                  </w:tcMar>
                  <w:vAlign w:val="center"/>
                </w:tcPr>
                <w:p w14:paraId="2B17FE24">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HCl</w:t>
                  </w:r>
                </w:p>
              </w:tc>
              <w:tc>
                <w:tcPr>
                  <w:tcW w:w="3490" w:type="dxa"/>
                  <w:tcBorders>
                    <w:tl2br w:val="nil"/>
                    <w:tr2bl w:val="nil"/>
                  </w:tcBorders>
                  <w:tcMar>
                    <w:top w:w="0" w:type="dxa"/>
                    <w:left w:w="0" w:type="dxa"/>
                    <w:bottom w:w="0" w:type="dxa"/>
                    <w:right w:w="0" w:type="dxa"/>
                  </w:tcMar>
                  <w:vAlign w:val="center"/>
                </w:tcPr>
                <w:p w14:paraId="1BB39AD8">
                  <w:pPr>
                    <w:keepNext w:val="0"/>
                    <w:keepLines w:val="0"/>
                    <w:widowControl/>
                    <w:suppressLineNumbers w:val="0"/>
                    <w:jc w:val="center"/>
                    <w:textAlignment w:val="center"/>
                    <w:rPr>
                      <w:rFonts w:hint="default" w:ascii="Times New Roman" w:hAnsi="Times New Roman" w:cs="Times New Roman"/>
                      <w:color w:val="auto"/>
                      <w:sz w:val="21"/>
                      <w:szCs w:val="21"/>
                      <w:lang w:val="en-US"/>
                    </w:rPr>
                  </w:pPr>
                  <w:r>
                    <w:rPr>
                      <w:rFonts w:hint="default" w:ascii="Times New Roman" w:hAnsi="Times New Roman" w:eastAsia="宋体" w:cs="Times New Roman"/>
                      <w:i w:val="0"/>
                      <w:iCs w:val="0"/>
                      <w:color w:val="auto"/>
                      <w:kern w:val="0"/>
                      <w:sz w:val="21"/>
                      <w:szCs w:val="21"/>
                      <w:u w:val="none"/>
                      <w:lang w:val="en-US" w:eastAsia="zh-CN" w:bidi="ar"/>
                    </w:rPr>
                    <w:t>6.46</w:t>
                  </w:r>
                  <w:r>
                    <w:rPr>
                      <w:rFonts w:hint="default" w:ascii="Times New Roman" w:hAnsi="Times New Roman" w:cs="Times New Roman"/>
                      <w:i w:val="0"/>
                      <w:iCs w:val="0"/>
                      <w:color w:val="auto"/>
                      <w:kern w:val="0"/>
                      <w:sz w:val="21"/>
                      <w:szCs w:val="21"/>
                      <w:u w:val="none"/>
                      <w:lang w:val="en-US" w:eastAsia="zh-CN" w:bidi="ar"/>
                    </w:rPr>
                    <w:t>8</w:t>
                  </w:r>
                </w:p>
              </w:tc>
            </w:tr>
          </w:tbl>
          <w:p w14:paraId="606573B3">
            <w:pPr>
              <w:pStyle w:val="6"/>
              <w:keepNext/>
              <w:keepLines/>
              <w:pageBreakBefore w:val="0"/>
              <w:widowControl w:val="0"/>
              <w:kinsoku/>
              <w:wordWrap/>
              <w:overflowPunct/>
              <w:topLinePunct w:val="0"/>
              <w:autoSpaceDE/>
              <w:autoSpaceDN/>
              <w:bidi w:val="0"/>
              <w:adjustRightInd w:val="0"/>
              <w:snapToGrid w:val="0"/>
              <w:spacing w:before="115" w:beforeLines="30" w:after="189" w:afterLines="50" w:line="240" w:lineRule="auto"/>
              <w:textAlignment w:val="auto"/>
              <w:rPr>
                <w:rFonts w:hint="default" w:ascii="Times New Roman" w:hAnsi="Times New Roman" w:cs="Times New Roman"/>
                <w:color w:val="auto"/>
              </w:rPr>
            </w:pPr>
            <w:r>
              <w:rPr>
                <w:rFonts w:hint="default" w:ascii="Times New Roman" w:hAnsi="Times New Roman" w:cs="Times New Roman"/>
                <w:color w:val="auto"/>
              </w:rPr>
              <w:t>4.2.1.</w:t>
            </w:r>
            <w:r>
              <w:rPr>
                <w:rFonts w:hint="default" w:ascii="Times New Roman" w:hAnsi="Times New Roman" w:cs="Times New Roman"/>
                <w:color w:val="auto"/>
                <w:lang w:val="en-US" w:eastAsia="zh-CN"/>
              </w:rPr>
              <w:t>6</w:t>
            </w:r>
            <w:r>
              <w:rPr>
                <w:rFonts w:hint="default" w:ascii="Times New Roman" w:hAnsi="Times New Roman" w:cs="Times New Roman"/>
                <w:color w:val="auto"/>
              </w:rPr>
              <w:t>废气监测计划</w:t>
            </w:r>
            <w:bookmarkEnd w:id="215"/>
            <w:bookmarkEnd w:id="216"/>
            <w:bookmarkEnd w:id="217"/>
            <w:bookmarkEnd w:id="218"/>
            <w:bookmarkEnd w:id="219"/>
          </w:p>
          <w:p w14:paraId="369B3230">
            <w:pPr>
              <w:pStyle w:val="1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w:t>
            </w:r>
            <w:bookmarkStart w:id="223" w:name="OLE_LINK12"/>
            <w:r>
              <w:rPr>
                <w:rFonts w:hint="default" w:ascii="Times New Roman" w:hAnsi="Times New Roman" w:cs="Times New Roman"/>
                <w:color w:val="auto"/>
                <w:sz w:val="24"/>
              </w:rPr>
              <w:t>排污许可证申请与核发技术规范</w:t>
            </w:r>
            <w:bookmarkEnd w:id="223"/>
            <w:r>
              <w:rPr>
                <w:rFonts w:hint="default" w:ascii="Times New Roman" w:hAnsi="Times New Roman" w:cs="Times New Roman"/>
                <w:color w:val="auto"/>
                <w:sz w:val="24"/>
              </w:rPr>
              <w:t xml:space="preserve"> 总则》（HJ819-2017），项目废气监测计划见下表。</w:t>
            </w:r>
          </w:p>
          <w:p w14:paraId="0EF8C459">
            <w:pPr>
              <w:pStyle w:val="122"/>
              <w:snapToGrid w:val="0"/>
              <w:spacing w:before="113" w:beforeLines="30" w:after="113" w:afterLines="30"/>
              <w:rPr>
                <w:rFonts w:hint="default" w:ascii="Times New Roman" w:hAnsi="Times New Roman" w:cs="Times New Roman"/>
                <w:b w:val="0"/>
                <w:bCs/>
                <w:color w:val="auto"/>
              </w:rPr>
            </w:pPr>
            <w:r>
              <w:rPr>
                <w:rFonts w:hint="default" w:ascii="Times New Roman" w:hAnsi="Times New Roman" w:cs="Times New Roman"/>
                <w:b w:val="0"/>
                <w:bCs/>
                <w:color w:val="auto"/>
              </w:rPr>
              <w:t>表4.2-10  本项目废气监测计划一览表</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20"/>
              <w:gridCol w:w="2460"/>
              <w:gridCol w:w="1752"/>
            </w:tblGrid>
            <w:tr w14:paraId="135E3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2559" w:type="pct"/>
                  <w:tcBorders>
                    <w:tl2br w:val="nil"/>
                    <w:tr2bl w:val="nil"/>
                  </w:tcBorders>
                  <w:vAlign w:val="center"/>
                </w:tcPr>
                <w:p w14:paraId="0B8202A4">
                  <w:pPr>
                    <w:pStyle w:val="86"/>
                    <w:keepNext w:val="0"/>
                    <w:keepLines w:val="0"/>
                    <w:pageBreakBefore w:val="0"/>
                    <w:kinsoku/>
                    <w:wordWrap/>
                    <w:overflowPunct/>
                    <w:topLinePunct w:val="0"/>
                    <w:autoSpaceDE/>
                    <w:autoSpaceDN/>
                    <w:bidi w:val="0"/>
                    <w:adjustRightInd/>
                    <w:snapToGrid w:val="0"/>
                    <w:textAlignment w:val="auto"/>
                    <w:rPr>
                      <w:rFonts w:hint="default" w:ascii="Times New Roman" w:hAnsi="Times New Roman" w:cs="Times New Roman"/>
                      <w:color w:val="auto"/>
                    </w:rPr>
                  </w:pPr>
                  <w:r>
                    <w:rPr>
                      <w:rFonts w:hint="default" w:ascii="Times New Roman" w:hAnsi="Times New Roman" w:cs="Times New Roman"/>
                      <w:color w:val="auto"/>
                    </w:rPr>
                    <w:t>监测点位</w:t>
                  </w:r>
                </w:p>
              </w:tc>
              <w:tc>
                <w:tcPr>
                  <w:tcW w:w="1425" w:type="pct"/>
                  <w:tcBorders>
                    <w:tl2br w:val="nil"/>
                    <w:tr2bl w:val="nil"/>
                  </w:tcBorders>
                  <w:vAlign w:val="center"/>
                </w:tcPr>
                <w:p w14:paraId="746ED465">
                  <w:pPr>
                    <w:pStyle w:val="86"/>
                    <w:keepNext w:val="0"/>
                    <w:keepLines w:val="0"/>
                    <w:pageBreakBefore w:val="0"/>
                    <w:kinsoku/>
                    <w:wordWrap/>
                    <w:overflowPunct/>
                    <w:topLinePunct w:val="0"/>
                    <w:autoSpaceDE/>
                    <w:autoSpaceDN/>
                    <w:bidi w:val="0"/>
                    <w:adjustRightInd/>
                    <w:snapToGrid w:val="0"/>
                    <w:textAlignment w:val="auto"/>
                    <w:rPr>
                      <w:rFonts w:hint="default" w:ascii="Times New Roman" w:hAnsi="Times New Roman" w:cs="Times New Roman"/>
                      <w:color w:val="auto"/>
                    </w:rPr>
                  </w:pPr>
                  <w:r>
                    <w:rPr>
                      <w:rFonts w:hint="default" w:ascii="Times New Roman" w:hAnsi="Times New Roman" w:cs="Times New Roman"/>
                      <w:color w:val="auto"/>
                    </w:rPr>
                    <w:t>监测指标</w:t>
                  </w:r>
                </w:p>
              </w:tc>
              <w:tc>
                <w:tcPr>
                  <w:tcW w:w="1015" w:type="pct"/>
                  <w:tcBorders>
                    <w:tl2br w:val="nil"/>
                    <w:tr2bl w:val="nil"/>
                  </w:tcBorders>
                  <w:vAlign w:val="center"/>
                </w:tcPr>
                <w:p w14:paraId="2D2E42C6">
                  <w:pPr>
                    <w:pStyle w:val="86"/>
                    <w:keepNext w:val="0"/>
                    <w:keepLines w:val="0"/>
                    <w:pageBreakBefore w:val="0"/>
                    <w:kinsoku/>
                    <w:wordWrap/>
                    <w:overflowPunct/>
                    <w:topLinePunct w:val="0"/>
                    <w:autoSpaceDE/>
                    <w:autoSpaceDN/>
                    <w:bidi w:val="0"/>
                    <w:adjustRightInd/>
                    <w:snapToGrid w:val="0"/>
                    <w:textAlignment w:val="auto"/>
                    <w:rPr>
                      <w:rFonts w:hint="default" w:ascii="Times New Roman" w:hAnsi="Times New Roman" w:cs="Times New Roman"/>
                      <w:color w:val="auto"/>
                    </w:rPr>
                  </w:pPr>
                  <w:r>
                    <w:rPr>
                      <w:rFonts w:hint="default" w:ascii="Times New Roman" w:hAnsi="Times New Roman" w:cs="Times New Roman"/>
                      <w:color w:val="auto"/>
                    </w:rPr>
                    <w:t>监测频次</w:t>
                  </w:r>
                </w:p>
              </w:tc>
            </w:tr>
            <w:tr w14:paraId="436B4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2559" w:type="pct"/>
                  <w:tcBorders>
                    <w:tl2br w:val="nil"/>
                    <w:tr2bl w:val="nil"/>
                  </w:tcBorders>
                  <w:vAlign w:val="center"/>
                </w:tcPr>
                <w:p w14:paraId="5D101EF4">
                  <w:pPr>
                    <w:keepNext w:val="0"/>
                    <w:keepLines w:val="0"/>
                    <w:pageBreakBefore w:val="0"/>
                    <w:widowControl/>
                    <w:kinsoku/>
                    <w:wordWrap/>
                    <w:overflowPunct/>
                    <w:topLinePunct w:val="0"/>
                    <w:autoSpaceDE/>
                    <w:autoSpaceDN/>
                    <w:bidi w:val="0"/>
                    <w:adjustRightInd/>
                    <w:snapToGrid w:val="0"/>
                    <w:textAlignment w:val="auto"/>
                    <w:rPr>
                      <w:rFonts w:hint="default" w:ascii="Times New Roman" w:hAnsi="Times New Roman" w:cs="Times New Roman"/>
                      <w:color w:val="auto"/>
                    </w:rPr>
                  </w:pPr>
                  <w:r>
                    <w:rPr>
                      <w:rFonts w:hint="default" w:ascii="Times New Roman" w:hAnsi="Times New Roman" w:cs="Times New Roman"/>
                      <w:color w:val="auto"/>
                    </w:rPr>
                    <w:t>1#生产车间剥壳除锈、打磨粉尘排气筒DA006</w:t>
                  </w:r>
                </w:p>
              </w:tc>
              <w:tc>
                <w:tcPr>
                  <w:tcW w:w="1425" w:type="pct"/>
                  <w:tcBorders>
                    <w:tl2br w:val="nil"/>
                    <w:tr2bl w:val="nil"/>
                  </w:tcBorders>
                  <w:vAlign w:val="center"/>
                </w:tcPr>
                <w:p w14:paraId="4371BED2">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颗粒物</w:t>
                  </w:r>
                </w:p>
              </w:tc>
              <w:tc>
                <w:tcPr>
                  <w:tcW w:w="1720" w:type="dxa"/>
                  <w:tcBorders>
                    <w:tl2br w:val="nil"/>
                    <w:tr2bl w:val="nil"/>
                  </w:tcBorders>
                  <w:vAlign w:val="center"/>
                </w:tcPr>
                <w:p w14:paraId="43A67AEF">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1次/年</w:t>
                  </w:r>
                </w:p>
              </w:tc>
            </w:tr>
            <w:tr w14:paraId="44B5D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2559" w:type="pct"/>
                  <w:tcBorders>
                    <w:tl2br w:val="nil"/>
                    <w:tr2bl w:val="nil"/>
                  </w:tcBorders>
                  <w:vAlign w:val="center"/>
                </w:tcPr>
                <w:p w14:paraId="023A5FEA">
                  <w:pPr>
                    <w:keepNext w:val="0"/>
                    <w:keepLines w:val="0"/>
                    <w:pageBreakBefore w:val="0"/>
                    <w:widowControl/>
                    <w:kinsoku/>
                    <w:wordWrap/>
                    <w:overflowPunct/>
                    <w:topLinePunct w:val="0"/>
                    <w:autoSpaceDE/>
                    <w:autoSpaceDN/>
                    <w:bidi w:val="0"/>
                    <w:adjustRightInd/>
                    <w:snapToGrid w:val="0"/>
                    <w:textAlignment w:val="auto"/>
                    <w:rPr>
                      <w:rFonts w:hint="default" w:ascii="Times New Roman" w:hAnsi="Times New Roman" w:cs="Times New Roman"/>
                      <w:color w:val="auto"/>
                    </w:rPr>
                  </w:pPr>
                  <w:r>
                    <w:rPr>
                      <w:rFonts w:hint="default" w:ascii="Times New Roman" w:hAnsi="Times New Roman" w:cs="Times New Roman"/>
                      <w:color w:val="auto"/>
                    </w:rPr>
                    <w:t>4#生产车间剥壳除锈、打磨粉尘排气筒DA007</w:t>
                  </w:r>
                </w:p>
              </w:tc>
              <w:tc>
                <w:tcPr>
                  <w:tcW w:w="1425" w:type="pct"/>
                  <w:tcBorders>
                    <w:tl2br w:val="nil"/>
                    <w:tr2bl w:val="nil"/>
                  </w:tcBorders>
                  <w:vAlign w:val="center"/>
                </w:tcPr>
                <w:p w14:paraId="4063BBEA">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颗粒物</w:t>
                  </w:r>
                </w:p>
              </w:tc>
              <w:tc>
                <w:tcPr>
                  <w:tcW w:w="1720" w:type="dxa"/>
                  <w:tcBorders>
                    <w:tl2br w:val="nil"/>
                    <w:tr2bl w:val="nil"/>
                  </w:tcBorders>
                  <w:vAlign w:val="center"/>
                </w:tcPr>
                <w:p w14:paraId="33FF4500">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1次/年</w:t>
                  </w:r>
                </w:p>
              </w:tc>
            </w:tr>
            <w:tr w14:paraId="16517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2559" w:type="pct"/>
                  <w:tcBorders>
                    <w:tl2br w:val="nil"/>
                    <w:tr2bl w:val="nil"/>
                  </w:tcBorders>
                  <w:vAlign w:val="center"/>
                </w:tcPr>
                <w:p w14:paraId="1BFE43A2">
                  <w:pPr>
                    <w:keepNext w:val="0"/>
                    <w:keepLines w:val="0"/>
                    <w:pageBreakBefore w:val="0"/>
                    <w:widowControl/>
                    <w:kinsoku/>
                    <w:wordWrap/>
                    <w:overflowPunct/>
                    <w:topLinePunct w:val="0"/>
                    <w:autoSpaceDE/>
                    <w:autoSpaceDN/>
                    <w:bidi w:val="0"/>
                    <w:adjustRightInd/>
                    <w:snapToGrid w:val="0"/>
                    <w:textAlignment w:val="auto"/>
                    <w:rPr>
                      <w:rFonts w:hint="default" w:ascii="Times New Roman" w:hAnsi="Times New Roman" w:cs="Times New Roman"/>
                      <w:color w:val="auto"/>
                    </w:rPr>
                  </w:pPr>
                  <w:r>
                    <w:rPr>
                      <w:rFonts w:hint="default" w:ascii="Times New Roman" w:hAnsi="Times New Roman" w:cs="Times New Roman"/>
                      <w:color w:val="auto"/>
                    </w:rPr>
                    <w:t>表面处理废气排气筒DA008</w:t>
                  </w:r>
                </w:p>
              </w:tc>
              <w:tc>
                <w:tcPr>
                  <w:tcW w:w="1425" w:type="pct"/>
                  <w:tcBorders>
                    <w:tl2br w:val="nil"/>
                    <w:tr2bl w:val="nil"/>
                  </w:tcBorders>
                  <w:vAlign w:val="center"/>
                </w:tcPr>
                <w:p w14:paraId="0460627D">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lang w:eastAsia="zh-CN"/>
                    </w:rPr>
                  </w:pPr>
                  <w:r>
                    <w:rPr>
                      <w:rFonts w:hint="default" w:ascii="Times New Roman" w:hAnsi="Times New Roman" w:cs="Times New Roman"/>
                      <w:color w:val="auto"/>
                      <w:kern w:val="0"/>
                      <w:szCs w:val="21"/>
                      <w:lang w:bidi="ar"/>
                    </w:rPr>
                    <w:t>HCl</w:t>
                  </w:r>
                </w:p>
              </w:tc>
              <w:tc>
                <w:tcPr>
                  <w:tcW w:w="1720" w:type="dxa"/>
                  <w:tcBorders>
                    <w:tl2br w:val="nil"/>
                    <w:tr2bl w:val="nil"/>
                  </w:tcBorders>
                  <w:vAlign w:val="center"/>
                </w:tcPr>
                <w:p w14:paraId="6F90F424">
                  <w:pPr>
                    <w:pStyle w:val="86"/>
                    <w:keepNext w:val="0"/>
                    <w:keepLines w:val="0"/>
                    <w:pageBreakBefore w:val="0"/>
                    <w:kinsoku/>
                    <w:wordWrap/>
                    <w:overflowPunct/>
                    <w:topLinePunct w:val="0"/>
                    <w:autoSpaceDE/>
                    <w:autoSpaceDN/>
                    <w:bidi w:val="0"/>
                    <w:adjustRightInd/>
                    <w:snapToGrid w:val="0"/>
                    <w:textAlignment w:val="auto"/>
                    <w:rPr>
                      <w:rFonts w:hint="default" w:ascii="Times New Roman" w:hAnsi="Times New Roman" w:cs="Times New Roman"/>
                      <w:color w:val="auto"/>
                    </w:rPr>
                  </w:pPr>
                  <w:r>
                    <w:rPr>
                      <w:rFonts w:hint="default" w:ascii="Times New Roman" w:hAnsi="Times New Roman" w:cs="Times New Roman"/>
                      <w:color w:val="auto"/>
                    </w:rPr>
                    <w:t>1次/半年</w:t>
                  </w:r>
                </w:p>
              </w:tc>
            </w:tr>
            <w:tr w14:paraId="2AB34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2559" w:type="pct"/>
                  <w:tcBorders>
                    <w:tl2br w:val="nil"/>
                    <w:tr2bl w:val="nil"/>
                  </w:tcBorders>
                  <w:vAlign w:val="center"/>
                </w:tcPr>
                <w:p w14:paraId="126B3FC5">
                  <w:pPr>
                    <w:keepNext w:val="0"/>
                    <w:keepLines w:val="0"/>
                    <w:pageBreakBefore w:val="0"/>
                    <w:widowControl/>
                    <w:kinsoku/>
                    <w:wordWrap/>
                    <w:overflowPunct/>
                    <w:topLinePunct w:val="0"/>
                    <w:autoSpaceDE/>
                    <w:autoSpaceDN/>
                    <w:bidi w:val="0"/>
                    <w:adjustRightInd/>
                    <w:snapToGrid w:val="0"/>
                    <w:textAlignment w:val="auto"/>
                    <w:rPr>
                      <w:rFonts w:hint="default" w:ascii="Times New Roman" w:hAnsi="Times New Roman" w:cs="Times New Roman"/>
                      <w:color w:val="auto"/>
                    </w:rPr>
                  </w:pPr>
                  <w:r>
                    <w:rPr>
                      <w:rFonts w:hint="default" w:ascii="Times New Roman" w:hAnsi="Times New Roman" w:cs="Times New Roman"/>
                      <w:color w:val="auto"/>
                    </w:rPr>
                    <w:t>燃天然气废气排气筒DA009</w:t>
                  </w:r>
                </w:p>
              </w:tc>
              <w:tc>
                <w:tcPr>
                  <w:tcW w:w="1425" w:type="pct"/>
                  <w:tcBorders>
                    <w:tl2br w:val="nil"/>
                    <w:tr2bl w:val="nil"/>
                  </w:tcBorders>
                  <w:vAlign w:val="center"/>
                </w:tcPr>
                <w:p w14:paraId="44E50E7E">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颗粒物、SO</w:t>
                  </w:r>
                  <w:r>
                    <w:rPr>
                      <w:rFonts w:hint="default" w:ascii="Times New Roman" w:hAnsi="Times New Roman" w:cs="Times New Roman"/>
                      <w:color w:val="auto"/>
                      <w:vertAlign w:val="subscript"/>
                    </w:rPr>
                    <w:t>2</w:t>
                  </w:r>
                  <w:r>
                    <w:rPr>
                      <w:rFonts w:hint="default" w:ascii="Times New Roman" w:hAnsi="Times New Roman" w:cs="Times New Roman"/>
                      <w:color w:val="auto"/>
                    </w:rPr>
                    <w:t>、NOx</w:t>
                  </w:r>
                </w:p>
              </w:tc>
              <w:tc>
                <w:tcPr>
                  <w:tcW w:w="1720" w:type="dxa"/>
                  <w:tcBorders>
                    <w:tl2br w:val="nil"/>
                    <w:tr2bl w:val="nil"/>
                  </w:tcBorders>
                  <w:vAlign w:val="center"/>
                </w:tcPr>
                <w:p w14:paraId="5B449BCA">
                  <w:pPr>
                    <w:pStyle w:val="86"/>
                    <w:keepNext w:val="0"/>
                    <w:keepLines w:val="0"/>
                    <w:pageBreakBefore w:val="0"/>
                    <w:kinsoku/>
                    <w:wordWrap/>
                    <w:overflowPunct/>
                    <w:topLinePunct w:val="0"/>
                    <w:autoSpaceDE/>
                    <w:autoSpaceDN/>
                    <w:bidi w:val="0"/>
                    <w:adjustRightInd/>
                    <w:snapToGrid w:val="0"/>
                    <w:textAlignment w:val="auto"/>
                    <w:rPr>
                      <w:rFonts w:hint="default" w:ascii="Times New Roman" w:hAnsi="Times New Roman" w:cs="Times New Roman"/>
                      <w:color w:val="auto"/>
                    </w:rPr>
                  </w:pPr>
                  <w:r>
                    <w:rPr>
                      <w:rFonts w:hint="default" w:ascii="Times New Roman" w:hAnsi="Times New Roman" w:cs="Times New Roman"/>
                      <w:color w:val="auto"/>
                    </w:rPr>
                    <w:t>1次/年</w:t>
                  </w:r>
                </w:p>
              </w:tc>
            </w:tr>
            <w:tr w14:paraId="56D32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2559" w:type="pct"/>
                  <w:tcBorders>
                    <w:tl2br w:val="nil"/>
                    <w:tr2bl w:val="nil"/>
                  </w:tcBorders>
                  <w:vAlign w:val="center"/>
                </w:tcPr>
                <w:p w14:paraId="3778C90A">
                  <w:pPr>
                    <w:pStyle w:val="86"/>
                    <w:keepNext w:val="0"/>
                    <w:keepLines w:val="0"/>
                    <w:pageBreakBefore w:val="0"/>
                    <w:kinsoku/>
                    <w:wordWrap/>
                    <w:overflowPunct/>
                    <w:topLinePunct w:val="0"/>
                    <w:autoSpaceDE/>
                    <w:autoSpaceDN/>
                    <w:bidi w:val="0"/>
                    <w:adjustRightInd/>
                    <w:snapToGrid w:val="0"/>
                    <w:textAlignment w:val="auto"/>
                    <w:rPr>
                      <w:rFonts w:hint="default" w:ascii="Times New Roman" w:hAnsi="Times New Roman" w:cs="Times New Roman"/>
                      <w:color w:val="auto"/>
                    </w:rPr>
                  </w:pPr>
                  <w:r>
                    <w:rPr>
                      <w:rFonts w:hint="default" w:ascii="Times New Roman" w:hAnsi="Times New Roman" w:cs="Times New Roman"/>
                      <w:color w:val="auto"/>
                      <w:lang w:val="de-DE"/>
                    </w:rPr>
                    <w:t>厂界</w:t>
                  </w:r>
                </w:p>
              </w:tc>
              <w:tc>
                <w:tcPr>
                  <w:tcW w:w="1425" w:type="pct"/>
                  <w:tcBorders>
                    <w:tl2br w:val="nil"/>
                    <w:tr2bl w:val="nil"/>
                  </w:tcBorders>
                  <w:vAlign w:val="center"/>
                </w:tcPr>
                <w:p w14:paraId="5934B4A3">
                  <w:pPr>
                    <w:pStyle w:val="86"/>
                    <w:keepNext w:val="0"/>
                    <w:keepLines w:val="0"/>
                    <w:pageBreakBefore w:val="0"/>
                    <w:kinsoku/>
                    <w:wordWrap/>
                    <w:overflowPunct/>
                    <w:topLinePunct w:val="0"/>
                    <w:autoSpaceDE/>
                    <w:autoSpaceDN/>
                    <w:bidi w:val="0"/>
                    <w:adjustRightInd/>
                    <w:snapToGrid w:val="0"/>
                    <w:textAlignment w:val="auto"/>
                    <w:rPr>
                      <w:rFonts w:hint="default" w:ascii="Times New Roman" w:hAnsi="Times New Roman" w:eastAsia="宋体" w:cs="Times New Roman"/>
                      <w:color w:val="auto"/>
                      <w:lang w:eastAsia="zh-CN"/>
                    </w:rPr>
                  </w:pPr>
                  <w:r>
                    <w:rPr>
                      <w:rFonts w:hint="default" w:ascii="Times New Roman" w:hAnsi="Times New Roman" w:cs="Times New Roman"/>
                      <w:color w:val="auto"/>
                      <w:lang w:val="de-DE"/>
                    </w:rPr>
                    <w:t>颗粒物、</w:t>
                  </w:r>
                  <w:r>
                    <w:rPr>
                      <w:rFonts w:hint="default" w:ascii="Times New Roman" w:hAnsi="Times New Roman" w:cs="Times New Roman"/>
                      <w:color w:val="auto"/>
                      <w:kern w:val="0"/>
                      <w:lang w:bidi="ar"/>
                    </w:rPr>
                    <w:t>HCl</w:t>
                  </w:r>
                </w:p>
              </w:tc>
              <w:tc>
                <w:tcPr>
                  <w:tcW w:w="1720" w:type="dxa"/>
                  <w:tcBorders>
                    <w:tl2br w:val="nil"/>
                    <w:tr2bl w:val="nil"/>
                  </w:tcBorders>
                  <w:vAlign w:val="center"/>
                </w:tcPr>
                <w:p w14:paraId="47773F74">
                  <w:pPr>
                    <w:pStyle w:val="86"/>
                    <w:keepNext w:val="0"/>
                    <w:keepLines w:val="0"/>
                    <w:pageBreakBefore w:val="0"/>
                    <w:kinsoku/>
                    <w:wordWrap/>
                    <w:overflowPunct/>
                    <w:topLinePunct w:val="0"/>
                    <w:autoSpaceDE/>
                    <w:autoSpaceDN/>
                    <w:bidi w:val="0"/>
                    <w:adjustRightInd/>
                    <w:snapToGrid w:val="0"/>
                    <w:textAlignment w:val="auto"/>
                    <w:rPr>
                      <w:rFonts w:hint="default" w:ascii="Times New Roman" w:hAnsi="Times New Roman" w:cs="Times New Roman"/>
                      <w:color w:val="auto"/>
                    </w:rPr>
                  </w:pPr>
                  <w:r>
                    <w:rPr>
                      <w:rFonts w:hint="default" w:ascii="Times New Roman" w:hAnsi="Times New Roman" w:cs="Times New Roman"/>
                      <w:color w:val="auto"/>
                    </w:rPr>
                    <w:t>1次/年</w:t>
                  </w:r>
                </w:p>
              </w:tc>
            </w:tr>
          </w:tbl>
          <w:p w14:paraId="5410699B">
            <w:pPr>
              <w:pStyle w:val="122"/>
              <w:snapToGrid w:val="0"/>
              <w:spacing w:before="113" w:beforeLines="30" w:after="113" w:afterLines="30"/>
              <w:rPr>
                <w:rFonts w:hint="default" w:ascii="Times New Roman" w:hAnsi="Times New Roman" w:cs="Times New Roman"/>
                <w:b w:val="0"/>
                <w:bCs/>
                <w:color w:val="auto"/>
              </w:rPr>
            </w:pPr>
            <w:r>
              <w:rPr>
                <w:rFonts w:hint="default" w:ascii="Times New Roman" w:hAnsi="Times New Roman" w:cs="Times New Roman"/>
                <w:b w:val="0"/>
                <w:bCs/>
                <w:color w:val="auto"/>
              </w:rPr>
              <w:t>表4.2-11  全厂废气监测计划一览表</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20"/>
              <w:gridCol w:w="2460"/>
              <w:gridCol w:w="1752"/>
            </w:tblGrid>
            <w:tr w14:paraId="50BD6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2559" w:type="pct"/>
                  <w:tcBorders>
                    <w:tl2br w:val="nil"/>
                    <w:tr2bl w:val="nil"/>
                  </w:tcBorders>
                  <w:vAlign w:val="center"/>
                </w:tcPr>
                <w:p w14:paraId="22FD4E11">
                  <w:pPr>
                    <w:pStyle w:val="86"/>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2"/>
                      <w:sz w:val="21"/>
                      <w:szCs w:val="24"/>
                      <w:lang w:val="en-US" w:eastAsia="zh-CN" w:bidi="ar-SA"/>
                    </w:rPr>
                    <w:t>监测点位</w:t>
                  </w:r>
                </w:p>
              </w:tc>
              <w:tc>
                <w:tcPr>
                  <w:tcW w:w="1425" w:type="pct"/>
                  <w:tcBorders>
                    <w:tl2br w:val="nil"/>
                    <w:tr2bl w:val="nil"/>
                  </w:tcBorders>
                  <w:vAlign w:val="center"/>
                </w:tcPr>
                <w:p w14:paraId="7C949CF1">
                  <w:pPr>
                    <w:pStyle w:val="86"/>
                    <w:keepNext w:val="0"/>
                    <w:keepLines w:val="0"/>
                    <w:pageBreakBefore w:val="0"/>
                    <w:kinsoku/>
                    <w:wordWrap/>
                    <w:overflowPunct/>
                    <w:topLinePunct w:val="0"/>
                    <w:autoSpaceDE/>
                    <w:autoSpaceDN/>
                    <w:bidi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监测指标</w:t>
                  </w:r>
                </w:p>
              </w:tc>
              <w:tc>
                <w:tcPr>
                  <w:tcW w:w="1015" w:type="pct"/>
                  <w:tcBorders>
                    <w:tl2br w:val="nil"/>
                    <w:tr2bl w:val="nil"/>
                  </w:tcBorders>
                  <w:vAlign w:val="center"/>
                </w:tcPr>
                <w:p w14:paraId="56FA5A2B">
                  <w:pPr>
                    <w:pStyle w:val="86"/>
                    <w:keepNext w:val="0"/>
                    <w:keepLines w:val="0"/>
                    <w:pageBreakBefore w:val="0"/>
                    <w:kinsoku/>
                    <w:wordWrap/>
                    <w:overflowPunct/>
                    <w:topLinePunct w:val="0"/>
                    <w:autoSpaceDE/>
                    <w:autoSpaceDN/>
                    <w:bidi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监测频次</w:t>
                  </w:r>
                </w:p>
              </w:tc>
            </w:tr>
            <w:tr w14:paraId="76902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2559" w:type="pct"/>
                  <w:tcBorders>
                    <w:tl2br w:val="nil"/>
                    <w:tr2bl w:val="nil"/>
                  </w:tcBorders>
                  <w:vAlign w:val="center"/>
                </w:tcPr>
                <w:p w14:paraId="1ECE4AD8">
                  <w:pPr>
                    <w:keepNext w:val="0"/>
                    <w:keepLines w:val="0"/>
                    <w:pageBreakBefore w:val="0"/>
                    <w:widowControl/>
                    <w:kinsoku/>
                    <w:wordWrap/>
                    <w:overflowPunct/>
                    <w:topLinePunct w:val="0"/>
                    <w:autoSpaceDE/>
                    <w:autoSpaceDN/>
                    <w:bidi w:val="0"/>
                    <w:snapToGrid w:val="0"/>
                    <w:jc w:val="both"/>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2"/>
                      <w:sz w:val="21"/>
                      <w:szCs w:val="24"/>
                      <w:lang w:val="en-US" w:eastAsia="zh-CN" w:bidi="ar-SA"/>
                    </w:rPr>
                    <w:t>1-2#线感应加热废气排放口DA001</w:t>
                  </w:r>
                </w:p>
              </w:tc>
              <w:tc>
                <w:tcPr>
                  <w:tcW w:w="1425" w:type="pct"/>
                  <w:tcBorders>
                    <w:tl2br w:val="nil"/>
                    <w:tr2bl w:val="nil"/>
                  </w:tcBorders>
                  <w:vAlign w:val="center"/>
                </w:tcPr>
                <w:p w14:paraId="0D0966B5">
                  <w:pPr>
                    <w:keepNext w:val="0"/>
                    <w:keepLines w:val="0"/>
                    <w:pageBreakBefore w:val="0"/>
                    <w:kinsoku/>
                    <w:wordWrap/>
                    <w:overflowPunct/>
                    <w:topLinePunct w:val="0"/>
                    <w:autoSpaceDE/>
                    <w:autoSpaceDN/>
                    <w:bidi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颗粒物</w:t>
                  </w:r>
                </w:p>
              </w:tc>
              <w:tc>
                <w:tcPr>
                  <w:tcW w:w="1015" w:type="pct"/>
                  <w:tcBorders>
                    <w:tl2br w:val="nil"/>
                    <w:tr2bl w:val="nil"/>
                  </w:tcBorders>
                  <w:vAlign w:val="center"/>
                </w:tcPr>
                <w:p w14:paraId="4FD6F546">
                  <w:pPr>
                    <w:keepNext w:val="0"/>
                    <w:keepLines w:val="0"/>
                    <w:pageBreakBefore w:val="0"/>
                    <w:kinsoku/>
                    <w:wordWrap/>
                    <w:overflowPunct/>
                    <w:topLinePunct w:val="0"/>
                    <w:autoSpaceDE/>
                    <w:autoSpaceDN/>
                    <w:bidi w:val="0"/>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rPr>
                    <w:t>1次/年</w:t>
                  </w:r>
                </w:p>
              </w:tc>
            </w:tr>
            <w:tr w14:paraId="1341C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2559" w:type="pct"/>
                  <w:tcBorders>
                    <w:tl2br w:val="nil"/>
                    <w:tr2bl w:val="nil"/>
                  </w:tcBorders>
                  <w:vAlign w:val="center"/>
                </w:tcPr>
                <w:p w14:paraId="7BECF66B">
                  <w:pPr>
                    <w:keepNext w:val="0"/>
                    <w:keepLines w:val="0"/>
                    <w:pageBreakBefore w:val="0"/>
                    <w:widowControl/>
                    <w:kinsoku/>
                    <w:wordWrap/>
                    <w:overflowPunct/>
                    <w:topLinePunct w:val="0"/>
                    <w:autoSpaceDE/>
                    <w:autoSpaceDN/>
                    <w:bidi w:val="0"/>
                    <w:snapToGrid w:val="0"/>
                    <w:jc w:val="both"/>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2"/>
                      <w:sz w:val="21"/>
                      <w:szCs w:val="24"/>
                      <w:lang w:val="en-US" w:eastAsia="zh-CN" w:bidi="ar-SA"/>
                    </w:rPr>
                    <w:t>3-4#线感应加热废气排放口</w:t>
                  </w:r>
                  <w:r>
                    <w:rPr>
                      <w:rFonts w:hint="eastAsia" w:cs="Times New Roman"/>
                      <w:color w:val="auto"/>
                      <w:kern w:val="2"/>
                      <w:sz w:val="21"/>
                      <w:szCs w:val="24"/>
                      <w:lang w:val="en-US" w:eastAsia="zh-CN" w:bidi="ar-SA"/>
                    </w:rPr>
                    <w:t xml:space="preserve">  </w:t>
                  </w:r>
                  <w:r>
                    <w:rPr>
                      <w:rFonts w:hint="default" w:ascii="Times New Roman" w:hAnsi="Times New Roman" w:eastAsia="宋体" w:cs="Times New Roman"/>
                      <w:color w:val="auto"/>
                      <w:kern w:val="2"/>
                      <w:sz w:val="21"/>
                      <w:szCs w:val="24"/>
                      <w:lang w:val="en-US" w:eastAsia="zh-CN" w:bidi="ar-SA"/>
                    </w:rPr>
                    <w:t>DA002</w:t>
                  </w:r>
                </w:p>
              </w:tc>
              <w:tc>
                <w:tcPr>
                  <w:tcW w:w="1425" w:type="pct"/>
                  <w:tcBorders>
                    <w:tl2br w:val="nil"/>
                    <w:tr2bl w:val="nil"/>
                  </w:tcBorders>
                  <w:vAlign w:val="center"/>
                </w:tcPr>
                <w:p w14:paraId="7EF254EF">
                  <w:pPr>
                    <w:keepNext w:val="0"/>
                    <w:keepLines w:val="0"/>
                    <w:pageBreakBefore w:val="0"/>
                    <w:kinsoku/>
                    <w:wordWrap/>
                    <w:overflowPunct/>
                    <w:topLinePunct w:val="0"/>
                    <w:autoSpaceDE/>
                    <w:autoSpaceDN/>
                    <w:bidi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颗粒物</w:t>
                  </w:r>
                </w:p>
              </w:tc>
              <w:tc>
                <w:tcPr>
                  <w:tcW w:w="1015" w:type="pct"/>
                  <w:tcBorders>
                    <w:tl2br w:val="nil"/>
                    <w:tr2bl w:val="nil"/>
                  </w:tcBorders>
                  <w:vAlign w:val="center"/>
                </w:tcPr>
                <w:p w14:paraId="0215D8B0">
                  <w:pPr>
                    <w:keepNext w:val="0"/>
                    <w:keepLines w:val="0"/>
                    <w:pageBreakBefore w:val="0"/>
                    <w:kinsoku/>
                    <w:wordWrap/>
                    <w:overflowPunct/>
                    <w:topLinePunct w:val="0"/>
                    <w:autoSpaceDE/>
                    <w:autoSpaceDN/>
                    <w:bidi w:val="0"/>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rPr>
                    <w:t>1次/年</w:t>
                  </w:r>
                </w:p>
              </w:tc>
            </w:tr>
            <w:tr w14:paraId="4D597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2559" w:type="pct"/>
                  <w:tcBorders>
                    <w:tl2br w:val="nil"/>
                    <w:tr2bl w:val="nil"/>
                  </w:tcBorders>
                  <w:vAlign w:val="center"/>
                </w:tcPr>
                <w:p w14:paraId="6CB6AA96">
                  <w:pPr>
                    <w:keepNext w:val="0"/>
                    <w:keepLines w:val="0"/>
                    <w:pageBreakBefore w:val="0"/>
                    <w:widowControl/>
                    <w:kinsoku/>
                    <w:wordWrap/>
                    <w:overflowPunct/>
                    <w:topLinePunct w:val="0"/>
                    <w:autoSpaceDE/>
                    <w:autoSpaceDN/>
                    <w:bidi w:val="0"/>
                    <w:snapToGrid w:val="0"/>
                    <w:jc w:val="both"/>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2"/>
                      <w:sz w:val="21"/>
                      <w:szCs w:val="24"/>
                      <w:lang w:val="en-US" w:eastAsia="zh-CN" w:bidi="ar-SA"/>
                    </w:rPr>
                    <w:t>5-8#线感应加热废气排放口</w:t>
                  </w:r>
                  <w:r>
                    <w:rPr>
                      <w:rFonts w:hint="eastAsia" w:cs="Times New Roman"/>
                      <w:color w:val="auto"/>
                      <w:kern w:val="2"/>
                      <w:sz w:val="21"/>
                      <w:szCs w:val="24"/>
                      <w:lang w:val="en-US" w:eastAsia="zh-CN" w:bidi="ar-SA"/>
                    </w:rPr>
                    <w:t xml:space="preserve">  </w:t>
                  </w:r>
                  <w:r>
                    <w:rPr>
                      <w:rFonts w:hint="default" w:ascii="Times New Roman" w:hAnsi="Times New Roman" w:eastAsia="宋体" w:cs="Times New Roman"/>
                      <w:color w:val="auto"/>
                      <w:kern w:val="2"/>
                      <w:sz w:val="21"/>
                      <w:szCs w:val="24"/>
                      <w:lang w:val="en-US" w:eastAsia="zh-CN" w:bidi="ar-SA"/>
                    </w:rPr>
                    <w:t>DA003</w:t>
                  </w:r>
                </w:p>
              </w:tc>
              <w:tc>
                <w:tcPr>
                  <w:tcW w:w="1425" w:type="pct"/>
                  <w:tcBorders>
                    <w:tl2br w:val="nil"/>
                    <w:tr2bl w:val="nil"/>
                  </w:tcBorders>
                  <w:vAlign w:val="center"/>
                </w:tcPr>
                <w:p w14:paraId="35F4FCCA">
                  <w:pPr>
                    <w:pStyle w:val="65"/>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lang w:eastAsia="zh-CN"/>
                    </w:rPr>
                  </w:pPr>
                  <w:r>
                    <w:rPr>
                      <w:rFonts w:hint="default" w:ascii="Times New Roman" w:hAnsi="Times New Roman" w:cs="Times New Roman"/>
                      <w:color w:val="auto"/>
                    </w:rPr>
                    <w:t>颗粒物</w:t>
                  </w:r>
                </w:p>
              </w:tc>
              <w:tc>
                <w:tcPr>
                  <w:tcW w:w="1015" w:type="pct"/>
                  <w:tcBorders>
                    <w:tl2br w:val="nil"/>
                    <w:tr2bl w:val="nil"/>
                  </w:tcBorders>
                  <w:vAlign w:val="center"/>
                </w:tcPr>
                <w:p w14:paraId="29550852">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lang w:eastAsia="en-US"/>
                    </w:rPr>
                  </w:pPr>
                  <w:r>
                    <w:rPr>
                      <w:rFonts w:hint="default" w:ascii="Times New Roman" w:hAnsi="Times New Roman" w:cs="Times New Roman"/>
                      <w:color w:val="auto"/>
                    </w:rPr>
                    <w:t>1次/年</w:t>
                  </w:r>
                </w:p>
              </w:tc>
            </w:tr>
            <w:tr w14:paraId="3DE28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2559" w:type="pct"/>
                  <w:tcBorders>
                    <w:tl2br w:val="nil"/>
                    <w:tr2bl w:val="nil"/>
                  </w:tcBorders>
                  <w:vAlign w:val="center"/>
                </w:tcPr>
                <w:p w14:paraId="1C50F6C9">
                  <w:pPr>
                    <w:keepNext w:val="0"/>
                    <w:keepLines w:val="0"/>
                    <w:pageBreakBefore w:val="0"/>
                    <w:widowControl/>
                    <w:kinsoku/>
                    <w:wordWrap/>
                    <w:overflowPunct/>
                    <w:topLinePunct w:val="0"/>
                    <w:autoSpaceDE/>
                    <w:autoSpaceDN/>
                    <w:bidi w:val="0"/>
                    <w:snapToGrid w:val="0"/>
                    <w:jc w:val="both"/>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2"/>
                      <w:sz w:val="21"/>
                      <w:szCs w:val="24"/>
                      <w:lang w:val="en-US" w:eastAsia="zh-CN" w:bidi="ar-SA"/>
                    </w:rPr>
                    <w:t>9-12#线感应加热废气排放口DA004</w:t>
                  </w:r>
                </w:p>
              </w:tc>
              <w:tc>
                <w:tcPr>
                  <w:tcW w:w="1425" w:type="pct"/>
                  <w:tcBorders>
                    <w:tl2br w:val="nil"/>
                    <w:tr2bl w:val="nil"/>
                  </w:tcBorders>
                  <w:vAlign w:val="center"/>
                </w:tcPr>
                <w:p w14:paraId="5FF59341">
                  <w:pPr>
                    <w:pStyle w:val="86"/>
                    <w:keepNext w:val="0"/>
                    <w:keepLines w:val="0"/>
                    <w:pageBreakBefore w:val="0"/>
                    <w:kinsoku/>
                    <w:wordWrap/>
                    <w:overflowPunct/>
                    <w:topLinePunct w:val="0"/>
                    <w:autoSpaceDE/>
                    <w:autoSpaceDN/>
                    <w:bidi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lang w:val="de-DE"/>
                    </w:rPr>
                    <w:t>颗粒物</w:t>
                  </w:r>
                </w:p>
              </w:tc>
              <w:tc>
                <w:tcPr>
                  <w:tcW w:w="1015" w:type="pct"/>
                  <w:tcBorders>
                    <w:tl2br w:val="nil"/>
                    <w:tr2bl w:val="nil"/>
                  </w:tcBorders>
                  <w:vAlign w:val="center"/>
                </w:tcPr>
                <w:p w14:paraId="02648727">
                  <w:pPr>
                    <w:pStyle w:val="86"/>
                    <w:keepNext w:val="0"/>
                    <w:keepLines w:val="0"/>
                    <w:pageBreakBefore w:val="0"/>
                    <w:kinsoku/>
                    <w:wordWrap/>
                    <w:overflowPunct/>
                    <w:topLinePunct w:val="0"/>
                    <w:autoSpaceDE/>
                    <w:autoSpaceDN/>
                    <w:bidi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1次/年</w:t>
                  </w:r>
                </w:p>
              </w:tc>
            </w:tr>
            <w:tr w14:paraId="4483D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2559" w:type="pct"/>
                  <w:tcBorders>
                    <w:tl2br w:val="nil"/>
                    <w:tr2bl w:val="nil"/>
                  </w:tcBorders>
                  <w:vAlign w:val="center"/>
                </w:tcPr>
                <w:p w14:paraId="372ECF93">
                  <w:pPr>
                    <w:keepNext w:val="0"/>
                    <w:keepLines w:val="0"/>
                    <w:pageBreakBefore w:val="0"/>
                    <w:widowControl/>
                    <w:kinsoku/>
                    <w:wordWrap/>
                    <w:overflowPunct/>
                    <w:topLinePunct w:val="0"/>
                    <w:autoSpaceDE/>
                    <w:autoSpaceDN/>
                    <w:bidi w:val="0"/>
                    <w:snapToGrid w:val="0"/>
                    <w:jc w:val="both"/>
                    <w:textAlignment w:val="auto"/>
                    <w:rPr>
                      <w:rFonts w:hint="default" w:ascii="Times New Roman" w:hAnsi="Times New Roman" w:eastAsia="宋体" w:cs="Times New Roman"/>
                      <w:color w:val="auto"/>
                      <w:kern w:val="2"/>
                      <w:sz w:val="21"/>
                      <w:szCs w:val="24"/>
                      <w:lang w:val="de-DE" w:eastAsia="zh-CN" w:bidi="ar-SA"/>
                    </w:rPr>
                  </w:pPr>
                  <w:r>
                    <w:rPr>
                      <w:rFonts w:hint="default" w:ascii="Times New Roman" w:hAnsi="Times New Roman" w:eastAsia="宋体" w:cs="Times New Roman"/>
                      <w:color w:val="auto"/>
                      <w:kern w:val="2"/>
                      <w:sz w:val="21"/>
                      <w:szCs w:val="24"/>
                      <w:lang w:val="en-US" w:eastAsia="zh-CN" w:bidi="ar-SA"/>
                    </w:rPr>
                    <w:t>13-16#线感应加热废气排放口DA005</w:t>
                  </w:r>
                </w:p>
              </w:tc>
              <w:tc>
                <w:tcPr>
                  <w:tcW w:w="1425" w:type="pct"/>
                  <w:tcBorders>
                    <w:tl2br w:val="nil"/>
                    <w:tr2bl w:val="nil"/>
                  </w:tcBorders>
                  <w:vAlign w:val="center"/>
                </w:tcPr>
                <w:p w14:paraId="61D9291C">
                  <w:pPr>
                    <w:pStyle w:val="86"/>
                    <w:keepNext w:val="0"/>
                    <w:keepLines w:val="0"/>
                    <w:pageBreakBefore w:val="0"/>
                    <w:kinsoku/>
                    <w:wordWrap/>
                    <w:overflowPunct/>
                    <w:topLinePunct w:val="0"/>
                    <w:autoSpaceDE/>
                    <w:autoSpaceDN/>
                    <w:bidi w:val="0"/>
                    <w:snapToGrid w:val="0"/>
                    <w:jc w:val="center"/>
                    <w:textAlignment w:val="auto"/>
                    <w:rPr>
                      <w:rFonts w:hint="default" w:ascii="Times New Roman" w:hAnsi="Times New Roman" w:cs="Times New Roman"/>
                      <w:color w:val="auto"/>
                      <w:lang w:val="de-DE"/>
                    </w:rPr>
                  </w:pPr>
                  <w:r>
                    <w:rPr>
                      <w:rFonts w:hint="default" w:ascii="Times New Roman" w:hAnsi="Times New Roman" w:cs="Times New Roman"/>
                      <w:color w:val="auto"/>
                      <w:lang w:val="de-DE"/>
                    </w:rPr>
                    <w:t>颗粒物</w:t>
                  </w:r>
                </w:p>
              </w:tc>
              <w:tc>
                <w:tcPr>
                  <w:tcW w:w="1015" w:type="pct"/>
                  <w:tcBorders>
                    <w:tl2br w:val="nil"/>
                    <w:tr2bl w:val="nil"/>
                  </w:tcBorders>
                  <w:vAlign w:val="center"/>
                </w:tcPr>
                <w:p w14:paraId="53DE593A">
                  <w:pPr>
                    <w:pStyle w:val="86"/>
                    <w:keepNext w:val="0"/>
                    <w:keepLines w:val="0"/>
                    <w:pageBreakBefore w:val="0"/>
                    <w:kinsoku/>
                    <w:wordWrap/>
                    <w:overflowPunct/>
                    <w:topLinePunct w:val="0"/>
                    <w:autoSpaceDE/>
                    <w:autoSpaceDN/>
                    <w:bidi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1次/年</w:t>
                  </w:r>
                </w:p>
              </w:tc>
            </w:tr>
            <w:tr w14:paraId="02055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2559" w:type="pct"/>
                  <w:tcBorders>
                    <w:tl2br w:val="nil"/>
                    <w:tr2bl w:val="nil"/>
                  </w:tcBorders>
                  <w:vAlign w:val="center"/>
                </w:tcPr>
                <w:p w14:paraId="6B898566">
                  <w:pPr>
                    <w:keepNext w:val="0"/>
                    <w:keepLines w:val="0"/>
                    <w:pageBreakBefore w:val="0"/>
                    <w:widowControl/>
                    <w:kinsoku/>
                    <w:wordWrap/>
                    <w:overflowPunct/>
                    <w:topLinePunct w:val="0"/>
                    <w:autoSpaceDE/>
                    <w:autoSpaceDN/>
                    <w:bidi w:val="0"/>
                    <w:snapToGrid w:val="0"/>
                    <w:jc w:val="both"/>
                    <w:textAlignment w:val="auto"/>
                    <w:rPr>
                      <w:rFonts w:hint="default" w:ascii="Times New Roman" w:hAnsi="Times New Roman" w:eastAsia="宋体" w:cs="Times New Roman"/>
                      <w:color w:val="auto"/>
                      <w:kern w:val="2"/>
                      <w:sz w:val="21"/>
                      <w:szCs w:val="24"/>
                      <w:lang w:val="de-DE" w:eastAsia="zh-CN" w:bidi="ar-SA"/>
                    </w:rPr>
                  </w:pPr>
                  <w:r>
                    <w:rPr>
                      <w:rFonts w:hint="default" w:ascii="Times New Roman" w:hAnsi="Times New Roman" w:eastAsia="宋体" w:cs="Times New Roman"/>
                      <w:color w:val="auto"/>
                      <w:kern w:val="2"/>
                      <w:sz w:val="21"/>
                      <w:szCs w:val="24"/>
                      <w:lang w:val="en-US" w:eastAsia="zh-CN" w:bidi="ar-SA"/>
                    </w:rPr>
                    <w:t>1#生产车间剥壳除锈、打磨粉尘排气筒DA006</w:t>
                  </w:r>
                </w:p>
              </w:tc>
              <w:tc>
                <w:tcPr>
                  <w:tcW w:w="1425" w:type="pct"/>
                  <w:tcBorders>
                    <w:tl2br w:val="nil"/>
                    <w:tr2bl w:val="nil"/>
                  </w:tcBorders>
                  <w:shd w:val="clear" w:color="auto" w:fill="auto"/>
                  <w:vAlign w:val="center"/>
                </w:tcPr>
                <w:p w14:paraId="38EB53EF">
                  <w:pPr>
                    <w:keepNext w:val="0"/>
                    <w:keepLines w:val="0"/>
                    <w:pageBreakBefore w:val="0"/>
                    <w:kinsoku/>
                    <w:wordWrap/>
                    <w:overflowPunct/>
                    <w:topLinePunct w:val="0"/>
                    <w:autoSpaceDE/>
                    <w:autoSpaceDN/>
                    <w:bidi w:val="0"/>
                    <w:snapToGrid w:val="0"/>
                    <w:jc w:val="center"/>
                    <w:textAlignment w:val="auto"/>
                    <w:rPr>
                      <w:rFonts w:hint="default" w:ascii="Times New Roman" w:hAnsi="Times New Roman" w:cs="Times New Roman"/>
                      <w:color w:val="auto"/>
                      <w:lang w:val="de-DE"/>
                    </w:rPr>
                  </w:pPr>
                  <w:r>
                    <w:rPr>
                      <w:rFonts w:hint="default" w:ascii="Times New Roman" w:hAnsi="Times New Roman" w:cs="Times New Roman"/>
                      <w:color w:val="auto"/>
                    </w:rPr>
                    <w:t>颗粒物</w:t>
                  </w:r>
                </w:p>
              </w:tc>
              <w:tc>
                <w:tcPr>
                  <w:tcW w:w="1015" w:type="pct"/>
                  <w:tcBorders>
                    <w:tl2br w:val="nil"/>
                    <w:tr2bl w:val="nil"/>
                  </w:tcBorders>
                  <w:vAlign w:val="center"/>
                </w:tcPr>
                <w:p w14:paraId="5BA79E4B">
                  <w:pPr>
                    <w:keepNext w:val="0"/>
                    <w:keepLines w:val="0"/>
                    <w:pageBreakBefore w:val="0"/>
                    <w:kinsoku/>
                    <w:wordWrap/>
                    <w:overflowPunct/>
                    <w:topLinePunct w:val="0"/>
                    <w:autoSpaceDE/>
                    <w:autoSpaceDN/>
                    <w:bidi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1次/年</w:t>
                  </w:r>
                </w:p>
              </w:tc>
            </w:tr>
            <w:tr w14:paraId="084D4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2559" w:type="pct"/>
                  <w:tcBorders>
                    <w:tl2br w:val="nil"/>
                    <w:tr2bl w:val="nil"/>
                  </w:tcBorders>
                  <w:vAlign w:val="center"/>
                </w:tcPr>
                <w:p w14:paraId="06BC799D">
                  <w:pPr>
                    <w:keepNext w:val="0"/>
                    <w:keepLines w:val="0"/>
                    <w:pageBreakBefore w:val="0"/>
                    <w:widowControl/>
                    <w:kinsoku/>
                    <w:wordWrap/>
                    <w:overflowPunct/>
                    <w:topLinePunct w:val="0"/>
                    <w:autoSpaceDE/>
                    <w:autoSpaceDN/>
                    <w:bidi w:val="0"/>
                    <w:snapToGrid w:val="0"/>
                    <w:jc w:val="both"/>
                    <w:textAlignment w:val="auto"/>
                    <w:rPr>
                      <w:rFonts w:hint="default" w:ascii="Times New Roman" w:hAnsi="Times New Roman" w:eastAsia="宋体" w:cs="Times New Roman"/>
                      <w:color w:val="auto"/>
                      <w:kern w:val="2"/>
                      <w:sz w:val="21"/>
                      <w:szCs w:val="24"/>
                      <w:lang w:val="de-DE" w:eastAsia="zh-CN" w:bidi="ar-SA"/>
                    </w:rPr>
                  </w:pPr>
                  <w:r>
                    <w:rPr>
                      <w:rFonts w:hint="default" w:ascii="Times New Roman" w:hAnsi="Times New Roman" w:eastAsia="宋体" w:cs="Times New Roman"/>
                      <w:color w:val="auto"/>
                      <w:kern w:val="2"/>
                      <w:sz w:val="21"/>
                      <w:szCs w:val="24"/>
                      <w:lang w:val="en-US" w:eastAsia="zh-CN" w:bidi="ar-SA"/>
                    </w:rPr>
                    <w:t>4#生产车间剥壳除锈、打磨粉尘排气筒DA007</w:t>
                  </w:r>
                </w:p>
              </w:tc>
              <w:tc>
                <w:tcPr>
                  <w:tcW w:w="1425" w:type="pct"/>
                  <w:tcBorders>
                    <w:tl2br w:val="nil"/>
                    <w:tr2bl w:val="nil"/>
                  </w:tcBorders>
                  <w:shd w:val="clear" w:color="auto" w:fill="auto"/>
                  <w:vAlign w:val="center"/>
                </w:tcPr>
                <w:p w14:paraId="0012E241">
                  <w:pPr>
                    <w:keepNext w:val="0"/>
                    <w:keepLines w:val="0"/>
                    <w:pageBreakBefore w:val="0"/>
                    <w:kinsoku/>
                    <w:wordWrap/>
                    <w:overflowPunct/>
                    <w:topLinePunct w:val="0"/>
                    <w:autoSpaceDE/>
                    <w:autoSpaceDN/>
                    <w:bidi w:val="0"/>
                    <w:snapToGrid w:val="0"/>
                    <w:jc w:val="center"/>
                    <w:textAlignment w:val="auto"/>
                    <w:rPr>
                      <w:rFonts w:hint="default" w:ascii="Times New Roman" w:hAnsi="Times New Roman" w:cs="Times New Roman"/>
                      <w:color w:val="auto"/>
                      <w:lang w:val="de-DE"/>
                    </w:rPr>
                  </w:pPr>
                  <w:r>
                    <w:rPr>
                      <w:rFonts w:hint="default" w:ascii="Times New Roman" w:hAnsi="Times New Roman" w:cs="Times New Roman"/>
                      <w:color w:val="auto"/>
                    </w:rPr>
                    <w:t>颗粒物</w:t>
                  </w:r>
                </w:p>
              </w:tc>
              <w:tc>
                <w:tcPr>
                  <w:tcW w:w="1015" w:type="pct"/>
                  <w:tcBorders>
                    <w:tl2br w:val="nil"/>
                    <w:tr2bl w:val="nil"/>
                  </w:tcBorders>
                  <w:vAlign w:val="center"/>
                </w:tcPr>
                <w:p w14:paraId="60F14DB4">
                  <w:pPr>
                    <w:keepNext w:val="0"/>
                    <w:keepLines w:val="0"/>
                    <w:pageBreakBefore w:val="0"/>
                    <w:kinsoku/>
                    <w:wordWrap/>
                    <w:overflowPunct/>
                    <w:topLinePunct w:val="0"/>
                    <w:autoSpaceDE/>
                    <w:autoSpaceDN/>
                    <w:bidi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1次/年</w:t>
                  </w:r>
                </w:p>
              </w:tc>
            </w:tr>
            <w:tr w14:paraId="1ED6E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2559" w:type="pct"/>
                  <w:tcBorders>
                    <w:tl2br w:val="nil"/>
                    <w:tr2bl w:val="nil"/>
                  </w:tcBorders>
                  <w:vAlign w:val="center"/>
                </w:tcPr>
                <w:p w14:paraId="6A00B883">
                  <w:pPr>
                    <w:keepNext w:val="0"/>
                    <w:keepLines w:val="0"/>
                    <w:pageBreakBefore w:val="0"/>
                    <w:widowControl/>
                    <w:kinsoku/>
                    <w:wordWrap/>
                    <w:overflowPunct/>
                    <w:topLinePunct w:val="0"/>
                    <w:autoSpaceDE/>
                    <w:autoSpaceDN/>
                    <w:bidi w:val="0"/>
                    <w:snapToGrid w:val="0"/>
                    <w:jc w:val="both"/>
                    <w:textAlignment w:val="auto"/>
                    <w:rPr>
                      <w:rFonts w:hint="default" w:ascii="Times New Roman" w:hAnsi="Times New Roman" w:cs="Times New Roman"/>
                      <w:color w:val="auto"/>
                      <w:lang w:val="de-DE"/>
                    </w:rPr>
                  </w:pPr>
                  <w:r>
                    <w:rPr>
                      <w:rFonts w:hint="default" w:ascii="Times New Roman" w:hAnsi="Times New Roman" w:cs="Times New Roman"/>
                      <w:color w:val="auto"/>
                    </w:rPr>
                    <w:t>表面处理废气排气筒DA008</w:t>
                  </w:r>
                </w:p>
              </w:tc>
              <w:tc>
                <w:tcPr>
                  <w:tcW w:w="1425" w:type="pct"/>
                  <w:tcBorders>
                    <w:tl2br w:val="nil"/>
                    <w:tr2bl w:val="nil"/>
                  </w:tcBorders>
                  <w:shd w:val="clear" w:color="auto" w:fill="auto"/>
                  <w:vAlign w:val="center"/>
                </w:tcPr>
                <w:p w14:paraId="17194FE8">
                  <w:pPr>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lang w:val="de-DE" w:eastAsia="zh-CN"/>
                    </w:rPr>
                  </w:pPr>
                  <w:r>
                    <w:rPr>
                      <w:rFonts w:hint="default" w:ascii="Times New Roman" w:hAnsi="Times New Roman" w:cs="Times New Roman"/>
                      <w:color w:val="auto"/>
                      <w:kern w:val="0"/>
                      <w:szCs w:val="21"/>
                      <w:lang w:bidi="ar"/>
                    </w:rPr>
                    <w:t>HCl</w:t>
                  </w:r>
                </w:p>
              </w:tc>
              <w:tc>
                <w:tcPr>
                  <w:tcW w:w="1015" w:type="pct"/>
                  <w:tcBorders>
                    <w:tl2br w:val="nil"/>
                    <w:tr2bl w:val="nil"/>
                  </w:tcBorders>
                  <w:vAlign w:val="center"/>
                </w:tcPr>
                <w:p w14:paraId="2B6D8699">
                  <w:pPr>
                    <w:pStyle w:val="86"/>
                    <w:keepNext w:val="0"/>
                    <w:keepLines w:val="0"/>
                    <w:pageBreakBefore w:val="0"/>
                    <w:kinsoku/>
                    <w:wordWrap/>
                    <w:overflowPunct/>
                    <w:topLinePunct w:val="0"/>
                    <w:autoSpaceDE/>
                    <w:autoSpaceDN/>
                    <w:bidi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1次/半年</w:t>
                  </w:r>
                </w:p>
              </w:tc>
            </w:tr>
            <w:tr w14:paraId="17158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2559" w:type="pct"/>
                  <w:tcBorders>
                    <w:tl2br w:val="nil"/>
                    <w:tr2bl w:val="nil"/>
                  </w:tcBorders>
                  <w:vAlign w:val="center"/>
                </w:tcPr>
                <w:p w14:paraId="51678A2B">
                  <w:pPr>
                    <w:keepNext w:val="0"/>
                    <w:keepLines w:val="0"/>
                    <w:pageBreakBefore w:val="0"/>
                    <w:widowControl/>
                    <w:kinsoku/>
                    <w:wordWrap/>
                    <w:overflowPunct/>
                    <w:topLinePunct w:val="0"/>
                    <w:autoSpaceDE/>
                    <w:autoSpaceDN/>
                    <w:bidi w:val="0"/>
                    <w:snapToGrid w:val="0"/>
                    <w:jc w:val="both"/>
                    <w:textAlignment w:val="auto"/>
                    <w:rPr>
                      <w:rFonts w:hint="default" w:ascii="Times New Roman" w:hAnsi="Times New Roman" w:cs="Times New Roman"/>
                      <w:color w:val="auto"/>
                      <w:lang w:val="de-DE"/>
                    </w:rPr>
                  </w:pPr>
                  <w:r>
                    <w:rPr>
                      <w:rFonts w:hint="default" w:ascii="Times New Roman" w:hAnsi="Times New Roman" w:cs="Times New Roman"/>
                      <w:color w:val="auto"/>
                    </w:rPr>
                    <w:t>燃天然气废气排气筒DA009</w:t>
                  </w:r>
                </w:p>
              </w:tc>
              <w:tc>
                <w:tcPr>
                  <w:tcW w:w="1425" w:type="pct"/>
                  <w:tcBorders>
                    <w:tl2br w:val="nil"/>
                    <w:tr2bl w:val="nil"/>
                  </w:tcBorders>
                  <w:shd w:val="clear" w:color="auto" w:fill="auto"/>
                  <w:vAlign w:val="center"/>
                </w:tcPr>
                <w:p w14:paraId="1DEFB08D">
                  <w:pPr>
                    <w:keepNext w:val="0"/>
                    <w:keepLines w:val="0"/>
                    <w:pageBreakBefore w:val="0"/>
                    <w:kinsoku/>
                    <w:wordWrap/>
                    <w:overflowPunct/>
                    <w:topLinePunct w:val="0"/>
                    <w:autoSpaceDE/>
                    <w:autoSpaceDN/>
                    <w:bidi w:val="0"/>
                    <w:snapToGrid w:val="0"/>
                    <w:jc w:val="center"/>
                    <w:textAlignment w:val="auto"/>
                    <w:rPr>
                      <w:rFonts w:hint="default" w:ascii="Times New Roman" w:hAnsi="Times New Roman" w:cs="Times New Roman"/>
                      <w:color w:val="auto"/>
                      <w:lang w:val="de-DE"/>
                    </w:rPr>
                  </w:pPr>
                  <w:r>
                    <w:rPr>
                      <w:rFonts w:hint="default" w:ascii="Times New Roman" w:hAnsi="Times New Roman" w:cs="Times New Roman"/>
                      <w:color w:val="auto"/>
                    </w:rPr>
                    <w:t>颗粒物、SO</w:t>
                  </w:r>
                  <w:r>
                    <w:rPr>
                      <w:rFonts w:hint="default" w:ascii="Times New Roman" w:hAnsi="Times New Roman" w:cs="Times New Roman"/>
                      <w:color w:val="auto"/>
                      <w:vertAlign w:val="subscript"/>
                    </w:rPr>
                    <w:t>2</w:t>
                  </w:r>
                  <w:r>
                    <w:rPr>
                      <w:rFonts w:hint="default" w:ascii="Times New Roman" w:hAnsi="Times New Roman" w:cs="Times New Roman"/>
                      <w:color w:val="auto"/>
                    </w:rPr>
                    <w:t>、NOx</w:t>
                  </w:r>
                </w:p>
              </w:tc>
              <w:tc>
                <w:tcPr>
                  <w:tcW w:w="1015" w:type="pct"/>
                  <w:tcBorders>
                    <w:tl2br w:val="nil"/>
                    <w:tr2bl w:val="nil"/>
                  </w:tcBorders>
                  <w:vAlign w:val="center"/>
                </w:tcPr>
                <w:p w14:paraId="2FE2F07D">
                  <w:pPr>
                    <w:pStyle w:val="86"/>
                    <w:keepNext w:val="0"/>
                    <w:keepLines w:val="0"/>
                    <w:pageBreakBefore w:val="0"/>
                    <w:kinsoku/>
                    <w:wordWrap/>
                    <w:overflowPunct/>
                    <w:topLinePunct w:val="0"/>
                    <w:autoSpaceDE/>
                    <w:autoSpaceDN/>
                    <w:bidi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1次/年</w:t>
                  </w:r>
                </w:p>
              </w:tc>
            </w:tr>
            <w:tr w14:paraId="6061C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2559" w:type="pct"/>
                  <w:tcBorders>
                    <w:tl2br w:val="nil"/>
                    <w:tr2bl w:val="nil"/>
                  </w:tcBorders>
                  <w:vAlign w:val="center"/>
                </w:tcPr>
                <w:p w14:paraId="4B443CD4">
                  <w:pPr>
                    <w:pStyle w:val="86"/>
                    <w:keepNext w:val="0"/>
                    <w:keepLines w:val="0"/>
                    <w:pageBreakBefore w:val="0"/>
                    <w:kinsoku/>
                    <w:wordWrap/>
                    <w:overflowPunct/>
                    <w:topLinePunct w:val="0"/>
                    <w:autoSpaceDE/>
                    <w:autoSpaceDN/>
                    <w:bidi w:val="0"/>
                    <w:snapToGrid w:val="0"/>
                    <w:jc w:val="center"/>
                    <w:textAlignment w:val="auto"/>
                    <w:rPr>
                      <w:rFonts w:hint="default" w:ascii="Times New Roman" w:hAnsi="Times New Roman" w:cs="Times New Roman"/>
                      <w:color w:val="auto"/>
                      <w:lang w:val="de-DE"/>
                    </w:rPr>
                  </w:pPr>
                  <w:r>
                    <w:rPr>
                      <w:rFonts w:hint="default" w:ascii="Times New Roman" w:hAnsi="Times New Roman" w:cs="Times New Roman"/>
                      <w:color w:val="auto"/>
                      <w:lang w:val="de-DE"/>
                    </w:rPr>
                    <w:t>厂界</w:t>
                  </w:r>
                </w:p>
              </w:tc>
              <w:tc>
                <w:tcPr>
                  <w:tcW w:w="1425" w:type="pct"/>
                  <w:tcBorders>
                    <w:tl2br w:val="nil"/>
                    <w:tr2bl w:val="nil"/>
                  </w:tcBorders>
                  <w:shd w:val="clear" w:color="auto" w:fill="auto"/>
                  <w:vAlign w:val="center"/>
                </w:tcPr>
                <w:p w14:paraId="4AD07B14">
                  <w:pPr>
                    <w:pStyle w:val="86"/>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lang w:val="de-DE" w:eastAsia="zh-CN"/>
                    </w:rPr>
                  </w:pPr>
                  <w:r>
                    <w:rPr>
                      <w:rFonts w:hint="default" w:ascii="Times New Roman" w:hAnsi="Times New Roman" w:cs="Times New Roman"/>
                      <w:color w:val="auto"/>
                      <w:lang w:val="de-DE"/>
                    </w:rPr>
                    <w:t>颗粒物、</w:t>
                  </w:r>
                  <w:r>
                    <w:rPr>
                      <w:rFonts w:hint="default" w:ascii="Times New Roman" w:hAnsi="Times New Roman" w:cs="Times New Roman"/>
                      <w:color w:val="auto"/>
                      <w:kern w:val="0"/>
                      <w:lang w:bidi="ar"/>
                    </w:rPr>
                    <w:t>HCl</w:t>
                  </w:r>
                </w:p>
              </w:tc>
              <w:tc>
                <w:tcPr>
                  <w:tcW w:w="1015" w:type="pct"/>
                  <w:tcBorders>
                    <w:tl2br w:val="nil"/>
                    <w:tr2bl w:val="nil"/>
                  </w:tcBorders>
                  <w:vAlign w:val="center"/>
                </w:tcPr>
                <w:p w14:paraId="1227BA01">
                  <w:pPr>
                    <w:pStyle w:val="86"/>
                    <w:keepNext w:val="0"/>
                    <w:keepLines w:val="0"/>
                    <w:pageBreakBefore w:val="0"/>
                    <w:kinsoku/>
                    <w:wordWrap/>
                    <w:overflowPunct/>
                    <w:topLinePunct w:val="0"/>
                    <w:autoSpaceDE/>
                    <w:autoSpaceDN/>
                    <w:bidi w:val="0"/>
                    <w:snapToGrid w:val="0"/>
                    <w:jc w:val="center"/>
                    <w:textAlignment w:val="auto"/>
                    <w:rPr>
                      <w:rFonts w:hint="default" w:ascii="Times New Roman" w:hAnsi="Times New Roman" w:cs="Times New Roman"/>
                      <w:color w:val="auto"/>
                    </w:rPr>
                  </w:pPr>
                  <w:r>
                    <w:rPr>
                      <w:rFonts w:hint="default" w:ascii="Times New Roman" w:hAnsi="Times New Roman" w:cs="Times New Roman"/>
                      <w:color w:val="auto"/>
                    </w:rPr>
                    <w:t>1次/年</w:t>
                  </w:r>
                </w:p>
              </w:tc>
            </w:tr>
          </w:tbl>
          <w:p w14:paraId="2EA1CA0B">
            <w:pPr>
              <w:adjustRightInd w:val="0"/>
              <w:snapToGrid w:val="0"/>
              <w:spacing w:line="360" w:lineRule="auto"/>
              <w:rPr>
                <w:rFonts w:hint="default" w:ascii="Times New Roman" w:hAnsi="Times New Roman" w:cs="Times New Roman"/>
                <w:color w:val="auto"/>
              </w:rPr>
            </w:pPr>
          </w:p>
        </w:tc>
      </w:tr>
    </w:tbl>
    <w:p w14:paraId="09660EC2">
      <w:pPr>
        <w:rPr>
          <w:rFonts w:hint="default" w:ascii="Times New Roman" w:hAnsi="Times New Roman" w:cs="Times New Roman"/>
          <w:color w:val="auto"/>
        </w:rPr>
        <w:sectPr>
          <w:pgSz w:w="11905" w:h="16838"/>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9"/>
        <w:gridCol w:w="13801"/>
      </w:tblGrid>
      <w:tr w14:paraId="6025F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dxa"/>
          </w:tcPr>
          <w:p w14:paraId="340189E0">
            <w:pPr>
              <w:pStyle w:val="5"/>
              <w:spacing w:before="189" w:after="189" w:afterLines="50" w:afterAutospacing="0" w:line="240" w:lineRule="auto"/>
              <w:outlineLvl w:val="2"/>
              <w:rPr>
                <w:rFonts w:hint="default" w:ascii="Times New Roman" w:hAnsi="Times New Roman" w:cs="Times New Roman"/>
                <w:color w:val="auto"/>
              </w:rPr>
            </w:pPr>
          </w:p>
        </w:tc>
        <w:tc>
          <w:tcPr>
            <w:tcW w:w="13801" w:type="dxa"/>
          </w:tcPr>
          <w:p w14:paraId="5ABAB643">
            <w:pPr>
              <w:pStyle w:val="77"/>
              <w:keepNext w:val="0"/>
              <w:keepLines w:val="0"/>
              <w:pageBreakBefore w:val="0"/>
              <w:widowControl w:val="0"/>
              <w:kinsoku/>
              <w:wordWrap/>
              <w:overflowPunct/>
              <w:topLinePunct w:val="0"/>
              <w:autoSpaceDE/>
              <w:autoSpaceDN/>
              <w:bidi w:val="0"/>
              <w:adjustRightInd w:val="0"/>
              <w:snapToGrid w:val="0"/>
              <w:spacing w:before="115" w:beforeLines="30" w:line="360" w:lineRule="auto"/>
              <w:ind w:firstLine="0" w:firstLineChars="0"/>
              <w:textAlignment w:val="auto"/>
              <w:rPr>
                <w:rFonts w:hint="default" w:ascii="Times New Roman" w:hAnsi="Times New Roman" w:eastAsia="黑体" w:cs="Times New Roman"/>
                <w:snapToGrid w:val="0"/>
                <w:color w:val="auto"/>
                <w:kern w:val="2"/>
                <w:sz w:val="28"/>
                <w:szCs w:val="24"/>
                <w:lang w:val="en-US" w:eastAsia="zh-CN" w:bidi="ar-SA"/>
              </w:rPr>
            </w:pPr>
            <w:r>
              <w:rPr>
                <w:rFonts w:hint="default" w:ascii="Times New Roman" w:hAnsi="Times New Roman" w:eastAsia="黑体" w:cs="Times New Roman"/>
                <w:snapToGrid w:val="0"/>
                <w:color w:val="auto"/>
                <w:kern w:val="2"/>
                <w:sz w:val="28"/>
                <w:szCs w:val="24"/>
                <w:lang w:val="en-US" w:eastAsia="zh-CN" w:bidi="ar-SA"/>
              </w:rPr>
              <w:t>4.2.2水环境影响分析及环保措施</w:t>
            </w:r>
          </w:p>
          <w:p w14:paraId="4B7EA23A">
            <w:pPr>
              <w:pStyle w:val="6"/>
              <w:spacing w:before="113" w:beforeLines="30" w:after="189" w:afterLines="50" w:line="240" w:lineRule="auto"/>
              <w:outlineLvl w:val="3"/>
              <w:rPr>
                <w:rFonts w:hint="default" w:ascii="Times New Roman" w:hAnsi="Times New Roman" w:cs="Times New Roman"/>
                <w:color w:val="auto"/>
              </w:rPr>
            </w:pPr>
            <w:r>
              <w:rPr>
                <w:rFonts w:hint="default" w:ascii="Times New Roman" w:hAnsi="Times New Roman" w:cs="Times New Roman"/>
                <w:color w:val="auto"/>
              </w:rPr>
              <w:t>4.2.2.1废水污染源</w:t>
            </w:r>
          </w:p>
          <w:p w14:paraId="15580732">
            <w:pPr>
              <w:pStyle w:val="1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本工程运营期废水主要包括生产废水、生活污水及初期雨污水。各类废水收集方式、处理方案和排放去向见表4.2-12。</w:t>
            </w:r>
          </w:p>
          <w:p w14:paraId="06C67279">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 xml:space="preserve">表4.2-12 </w:t>
            </w:r>
            <w:r>
              <w:rPr>
                <w:rFonts w:hint="eastAsia" w:eastAsia="黑体" w:cs="Times New Roman"/>
                <w:b w:val="0"/>
                <w:bCs/>
                <w:color w:val="auto"/>
                <w:lang w:val="en-US" w:eastAsia="zh-CN"/>
              </w:rPr>
              <w:t xml:space="preserve"> </w:t>
            </w:r>
            <w:r>
              <w:rPr>
                <w:rFonts w:hint="default" w:ascii="Times New Roman" w:hAnsi="Times New Roman" w:eastAsia="黑体" w:cs="Times New Roman"/>
                <w:b w:val="0"/>
                <w:bCs/>
                <w:color w:val="auto"/>
              </w:rPr>
              <w:t>各类废水收集方式、处理方案和排放去向</w:t>
            </w:r>
          </w:p>
          <w:tbl>
            <w:tblPr>
              <w:tblStyle w:val="34"/>
              <w:tblW w:w="0" w:type="auto"/>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autofit"/>
              <w:tblCellMar>
                <w:top w:w="0" w:type="dxa"/>
                <w:left w:w="0" w:type="dxa"/>
                <w:bottom w:w="0" w:type="dxa"/>
                <w:right w:w="0" w:type="dxa"/>
              </w:tblCellMar>
            </w:tblPr>
            <w:tblGrid>
              <w:gridCol w:w="510"/>
              <w:gridCol w:w="715"/>
              <w:gridCol w:w="1719"/>
              <w:gridCol w:w="2314"/>
              <w:gridCol w:w="2122"/>
              <w:gridCol w:w="2400"/>
              <w:gridCol w:w="3593"/>
            </w:tblGrid>
            <w:tr w14:paraId="2728293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20" w:hRule="atLeast"/>
                <w:jc w:val="center"/>
              </w:trPr>
              <w:tc>
                <w:tcPr>
                  <w:tcW w:w="510" w:type="dxa"/>
                  <w:tcBorders>
                    <w:tl2br w:val="nil"/>
                    <w:tr2bl w:val="nil"/>
                  </w:tcBorders>
                  <w:tcMar>
                    <w:top w:w="15" w:type="dxa"/>
                    <w:left w:w="15" w:type="dxa"/>
                    <w:right w:w="15" w:type="dxa"/>
                  </w:tcMar>
                  <w:vAlign w:val="center"/>
                </w:tcPr>
                <w:p w14:paraId="09FF202B">
                  <w:pPr>
                    <w:widowControl/>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编号</w:t>
                  </w:r>
                </w:p>
              </w:tc>
              <w:tc>
                <w:tcPr>
                  <w:tcW w:w="2434" w:type="dxa"/>
                  <w:gridSpan w:val="2"/>
                  <w:tcBorders>
                    <w:tl2br w:val="nil"/>
                    <w:tr2bl w:val="nil"/>
                  </w:tcBorders>
                  <w:tcMar>
                    <w:top w:w="15" w:type="dxa"/>
                    <w:left w:w="15" w:type="dxa"/>
                    <w:right w:w="15" w:type="dxa"/>
                  </w:tcMar>
                  <w:vAlign w:val="center"/>
                </w:tcPr>
                <w:p w14:paraId="2AF44182">
                  <w:pPr>
                    <w:widowControl/>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产生工序</w:t>
                  </w:r>
                </w:p>
              </w:tc>
              <w:tc>
                <w:tcPr>
                  <w:tcW w:w="2314" w:type="dxa"/>
                  <w:tcBorders>
                    <w:tl2br w:val="nil"/>
                    <w:tr2bl w:val="nil"/>
                  </w:tcBorders>
                  <w:tcMar>
                    <w:top w:w="15" w:type="dxa"/>
                    <w:left w:w="15" w:type="dxa"/>
                    <w:right w:w="15" w:type="dxa"/>
                  </w:tcMar>
                  <w:vAlign w:val="center"/>
                </w:tcPr>
                <w:p w14:paraId="62DDBF77">
                  <w:pPr>
                    <w:widowControl/>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收集方式</w:t>
                  </w:r>
                </w:p>
              </w:tc>
              <w:tc>
                <w:tcPr>
                  <w:tcW w:w="2122" w:type="dxa"/>
                  <w:tcBorders>
                    <w:tl2br w:val="nil"/>
                    <w:tr2bl w:val="nil"/>
                  </w:tcBorders>
                  <w:tcMar>
                    <w:top w:w="15" w:type="dxa"/>
                    <w:left w:w="15" w:type="dxa"/>
                    <w:right w:w="15" w:type="dxa"/>
                  </w:tcMar>
                  <w:vAlign w:val="center"/>
                </w:tcPr>
                <w:p w14:paraId="6F15DBB3">
                  <w:pPr>
                    <w:widowControl/>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主要污染因子</w:t>
                  </w:r>
                </w:p>
              </w:tc>
              <w:tc>
                <w:tcPr>
                  <w:tcW w:w="2400" w:type="dxa"/>
                  <w:tcBorders>
                    <w:tl2br w:val="nil"/>
                    <w:tr2bl w:val="nil"/>
                  </w:tcBorders>
                  <w:tcMar>
                    <w:top w:w="15" w:type="dxa"/>
                    <w:left w:w="15" w:type="dxa"/>
                    <w:right w:w="15" w:type="dxa"/>
                  </w:tcMar>
                  <w:vAlign w:val="center"/>
                </w:tcPr>
                <w:p w14:paraId="05DFCA46">
                  <w:pPr>
                    <w:widowControl/>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去向</w:t>
                  </w:r>
                </w:p>
              </w:tc>
              <w:tc>
                <w:tcPr>
                  <w:tcW w:w="3593" w:type="dxa"/>
                  <w:tcBorders>
                    <w:tl2br w:val="nil"/>
                    <w:tr2bl w:val="nil"/>
                  </w:tcBorders>
                  <w:tcMar>
                    <w:top w:w="15" w:type="dxa"/>
                    <w:left w:w="15" w:type="dxa"/>
                    <w:right w:w="15" w:type="dxa"/>
                  </w:tcMar>
                  <w:vAlign w:val="center"/>
                </w:tcPr>
                <w:p w14:paraId="5756ED5B">
                  <w:pPr>
                    <w:widowControl/>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处理措施</w:t>
                  </w:r>
                </w:p>
              </w:tc>
            </w:tr>
            <w:tr w14:paraId="4D83311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20" w:hRule="atLeast"/>
                <w:jc w:val="center"/>
              </w:trPr>
              <w:tc>
                <w:tcPr>
                  <w:tcW w:w="510" w:type="dxa"/>
                  <w:tcBorders>
                    <w:tl2br w:val="nil"/>
                    <w:tr2bl w:val="nil"/>
                  </w:tcBorders>
                  <w:tcMar>
                    <w:top w:w="15" w:type="dxa"/>
                    <w:left w:w="15" w:type="dxa"/>
                    <w:right w:w="15" w:type="dxa"/>
                  </w:tcMar>
                  <w:vAlign w:val="center"/>
                </w:tcPr>
                <w:p w14:paraId="26F6D378">
                  <w:pPr>
                    <w:widowControl/>
                    <w:spacing w:line="260" w:lineRule="exact"/>
                    <w:jc w:val="center"/>
                    <w:rPr>
                      <w:rFonts w:hint="default" w:ascii="Times New Roman" w:hAnsi="Times New Roman" w:cs="Times New Roman"/>
                      <w:color w:val="auto"/>
                      <w:szCs w:val="21"/>
                    </w:rPr>
                  </w:pPr>
                  <w:r>
                    <w:rPr>
                      <w:rFonts w:hint="default" w:ascii="Times New Roman" w:hAnsi="Times New Roman" w:cs="Times New Roman"/>
                      <w:color w:val="auto"/>
                      <w:kern w:val="0"/>
                      <w:szCs w:val="21"/>
                    </w:rPr>
                    <w:t>W1</w:t>
                  </w:r>
                </w:p>
              </w:tc>
              <w:tc>
                <w:tcPr>
                  <w:tcW w:w="2434" w:type="dxa"/>
                  <w:gridSpan w:val="2"/>
                  <w:tcBorders>
                    <w:bottom w:val="single" w:color="auto" w:sz="4" w:space="0"/>
                    <w:tl2br w:val="nil"/>
                    <w:tr2bl w:val="nil"/>
                  </w:tcBorders>
                  <w:tcMar>
                    <w:top w:w="15" w:type="dxa"/>
                    <w:left w:w="15" w:type="dxa"/>
                    <w:right w:w="15" w:type="dxa"/>
                  </w:tcMar>
                  <w:vAlign w:val="center"/>
                </w:tcPr>
                <w:p w14:paraId="417EE44D">
                  <w:pPr>
                    <w:widowControl/>
                    <w:spacing w:line="260" w:lineRule="exact"/>
                    <w:jc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设备冷却水</w:t>
                  </w:r>
                </w:p>
              </w:tc>
              <w:tc>
                <w:tcPr>
                  <w:tcW w:w="2314" w:type="dxa"/>
                  <w:tcBorders>
                    <w:bottom w:val="single" w:color="auto" w:sz="4" w:space="0"/>
                    <w:tl2br w:val="nil"/>
                    <w:tr2bl w:val="nil"/>
                  </w:tcBorders>
                  <w:tcMar>
                    <w:top w:w="15" w:type="dxa"/>
                    <w:left w:w="15" w:type="dxa"/>
                    <w:right w:w="15" w:type="dxa"/>
                  </w:tcMar>
                  <w:vAlign w:val="center"/>
                </w:tcPr>
                <w:p w14:paraId="4EF323CC">
                  <w:pPr>
                    <w:widowControl/>
                    <w:spacing w:line="260" w:lineRule="exact"/>
                    <w:jc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经管道泵入净环水系统</w:t>
                  </w:r>
                </w:p>
              </w:tc>
              <w:tc>
                <w:tcPr>
                  <w:tcW w:w="2122" w:type="dxa"/>
                  <w:tcBorders>
                    <w:bottom w:val="single" w:color="auto" w:sz="4" w:space="0"/>
                    <w:tl2br w:val="nil"/>
                    <w:tr2bl w:val="nil"/>
                  </w:tcBorders>
                  <w:tcMar>
                    <w:top w:w="15" w:type="dxa"/>
                    <w:left w:w="15" w:type="dxa"/>
                    <w:right w:w="15" w:type="dxa"/>
                  </w:tcMar>
                  <w:vAlign w:val="center"/>
                </w:tcPr>
                <w:p w14:paraId="19A4BA41">
                  <w:pPr>
                    <w:widowControl/>
                    <w:spacing w:line="260" w:lineRule="exact"/>
                    <w:jc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rPr>
                    <w:t>SS、COD</w:t>
                  </w:r>
                </w:p>
              </w:tc>
              <w:tc>
                <w:tcPr>
                  <w:tcW w:w="2400" w:type="dxa"/>
                  <w:tcBorders>
                    <w:bottom w:val="single" w:color="auto" w:sz="4" w:space="0"/>
                    <w:tl2br w:val="nil"/>
                    <w:tr2bl w:val="nil"/>
                  </w:tcBorders>
                  <w:tcMar>
                    <w:top w:w="15" w:type="dxa"/>
                    <w:left w:w="15" w:type="dxa"/>
                    <w:right w:w="15" w:type="dxa"/>
                  </w:tcMar>
                  <w:vAlign w:val="center"/>
                </w:tcPr>
                <w:p w14:paraId="2C93B3CF">
                  <w:pPr>
                    <w:widowControl/>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循环使用，不外排</w:t>
                  </w:r>
                </w:p>
              </w:tc>
              <w:tc>
                <w:tcPr>
                  <w:tcW w:w="3593" w:type="dxa"/>
                  <w:tcBorders>
                    <w:bottom w:val="single" w:color="auto" w:sz="4" w:space="0"/>
                    <w:tl2br w:val="nil"/>
                    <w:tr2bl w:val="nil"/>
                  </w:tcBorders>
                  <w:tcMar>
                    <w:top w:w="15" w:type="dxa"/>
                    <w:left w:w="15" w:type="dxa"/>
                    <w:right w:w="15" w:type="dxa"/>
                  </w:tcMar>
                  <w:vAlign w:val="center"/>
                </w:tcPr>
                <w:p w14:paraId="2AA05064">
                  <w:pPr>
                    <w:widowControl/>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净循环水池</w:t>
                  </w:r>
                </w:p>
              </w:tc>
            </w:tr>
            <w:tr w14:paraId="5AB542F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20" w:hRule="atLeast"/>
                <w:jc w:val="center"/>
              </w:trPr>
              <w:tc>
                <w:tcPr>
                  <w:tcW w:w="510" w:type="dxa"/>
                  <w:tcBorders>
                    <w:bottom w:val="single" w:color="auto" w:sz="4" w:space="0"/>
                    <w:tl2br w:val="nil"/>
                    <w:tr2bl w:val="nil"/>
                  </w:tcBorders>
                  <w:tcMar>
                    <w:top w:w="15" w:type="dxa"/>
                    <w:left w:w="15" w:type="dxa"/>
                    <w:right w:w="15" w:type="dxa"/>
                  </w:tcMar>
                  <w:vAlign w:val="center"/>
                </w:tcPr>
                <w:p w14:paraId="292F585A">
                  <w:pPr>
                    <w:widowControl/>
                    <w:spacing w:line="260" w:lineRule="exact"/>
                    <w:jc w:val="center"/>
                    <w:rPr>
                      <w:rFonts w:hint="default" w:ascii="Times New Roman" w:hAnsi="Times New Roman" w:cs="Times New Roman"/>
                      <w:color w:val="auto"/>
                      <w:szCs w:val="21"/>
                    </w:rPr>
                  </w:pPr>
                  <w:r>
                    <w:rPr>
                      <w:rFonts w:hint="default" w:ascii="Times New Roman" w:hAnsi="Times New Roman" w:cs="Times New Roman"/>
                      <w:color w:val="auto"/>
                      <w:kern w:val="0"/>
                      <w:szCs w:val="21"/>
                    </w:rPr>
                    <w:t>W2</w:t>
                  </w:r>
                </w:p>
              </w:tc>
              <w:tc>
                <w:tcPr>
                  <w:tcW w:w="715" w:type="dxa"/>
                  <w:vMerge w:val="restart"/>
                  <w:tcBorders>
                    <w:top w:val="single" w:color="auto" w:sz="4" w:space="0"/>
                    <w:right w:val="single" w:color="auto" w:sz="4" w:space="0"/>
                    <w:tl2br w:val="nil"/>
                    <w:tr2bl w:val="nil"/>
                  </w:tcBorders>
                  <w:tcMar>
                    <w:top w:w="15" w:type="dxa"/>
                    <w:left w:w="15" w:type="dxa"/>
                    <w:right w:w="15" w:type="dxa"/>
                  </w:tcMar>
                  <w:vAlign w:val="center"/>
                </w:tcPr>
                <w:p w14:paraId="05A3C9E5">
                  <w:pPr>
                    <w:widowControl/>
                    <w:spacing w:line="260" w:lineRule="exact"/>
                    <w:jc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rPr>
                    <w:t>表面处理废水</w:t>
                  </w:r>
                </w:p>
              </w:tc>
              <w:tc>
                <w:tcPr>
                  <w:tcW w:w="1719" w:type="dxa"/>
                  <w:tcBorders>
                    <w:top w:val="single" w:color="auto" w:sz="4" w:space="0"/>
                    <w:left w:val="single" w:color="auto" w:sz="4" w:space="0"/>
                    <w:bottom w:val="single" w:color="auto" w:sz="4" w:space="0"/>
                    <w:tl2br w:val="nil"/>
                    <w:tr2bl w:val="nil"/>
                  </w:tcBorders>
                  <w:tcMar>
                    <w:top w:w="15" w:type="dxa"/>
                    <w:left w:w="15" w:type="dxa"/>
                    <w:right w:w="15" w:type="dxa"/>
                  </w:tcMar>
                  <w:vAlign w:val="center"/>
                </w:tcPr>
                <w:p w14:paraId="6BB3E627">
                  <w:pPr>
                    <w:widowControl/>
                    <w:spacing w:line="26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水密封清洗槽废水</w:t>
                  </w:r>
                </w:p>
              </w:tc>
              <w:tc>
                <w:tcPr>
                  <w:tcW w:w="2314" w:type="dxa"/>
                  <w:tcBorders>
                    <w:top w:val="single" w:color="auto" w:sz="4" w:space="0"/>
                    <w:bottom w:val="single" w:color="auto" w:sz="4" w:space="0"/>
                    <w:tl2br w:val="nil"/>
                    <w:tr2bl w:val="nil"/>
                  </w:tcBorders>
                  <w:tcMar>
                    <w:top w:w="15" w:type="dxa"/>
                    <w:left w:w="15" w:type="dxa"/>
                    <w:right w:w="15" w:type="dxa"/>
                  </w:tcMar>
                  <w:vAlign w:val="center"/>
                </w:tcPr>
                <w:p w14:paraId="1F371937">
                  <w:pPr>
                    <w:widowControl/>
                    <w:spacing w:line="26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经管道泵入污水处理站</w:t>
                  </w:r>
                </w:p>
              </w:tc>
              <w:tc>
                <w:tcPr>
                  <w:tcW w:w="2122" w:type="dxa"/>
                  <w:tcBorders>
                    <w:top w:val="single" w:color="auto" w:sz="4" w:space="0"/>
                    <w:bottom w:val="single" w:color="auto" w:sz="4" w:space="0"/>
                    <w:tl2br w:val="nil"/>
                    <w:tr2bl w:val="nil"/>
                  </w:tcBorders>
                  <w:tcMar>
                    <w:top w:w="15" w:type="dxa"/>
                    <w:left w:w="15" w:type="dxa"/>
                    <w:right w:w="15" w:type="dxa"/>
                  </w:tcMar>
                  <w:vAlign w:val="center"/>
                </w:tcPr>
                <w:p w14:paraId="2EB0F59E">
                  <w:pPr>
                    <w:widowControl/>
                    <w:spacing w:line="260" w:lineRule="exact"/>
                    <w:jc w:val="both"/>
                    <w:rPr>
                      <w:rFonts w:hint="default" w:ascii="Times New Roman" w:hAnsi="Times New Roman" w:cs="Times New Roman"/>
                      <w:color w:val="auto"/>
                      <w:kern w:val="0"/>
                      <w:szCs w:val="21"/>
                      <w:lang w:bidi="ar"/>
                    </w:rPr>
                  </w:pPr>
                  <w:r>
                    <w:rPr>
                      <w:rFonts w:hint="default" w:ascii="Times New Roman" w:hAnsi="Times New Roman" w:cs="Times New Roman" w:eastAsiaTheme="minorEastAsia"/>
                      <w:color w:val="auto"/>
                      <w:szCs w:val="21"/>
                    </w:rPr>
                    <w:t>pH、COD、氨氮、SS</w:t>
                  </w:r>
                </w:p>
              </w:tc>
              <w:tc>
                <w:tcPr>
                  <w:tcW w:w="2400" w:type="dxa"/>
                  <w:tcBorders>
                    <w:top w:val="single" w:color="auto" w:sz="4" w:space="0"/>
                    <w:bottom w:val="single" w:color="auto" w:sz="4" w:space="0"/>
                    <w:tl2br w:val="nil"/>
                    <w:tr2bl w:val="nil"/>
                  </w:tcBorders>
                  <w:tcMar>
                    <w:top w:w="15" w:type="dxa"/>
                    <w:left w:w="15" w:type="dxa"/>
                    <w:right w:w="15" w:type="dxa"/>
                  </w:tcMar>
                  <w:vAlign w:val="center"/>
                </w:tcPr>
                <w:p w14:paraId="6AC34C21">
                  <w:pPr>
                    <w:widowControl/>
                    <w:snapToGrid w:val="0"/>
                    <w:jc w:val="both"/>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厂区污水处理站处理后排入市政管网</w:t>
                  </w:r>
                </w:p>
              </w:tc>
              <w:tc>
                <w:tcPr>
                  <w:tcW w:w="3593" w:type="dxa"/>
                  <w:vMerge w:val="restart"/>
                  <w:tcBorders>
                    <w:top w:val="single" w:color="auto" w:sz="4" w:space="0"/>
                    <w:tl2br w:val="nil"/>
                    <w:tr2bl w:val="nil"/>
                  </w:tcBorders>
                  <w:tcMar>
                    <w:top w:w="15" w:type="dxa"/>
                    <w:left w:w="15" w:type="dxa"/>
                    <w:right w:w="15" w:type="dxa"/>
                  </w:tcMar>
                  <w:vAlign w:val="center"/>
                </w:tcPr>
                <w:p w14:paraId="7A141F81">
                  <w:pPr>
                    <w:widowControl/>
                    <w:snapToGrid w:val="0"/>
                    <w:jc w:val="both"/>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收集的废水统一经过“调节池+一级pH调节池+混合池+絮凝池+沉淀池+二级pH调节池+混合池+絮凝池+沉淀池+回调池+砂滤系统+清水池”处理后排入市政管网</w:t>
                  </w:r>
                </w:p>
              </w:tc>
            </w:tr>
            <w:tr w14:paraId="7DBB721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20" w:hRule="atLeast"/>
                <w:jc w:val="center"/>
              </w:trPr>
              <w:tc>
                <w:tcPr>
                  <w:tcW w:w="510" w:type="dxa"/>
                  <w:tcBorders>
                    <w:top w:val="single" w:color="auto" w:sz="4" w:space="0"/>
                    <w:bottom w:val="single" w:color="auto" w:sz="4" w:space="0"/>
                    <w:tl2br w:val="nil"/>
                    <w:tr2bl w:val="nil"/>
                  </w:tcBorders>
                  <w:tcMar>
                    <w:top w:w="15" w:type="dxa"/>
                    <w:left w:w="15" w:type="dxa"/>
                    <w:right w:w="15" w:type="dxa"/>
                  </w:tcMar>
                  <w:vAlign w:val="center"/>
                </w:tcPr>
                <w:p w14:paraId="30DF95A3">
                  <w:pPr>
                    <w:widowControl/>
                    <w:spacing w:line="260" w:lineRule="exact"/>
                    <w:jc w:val="center"/>
                    <w:rPr>
                      <w:rFonts w:hint="default" w:ascii="Times New Roman" w:hAnsi="Times New Roman" w:cs="Times New Roman"/>
                      <w:color w:val="auto"/>
                      <w:szCs w:val="21"/>
                    </w:rPr>
                  </w:pPr>
                  <w:r>
                    <w:rPr>
                      <w:rFonts w:hint="default" w:ascii="Times New Roman" w:hAnsi="Times New Roman" w:cs="Times New Roman"/>
                      <w:color w:val="auto"/>
                      <w:kern w:val="0"/>
                      <w:szCs w:val="21"/>
                    </w:rPr>
                    <w:t>W3</w:t>
                  </w:r>
                </w:p>
              </w:tc>
              <w:tc>
                <w:tcPr>
                  <w:tcW w:w="715" w:type="dxa"/>
                  <w:vMerge w:val="continue"/>
                  <w:tcBorders>
                    <w:right w:val="single" w:color="auto" w:sz="4" w:space="0"/>
                    <w:tl2br w:val="nil"/>
                    <w:tr2bl w:val="nil"/>
                  </w:tcBorders>
                  <w:tcMar>
                    <w:top w:w="15" w:type="dxa"/>
                    <w:left w:w="15" w:type="dxa"/>
                    <w:right w:w="15" w:type="dxa"/>
                  </w:tcMar>
                  <w:vAlign w:val="center"/>
                </w:tcPr>
                <w:p w14:paraId="2C9FF072">
                  <w:pPr>
                    <w:widowControl/>
                    <w:spacing w:line="260" w:lineRule="exact"/>
                    <w:jc w:val="center"/>
                    <w:rPr>
                      <w:rFonts w:hint="default" w:ascii="Times New Roman" w:hAnsi="Times New Roman" w:cs="Times New Roman"/>
                      <w:color w:val="auto"/>
                      <w:kern w:val="0"/>
                      <w:szCs w:val="21"/>
                    </w:rPr>
                  </w:pPr>
                </w:p>
              </w:tc>
              <w:tc>
                <w:tcPr>
                  <w:tcW w:w="1719" w:type="dxa"/>
                  <w:tcBorders>
                    <w:top w:val="single" w:color="auto" w:sz="4" w:space="0"/>
                    <w:left w:val="single" w:color="auto" w:sz="4" w:space="0"/>
                    <w:bottom w:val="single" w:color="auto" w:sz="4" w:space="0"/>
                    <w:tl2br w:val="nil"/>
                    <w:tr2bl w:val="nil"/>
                  </w:tcBorders>
                  <w:tcMar>
                    <w:top w:w="15" w:type="dxa"/>
                    <w:left w:w="15" w:type="dxa"/>
                    <w:right w:w="15" w:type="dxa"/>
                  </w:tcMar>
                  <w:vAlign w:val="center"/>
                </w:tcPr>
                <w:p w14:paraId="3BBE08E0">
                  <w:pPr>
                    <w:widowControl/>
                    <w:spacing w:line="260" w:lineRule="exact"/>
                    <w:jc w:val="center"/>
                    <w:rPr>
                      <w:rFonts w:hint="default" w:ascii="Times New Roman" w:hAnsi="Times New Roman" w:cs="Times New Roman"/>
                      <w:color w:val="auto"/>
                      <w:kern w:val="0"/>
                      <w:sz w:val="24"/>
                    </w:rPr>
                  </w:pPr>
                  <w:r>
                    <w:rPr>
                      <w:rFonts w:hint="default" w:ascii="Times New Roman" w:hAnsi="Times New Roman" w:cs="Times New Roman" w:eastAsiaTheme="minorEastAsia"/>
                      <w:color w:val="auto"/>
                      <w:szCs w:val="21"/>
                    </w:rPr>
                    <w:t>漂洗废水</w:t>
                  </w:r>
                </w:p>
              </w:tc>
              <w:tc>
                <w:tcPr>
                  <w:tcW w:w="2314" w:type="dxa"/>
                  <w:tcBorders>
                    <w:top w:val="single" w:color="auto" w:sz="4" w:space="0"/>
                    <w:bottom w:val="single" w:color="auto" w:sz="4" w:space="0"/>
                    <w:tl2br w:val="nil"/>
                    <w:tr2bl w:val="nil"/>
                  </w:tcBorders>
                  <w:tcMar>
                    <w:top w:w="15" w:type="dxa"/>
                    <w:left w:w="15" w:type="dxa"/>
                    <w:right w:w="15" w:type="dxa"/>
                  </w:tcMar>
                  <w:vAlign w:val="center"/>
                </w:tcPr>
                <w:p w14:paraId="600A3D53">
                  <w:pPr>
                    <w:widowControl/>
                    <w:spacing w:line="260" w:lineRule="exact"/>
                    <w:jc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经管道泵入污水处理站</w:t>
                  </w:r>
                </w:p>
              </w:tc>
              <w:tc>
                <w:tcPr>
                  <w:tcW w:w="2122" w:type="dxa"/>
                  <w:vMerge w:val="restart"/>
                  <w:tcBorders>
                    <w:top w:val="single" w:color="auto" w:sz="4" w:space="0"/>
                    <w:tl2br w:val="nil"/>
                    <w:tr2bl w:val="nil"/>
                  </w:tcBorders>
                  <w:tcMar>
                    <w:top w:w="15" w:type="dxa"/>
                    <w:left w:w="15" w:type="dxa"/>
                    <w:right w:w="15" w:type="dxa"/>
                  </w:tcMar>
                  <w:vAlign w:val="center"/>
                </w:tcPr>
                <w:p w14:paraId="433EEF72">
                  <w:pPr>
                    <w:widowControl/>
                    <w:spacing w:line="260" w:lineRule="exact"/>
                    <w:jc w:val="both"/>
                    <w:rPr>
                      <w:rFonts w:hint="default" w:ascii="Times New Roman" w:hAnsi="Times New Roman" w:cs="Times New Roman" w:eastAsiaTheme="minorEastAsia"/>
                      <w:color w:val="auto"/>
                      <w:kern w:val="0"/>
                      <w:szCs w:val="21"/>
                      <w:lang w:val="en-US" w:eastAsia="zh-CN"/>
                    </w:rPr>
                  </w:pPr>
                  <w:r>
                    <w:rPr>
                      <w:rFonts w:hint="default" w:ascii="Times New Roman" w:hAnsi="Times New Roman" w:cs="Times New Roman" w:eastAsiaTheme="minorEastAsia"/>
                      <w:color w:val="auto"/>
                      <w:szCs w:val="21"/>
                    </w:rPr>
                    <w:t>pH、COD、氨氮、SS、铁、锌、</w:t>
                  </w:r>
                  <w:r>
                    <w:rPr>
                      <w:rFonts w:hint="default" w:ascii="Times New Roman" w:hAnsi="Times New Roman" w:cs="Times New Roman"/>
                      <w:color w:val="auto"/>
                    </w:rPr>
                    <w:t>总氮、</w:t>
                  </w:r>
                  <w:r>
                    <w:rPr>
                      <w:rFonts w:hint="default" w:ascii="Times New Roman" w:hAnsi="Times New Roman" w:cs="Times New Roman" w:eastAsiaTheme="minorEastAsia"/>
                      <w:color w:val="auto"/>
                      <w:szCs w:val="21"/>
                    </w:rPr>
                    <w:t>总磷、氯化物</w:t>
                  </w:r>
                  <w:r>
                    <w:rPr>
                      <w:rFonts w:hint="default" w:ascii="Times New Roman" w:hAnsi="Times New Roman" w:cs="Times New Roman" w:eastAsiaTheme="minorEastAsia"/>
                      <w:color w:val="auto"/>
                      <w:szCs w:val="21"/>
                      <w:lang w:eastAsia="zh-CN"/>
                    </w:rPr>
                    <w:t>、</w:t>
                  </w:r>
                  <w:r>
                    <w:rPr>
                      <w:rFonts w:hint="default" w:ascii="Times New Roman" w:hAnsi="Times New Roman" w:cs="Times New Roman" w:eastAsiaTheme="minorEastAsia"/>
                      <w:color w:val="auto"/>
                      <w:szCs w:val="21"/>
                      <w:lang w:val="en-US" w:eastAsia="zh-CN"/>
                    </w:rPr>
                    <w:t>阴离子表面活性剂</w:t>
                  </w:r>
                </w:p>
              </w:tc>
              <w:tc>
                <w:tcPr>
                  <w:tcW w:w="2400" w:type="dxa"/>
                  <w:tcBorders>
                    <w:top w:val="single" w:color="auto" w:sz="4" w:space="0"/>
                    <w:bottom w:val="single" w:color="auto" w:sz="4" w:space="0"/>
                    <w:tl2br w:val="nil"/>
                    <w:tr2bl w:val="nil"/>
                  </w:tcBorders>
                  <w:tcMar>
                    <w:top w:w="15" w:type="dxa"/>
                    <w:left w:w="15" w:type="dxa"/>
                    <w:right w:w="15" w:type="dxa"/>
                  </w:tcMar>
                  <w:vAlign w:val="center"/>
                </w:tcPr>
                <w:p w14:paraId="5E06E669">
                  <w:pPr>
                    <w:widowControl/>
                    <w:snapToGrid w:val="0"/>
                    <w:jc w:val="both"/>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厂区污水处理站处理后排入市政管网</w:t>
                  </w:r>
                </w:p>
              </w:tc>
              <w:tc>
                <w:tcPr>
                  <w:tcW w:w="3593" w:type="dxa"/>
                  <w:vMerge w:val="continue"/>
                  <w:tcBorders>
                    <w:tl2br w:val="nil"/>
                    <w:tr2bl w:val="nil"/>
                  </w:tcBorders>
                  <w:tcMar>
                    <w:top w:w="15" w:type="dxa"/>
                    <w:left w:w="15" w:type="dxa"/>
                    <w:right w:w="15" w:type="dxa"/>
                  </w:tcMar>
                  <w:vAlign w:val="center"/>
                </w:tcPr>
                <w:p w14:paraId="561D083B">
                  <w:pPr>
                    <w:widowControl/>
                    <w:snapToGrid w:val="0"/>
                    <w:jc w:val="both"/>
                    <w:textAlignment w:val="center"/>
                    <w:rPr>
                      <w:rFonts w:hint="default" w:ascii="Times New Roman" w:hAnsi="Times New Roman" w:cs="Times New Roman"/>
                      <w:color w:val="auto"/>
                      <w:szCs w:val="21"/>
                    </w:rPr>
                  </w:pPr>
                </w:p>
              </w:tc>
            </w:tr>
            <w:tr w14:paraId="77010E5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20" w:hRule="atLeast"/>
                <w:jc w:val="center"/>
              </w:trPr>
              <w:tc>
                <w:tcPr>
                  <w:tcW w:w="510" w:type="dxa"/>
                  <w:tcBorders>
                    <w:top w:val="single" w:color="auto" w:sz="4" w:space="0"/>
                    <w:bottom w:val="single" w:color="auto" w:sz="4" w:space="0"/>
                    <w:tl2br w:val="nil"/>
                    <w:tr2bl w:val="nil"/>
                  </w:tcBorders>
                  <w:tcMar>
                    <w:top w:w="15" w:type="dxa"/>
                    <w:left w:w="15" w:type="dxa"/>
                    <w:right w:w="15" w:type="dxa"/>
                  </w:tcMar>
                  <w:vAlign w:val="center"/>
                </w:tcPr>
                <w:p w14:paraId="179ECDDD">
                  <w:pPr>
                    <w:widowControl/>
                    <w:spacing w:line="26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W4</w:t>
                  </w:r>
                </w:p>
              </w:tc>
              <w:tc>
                <w:tcPr>
                  <w:tcW w:w="715" w:type="dxa"/>
                  <w:vMerge w:val="continue"/>
                  <w:tcBorders>
                    <w:right w:val="single" w:color="auto" w:sz="4" w:space="0"/>
                    <w:tl2br w:val="nil"/>
                    <w:tr2bl w:val="nil"/>
                  </w:tcBorders>
                  <w:tcMar>
                    <w:top w:w="15" w:type="dxa"/>
                    <w:left w:w="15" w:type="dxa"/>
                    <w:right w:w="15" w:type="dxa"/>
                  </w:tcMar>
                  <w:vAlign w:val="center"/>
                </w:tcPr>
                <w:p w14:paraId="007BEEED">
                  <w:pPr>
                    <w:widowControl/>
                    <w:spacing w:line="260" w:lineRule="exact"/>
                    <w:jc w:val="center"/>
                    <w:rPr>
                      <w:rFonts w:hint="default" w:ascii="Times New Roman" w:hAnsi="Times New Roman" w:cs="Times New Roman"/>
                      <w:color w:val="auto"/>
                      <w:kern w:val="0"/>
                      <w:szCs w:val="21"/>
                    </w:rPr>
                  </w:pPr>
                </w:p>
              </w:tc>
              <w:tc>
                <w:tcPr>
                  <w:tcW w:w="1719" w:type="dxa"/>
                  <w:tcBorders>
                    <w:top w:val="single" w:color="auto" w:sz="4" w:space="0"/>
                    <w:left w:val="single" w:color="auto" w:sz="4" w:space="0"/>
                    <w:bottom w:val="single" w:color="auto" w:sz="4" w:space="0"/>
                    <w:tl2br w:val="nil"/>
                    <w:tr2bl w:val="nil"/>
                  </w:tcBorders>
                  <w:tcMar>
                    <w:top w:w="15" w:type="dxa"/>
                    <w:left w:w="15" w:type="dxa"/>
                    <w:right w:w="15" w:type="dxa"/>
                  </w:tcMar>
                  <w:vAlign w:val="center"/>
                </w:tcPr>
                <w:p w14:paraId="02C5E345">
                  <w:pPr>
                    <w:widowControl/>
                    <w:spacing w:line="260" w:lineRule="exact"/>
                    <w:jc w:val="center"/>
                    <w:rPr>
                      <w:rFonts w:hint="default" w:ascii="Times New Roman" w:hAnsi="Times New Roman" w:cs="Times New Roman"/>
                      <w:color w:val="auto"/>
                      <w:kern w:val="0"/>
                      <w:szCs w:val="21"/>
                    </w:rPr>
                  </w:pPr>
                  <w:r>
                    <w:rPr>
                      <w:rFonts w:hint="default" w:ascii="Times New Roman" w:hAnsi="Times New Roman" w:cs="Times New Roman" w:eastAsiaTheme="minorEastAsia"/>
                      <w:color w:val="auto"/>
                      <w:szCs w:val="21"/>
                    </w:rPr>
                    <w:t>冲洗废水</w:t>
                  </w:r>
                </w:p>
              </w:tc>
              <w:tc>
                <w:tcPr>
                  <w:tcW w:w="2314" w:type="dxa"/>
                  <w:tcBorders>
                    <w:top w:val="single" w:color="auto" w:sz="4" w:space="0"/>
                    <w:bottom w:val="single" w:color="auto" w:sz="4" w:space="0"/>
                    <w:tl2br w:val="nil"/>
                    <w:tr2bl w:val="nil"/>
                  </w:tcBorders>
                  <w:tcMar>
                    <w:top w:w="15" w:type="dxa"/>
                    <w:left w:w="15" w:type="dxa"/>
                    <w:right w:w="15" w:type="dxa"/>
                  </w:tcMar>
                  <w:vAlign w:val="center"/>
                </w:tcPr>
                <w:p w14:paraId="372B47D5">
                  <w:pPr>
                    <w:widowControl/>
                    <w:spacing w:line="260" w:lineRule="exact"/>
                    <w:jc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经管道泵入污水处理站</w:t>
                  </w:r>
                </w:p>
              </w:tc>
              <w:tc>
                <w:tcPr>
                  <w:tcW w:w="2122" w:type="dxa"/>
                  <w:vMerge w:val="continue"/>
                  <w:tcBorders>
                    <w:tl2br w:val="nil"/>
                    <w:tr2bl w:val="nil"/>
                  </w:tcBorders>
                  <w:tcMar>
                    <w:top w:w="15" w:type="dxa"/>
                    <w:left w:w="15" w:type="dxa"/>
                    <w:right w:w="15" w:type="dxa"/>
                  </w:tcMar>
                  <w:vAlign w:val="center"/>
                </w:tcPr>
                <w:p w14:paraId="6F5EB454">
                  <w:pPr>
                    <w:widowControl/>
                    <w:spacing w:line="260" w:lineRule="exact"/>
                    <w:jc w:val="center"/>
                    <w:rPr>
                      <w:rFonts w:hint="default" w:ascii="Times New Roman" w:hAnsi="Times New Roman" w:cs="Times New Roman"/>
                      <w:color w:val="auto"/>
                      <w:kern w:val="0"/>
                      <w:szCs w:val="21"/>
                    </w:rPr>
                  </w:pPr>
                </w:p>
              </w:tc>
              <w:tc>
                <w:tcPr>
                  <w:tcW w:w="2400" w:type="dxa"/>
                  <w:tcBorders>
                    <w:top w:val="single" w:color="auto" w:sz="4" w:space="0"/>
                    <w:bottom w:val="single" w:color="auto" w:sz="4" w:space="0"/>
                    <w:tl2br w:val="nil"/>
                    <w:tr2bl w:val="nil"/>
                  </w:tcBorders>
                  <w:tcMar>
                    <w:top w:w="15" w:type="dxa"/>
                    <w:left w:w="15" w:type="dxa"/>
                    <w:right w:w="15" w:type="dxa"/>
                  </w:tcMar>
                  <w:vAlign w:val="center"/>
                </w:tcPr>
                <w:p w14:paraId="4D290C3D">
                  <w:pPr>
                    <w:widowControl/>
                    <w:snapToGrid w:val="0"/>
                    <w:jc w:val="both"/>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厂区污水处理站处理后排入市政管网</w:t>
                  </w:r>
                </w:p>
              </w:tc>
              <w:tc>
                <w:tcPr>
                  <w:tcW w:w="3593" w:type="dxa"/>
                  <w:vMerge w:val="continue"/>
                  <w:tcBorders>
                    <w:tl2br w:val="nil"/>
                    <w:tr2bl w:val="nil"/>
                  </w:tcBorders>
                  <w:tcMar>
                    <w:top w:w="15" w:type="dxa"/>
                    <w:left w:w="15" w:type="dxa"/>
                    <w:right w:w="15" w:type="dxa"/>
                  </w:tcMar>
                  <w:vAlign w:val="center"/>
                </w:tcPr>
                <w:p w14:paraId="71BAF09E">
                  <w:pPr>
                    <w:widowControl/>
                    <w:snapToGrid w:val="0"/>
                    <w:jc w:val="both"/>
                    <w:textAlignment w:val="center"/>
                    <w:rPr>
                      <w:rFonts w:hint="default" w:ascii="Times New Roman" w:hAnsi="Times New Roman" w:cs="Times New Roman"/>
                      <w:color w:val="auto"/>
                      <w:kern w:val="0"/>
                      <w:szCs w:val="21"/>
                      <w:lang w:bidi="ar"/>
                    </w:rPr>
                  </w:pPr>
                </w:p>
              </w:tc>
            </w:tr>
            <w:tr w14:paraId="325380E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20" w:hRule="atLeast"/>
                <w:jc w:val="center"/>
              </w:trPr>
              <w:tc>
                <w:tcPr>
                  <w:tcW w:w="510" w:type="dxa"/>
                  <w:tcBorders>
                    <w:top w:val="single" w:color="auto" w:sz="4" w:space="0"/>
                    <w:tl2br w:val="nil"/>
                    <w:tr2bl w:val="nil"/>
                  </w:tcBorders>
                  <w:tcMar>
                    <w:top w:w="15" w:type="dxa"/>
                    <w:left w:w="15" w:type="dxa"/>
                    <w:right w:w="15" w:type="dxa"/>
                  </w:tcMar>
                  <w:vAlign w:val="center"/>
                </w:tcPr>
                <w:p w14:paraId="3C8FC8E0">
                  <w:pPr>
                    <w:widowControl/>
                    <w:spacing w:line="26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szCs w:val="21"/>
                    </w:rPr>
                    <w:t>W5</w:t>
                  </w:r>
                </w:p>
              </w:tc>
              <w:tc>
                <w:tcPr>
                  <w:tcW w:w="715" w:type="dxa"/>
                  <w:vMerge w:val="continue"/>
                  <w:tcBorders>
                    <w:right w:val="single" w:color="auto" w:sz="4" w:space="0"/>
                    <w:tl2br w:val="nil"/>
                    <w:tr2bl w:val="nil"/>
                  </w:tcBorders>
                  <w:tcMar>
                    <w:top w:w="15" w:type="dxa"/>
                    <w:left w:w="15" w:type="dxa"/>
                    <w:right w:w="15" w:type="dxa"/>
                  </w:tcMar>
                  <w:vAlign w:val="center"/>
                </w:tcPr>
                <w:p w14:paraId="1F28A8E8">
                  <w:pPr>
                    <w:widowControl/>
                    <w:spacing w:line="260" w:lineRule="exact"/>
                    <w:jc w:val="center"/>
                    <w:rPr>
                      <w:rFonts w:hint="default" w:ascii="Times New Roman" w:hAnsi="Times New Roman" w:cs="Times New Roman"/>
                      <w:color w:val="auto"/>
                      <w:kern w:val="0"/>
                      <w:szCs w:val="21"/>
                    </w:rPr>
                  </w:pPr>
                </w:p>
              </w:tc>
              <w:tc>
                <w:tcPr>
                  <w:tcW w:w="1719" w:type="dxa"/>
                  <w:tcBorders>
                    <w:top w:val="single" w:color="auto" w:sz="4" w:space="0"/>
                    <w:left w:val="single" w:color="auto" w:sz="4" w:space="0"/>
                    <w:bottom w:val="single" w:color="auto" w:sz="4" w:space="0"/>
                    <w:tl2br w:val="nil"/>
                    <w:tr2bl w:val="nil"/>
                  </w:tcBorders>
                  <w:tcMar>
                    <w:top w:w="15" w:type="dxa"/>
                    <w:left w:w="15" w:type="dxa"/>
                    <w:right w:w="15" w:type="dxa"/>
                  </w:tcMar>
                  <w:vAlign w:val="center"/>
                </w:tcPr>
                <w:p w14:paraId="256AE359">
                  <w:pPr>
                    <w:widowControl/>
                    <w:spacing w:line="260" w:lineRule="exact"/>
                    <w:jc w:val="center"/>
                    <w:rPr>
                      <w:rFonts w:hint="default" w:ascii="Times New Roman" w:hAnsi="Times New Roman" w:cs="Times New Roman"/>
                      <w:color w:val="auto"/>
                      <w:kern w:val="0"/>
                      <w:szCs w:val="21"/>
                    </w:rPr>
                  </w:pPr>
                  <w:r>
                    <w:rPr>
                      <w:rFonts w:hint="default" w:ascii="Times New Roman" w:hAnsi="Times New Roman" w:cs="Times New Roman" w:eastAsiaTheme="minorEastAsia"/>
                      <w:color w:val="auto"/>
                      <w:szCs w:val="21"/>
                    </w:rPr>
                    <w:t>中和废液</w:t>
                  </w:r>
                </w:p>
              </w:tc>
              <w:tc>
                <w:tcPr>
                  <w:tcW w:w="2314" w:type="dxa"/>
                  <w:tcBorders>
                    <w:top w:val="single" w:color="auto" w:sz="4" w:space="0"/>
                    <w:bottom w:val="single" w:color="auto" w:sz="4" w:space="0"/>
                    <w:tl2br w:val="nil"/>
                    <w:tr2bl w:val="nil"/>
                  </w:tcBorders>
                  <w:tcMar>
                    <w:top w:w="15" w:type="dxa"/>
                    <w:left w:w="15" w:type="dxa"/>
                    <w:right w:w="15" w:type="dxa"/>
                  </w:tcMar>
                  <w:vAlign w:val="center"/>
                </w:tcPr>
                <w:p w14:paraId="2EF9F443">
                  <w:pPr>
                    <w:widowControl/>
                    <w:spacing w:line="26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经管道泵入污水处理站</w:t>
                  </w:r>
                </w:p>
              </w:tc>
              <w:tc>
                <w:tcPr>
                  <w:tcW w:w="2122" w:type="dxa"/>
                  <w:vMerge w:val="continue"/>
                  <w:tcBorders>
                    <w:bottom w:val="single" w:color="auto" w:sz="4" w:space="0"/>
                    <w:tl2br w:val="nil"/>
                    <w:tr2bl w:val="nil"/>
                  </w:tcBorders>
                  <w:tcMar>
                    <w:top w:w="15" w:type="dxa"/>
                    <w:left w:w="15" w:type="dxa"/>
                    <w:right w:w="15" w:type="dxa"/>
                  </w:tcMar>
                  <w:vAlign w:val="center"/>
                </w:tcPr>
                <w:p w14:paraId="12B83930">
                  <w:pPr>
                    <w:widowControl/>
                    <w:spacing w:line="260" w:lineRule="exact"/>
                    <w:jc w:val="center"/>
                    <w:rPr>
                      <w:rFonts w:hint="default" w:ascii="Times New Roman" w:hAnsi="Times New Roman" w:cs="Times New Roman"/>
                      <w:color w:val="auto"/>
                      <w:kern w:val="0"/>
                      <w:szCs w:val="21"/>
                    </w:rPr>
                  </w:pPr>
                </w:p>
              </w:tc>
              <w:tc>
                <w:tcPr>
                  <w:tcW w:w="2400" w:type="dxa"/>
                  <w:tcBorders>
                    <w:top w:val="single" w:color="auto" w:sz="4" w:space="0"/>
                    <w:bottom w:val="single" w:color="auto" w:sz="4" w:space="0"/>
                    <w:tl2br w:val="nil"/>
                    <w:tr2bl w:val="nil"/>
                  </w:tcBorders>
                  <w:tcMar>
                    <w:top w:w="15" w:type="dxa"/>
                    <w:left w:w="15" w:type="dxa"/>
                    <w:right w:w="15" w:type="dxa"/>
                  </w:tcMar>
                  <w:vAlign w:val="center"/>
                </w:tcPr>
                <w:p w14:paraId="79E24994">
                  <w:pPr>
                    <w:widowControl/>
                    <w:snapToGrid w:val="0"/>
                    <w:jc w:val="both"/>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厂区污水处理站处理后排入市政管网</w:t>
                  </w:r>
                </w:p>
              </w:tc>
              <w:tc>
                <w:tcPr>
                  <w:tcW w:w="3593" w:type="dxa"/>
                  <w:vMerge w:val="continue"/>
                  <w:tcBorders>
                    <w:tl2br w:val="nil"/>
                    <w:tr2bl w:val="nil"/>
                  </w:tcBorders>
                  <w:tcMar>
                    <w:top w:w="15" w:type="dxa"/>
                    <w:left w:w="15" w:type="dxa"/>
                    <w:right w:w="15" w:type="dxa"/>
                  </w:tcMar>
                  <w:vAlign w:val="center"/>
                </w:tcPr>
                <w:p w14:paraId="080421F1">
                  <w:pPr>
                    <w:widowControl/>
                    <w:snapToGrid w:val="0"/>
                    <w:jc w:val="both"/>
                    <w:textAlignment w:val="center"/>
                    <w:rPr>
                      <w:rFonts w:hint="default" w:ascii="Times New Roman" w:hAnsi="Times New Roman" w:cs="Times New Roman"/>
                      <w:color w:val="auto"/>
                      <w:kern w:val="0"/>
                      <w:szCs w:val="21"/>
                      <w:lang w:bidi="ar"/>
                    </w:rPr>
                  </w:pPr>
                </w:p>
              </w:tc>
            </w:tr>
            <w:tr w14:paraId="286DC19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20" w:hRule="atLeast"/>
                <w:jc w:val="center"/>
              </w:trPr>
              <w:tc>
                <w:tcPr>
                  <w:tcW w:w="510" w:type="dxa"/>
                  <w:tcBorders>
                    <w:top w:val="single" w:color="auto" w:sz="4" w:space="0"/>
                    <w:tl2br w:val="nil"/>
                    <w:tr2bl w:val="nil"/>
                  </w:tcBorders>
                  <w:tcMar>
                    <w:top w:w="15" w:type="dxa"/>
                    <w:left w:w="15" w:type="dxa"/>
                    <w:right w:w="15" w:type="dxa"/>
                  </w:tcMar>
                  <w:vAlign w:val="center"/>
                </w:tcPr>
                <w:p w14:paraId="0AEFAF02">
                  <w:pPr>
                    <w:widowControl/>
                    <w:spacing w:line="26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W6</w:t>
                  </w:r>
                </w:p>
              </w:tc>
              <w:tc>
                <w:tcPr>
                  <w:tcW w:w="715" w:type="dxa"/>
                  <w:vMerge w:val="continue"/>
                  <w:tcBorders>
                    <w:bottom w:val="single" w:color="auto" w:sz="4" w:space="0"/>
                    <w:right w:val="single" w:color="auto" w:sz="4" w:space="0"/>
                    <w:tl2br w:val="nil"/>
                    <w:tr2bl w:val="nil"/>
                  </w:tcBorders>
                  <w:tcMar>
                    <w:top w:w="15" w:type="dxa"/>
                    <w:left w:w="15" w:type="dxa"/>
                    <w:right w:w="15" w:type="dxa"/>
                  </w:tcMar>
                  <w:vAlign w:val="center"/>
                </w:tcPr>
                <w:p w14:paraId="5A739898">
                  <w:pPr>
                    <w:widowControl/>
                    <w:spacing w:line="260" w:lineRule="exact"/>
                    <w:jc w:val="center"/>
                    <w:rPr>
                      <w:rFonts w:hint="default" w:ascii="Times New Roman" w:hAnsi="Times New Roman" w:cs="Times New Roman"/>
                      <w:color w:val="auto"/>
                      <w:kern w:val="0"/>
                      <w:szCs w:val="21"/>
                    </w:rPr>
                  </w:pPr>
                </w:p>
              </w:tc>
              <w:tc>
                <w:tcPr>
                  <w:tcW w:w="1719" w:type="dxa"/>
                  <w:tcBorders>
                    <w:top w:val="single" w:color="auto" w:sz="4" w:space="0"/>
                    <w:left w:val="single" w:color="auto" w:sz="4" w:space="0"/>
                    <w:bottom w:val="single" w:color="auto" w:sz="4" w:space="0"/>
                    <w:tl2br w:val="nil"/>
                    <w:tr2bl w:val="nil"/>
                  </w:tcBorders>
                  <w:tcMar>
                    <w:top w:w="15" w:type="dxa"/>
                    <w:left w:w="15" w:type="dxa"/>
                    <w:right w:w="15" w:type="dxa"/>
                  </w:tcMar>
                  <w:vAlign w:val="center"/>
                </w:tcPr>
                <w:p w14:paraId="51B48CAA">
                  <w:pPr>
                    <w:widowControl/>
                    <w:spacing w:line="26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color w:val="auto"/>
                      <w:kern w:val="0"/>
                      <w:szCs w:val="21"/>
                    </w:rPr>
                    <w:t>喷淋塔废水</w:t>
                  </w:r>
                </w:p>
              </w:tc>
              <w:tc>
                <w:tcPr>
                  <w:tcW w:w="2314" w:type="dxa"/>
                  <w:tcBorders>
                    <w:top w:val="single" w:color="auto" w:sz="4" w:space="0"/>
                    <w:bottom w:val="single" w:color="auto" w:sz="4" w:space="0"/>
                    <w:tl2br w:val="nil"/>
                    <w:tr2bl w:val="nil"/>
                  </w:tcBorders>
                  <w:tcMar>
                    <w:top w:w="15" w:type="dxa"/>
                    <w:left w:w="15" w:type="dxa"/>
                    <w:right w:w="15" w:type="dxa"/>
                  </w:tcMar>
                  <w:vAlign w:val="center"/>
                </w:tcPr>
                <w:p w14:paraId="5F3DEF57">
                  <w:pPr>
                    <w:widowControl/>
                    <w:spacing w:line="26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经管道泵入污水处理站</w:t>
                  </w:r>
                </w:p>
              </w:tc>
              <w:tc>
                <w:tcPr>
                  <w:tcW w:w="2122" w:type="dxa"/>
                  <w:tcBorders>
                    <w:bottom w:val="single" w:color="auto" w:sz="4" w:space="0"/>
                    <w:tl2br w:val="nil"/>
                    <w:tr2bl w:val="nil"/>
                  </w:tcBorders>
                  <w:tcMar>
                    <w:top w:w="15" w:type="dxa"/>
                    <w:left w:w="15" w:type="dxa"/>
                    <w:right w:w="15" w:type="dxa"/>
                  </w:tcMar>
                  <w:vAlign w:val="center"/>
                </w:tcPr>
                <w:p w14:paraId="78AB5299">
                  <w:pPr>
                    <w:widowControl/>
                    <w:spacing w:line="26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SS、COD</w:t>
                  </w:r>
                </w:p>
              </w:tc>
              <w:tc>
                <w:tcPr>
                  <w:tcW w:w="2400" w:type="dxa"/>
                  <w:tcBorders>
                    <w:top w:val="single" w:color="auto" w:sz="4" w:space="0"/>
                    <w:bottom w:val="single" w:color="auto" w:sz="4" w:space="0"/>
                    <w:tl2br w:val="nil"/>
                    <w:tr2bl w:val="nil"/>
                  </w:tcBorders>
                  <w:tcMar>
                    <w:top w:w="15" w:type="dxa"/>
                    <w:left w:w="15" w:type="dxa"/>
                    <w:right w:w="15" w:type="dxa"/>
                  </w:tcMar>
                  <w:vAlign w:val="center"/>
                </w:tcPr>
                <w:p w14:paraId="5C567DB9">
                  <w:pPr>
                    <w:widowControl/>
                    <w:snapToGrid w:val="0"/>
                    <w:jc w:val="both"/>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厂区污水处理站处理后市政管网</w:t>
                  </w:r>
                </w:p>
              </w:tc>
              <w:tc>
                <w:tcPr>
                  <w:tcW w:w="3593" w:type="dxa"/>
                  <w:vMerge w:val="continue"/>
                  <w:tcBorders>
                    <w:bottom w:val="single" w:color="auto" w:sz="4" w:space="0"/>
                    <w:tl2br w:val="nil"/>
                    <w:tr2bl w:val="nil"/>
                  </w:tcBorders>
                  <w:tcMar>
                    <w:top w:w="15" w:type="dxa"/>
                    <w:left w:w="15" w:type="dxa"/>
                    <w:right w:w="15" w:type="dxa"/>
                  </w:tcMar>
                  <w:vAlign w:val="center"/>
                </w:tcPr>
                <w:p w14:paraId="665B6821">
                  <w:pPr>
                    <w:widowControl/>
                    <w:snapToGrid w:val="0"/>
                    <w:jc w:val="both"/>
                    <w:textAlignment w:val="center"/>
                    <w:rPr>
                      <w:rFonts w:hint="default" w:ascii="Times New Roman" w:hAnsi="Times New Roman" w:cs="Times New Roman"/>
                      <w:color w:val="auto"/>
                      <w:kern w:val="0"/>
                      <w:szCs w:val="21"/>
                      <w:lang w:bidi="ar"/>
                    </w:rPr>
                  </w:pPr>
                </w:p>
              </w:tc>
            </w:tr>
            <w:tr w14:paraId="1F3F9DD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20" w:hRule="atLeast"/>
                <w:jc w:val="center"/>
              </w:trPr>
              <w:tc>
                <w:tcPr>
                  <w:tcW w:w="510" w:type="dxa"/>
                  <w:tcBorders>
                    <w:tl2br w:val="nil"/>
                    <w:tr2bl w:val="nil"/>
                  </w:tcBorders>
                  <w:tcMar>
                    <w:top w:w="15" w:type="dxa"/>
                    <w:left w:w="15" w:type="dxa"/>
                    <w:right w:w="15" w:type="dxa"/>
                  </w:tcMar>
                  <w:vAlign w:val="center"/>
                </w:tcPr>
                <w:p w14:paraId="6A7677D7">
                  <w:pPr>
                    <w:widowControl/>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W7</w:t>
                  </w:r>
                </w:p>
              </w:tc>
              <w:tc>
                <w:tcPr>
                  <w:tcW w:w="2434" w:type="dxa"/>
                  <w:gridSpan w:val="2"/>
                  <w:tcBorders>
                    <w:top w:val="single" w:color="auto" w:sz="4" w:space="0"/>
                    <w:tl2br w:val="nil"/>
                    <w:tr2bl w:val="nil"/>
                  </w:tcBorders>
                  <w:tcMar>
                    <w:top w:w="15" w:type="dxa"/>
                    <w:left w:w="15" w:type="dxa"/>
                    <w:right w:w="15" w:type="dxa"/>
                  </w:tcMar>
                  <w:vAlign w:val="center"/>
                </w:tcPr>
                <w:p w14:paraId="79F22844">
                  <w:pPr>
                    <w:widowControl/>
                    <w:spacing w:line="260" w:lineRule="exact"/>
                    <w:jc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rPr>
                    <w:t>软水制备废水</w:t>
                  </w:r>
                </w:p>
              </w:tc>
              <w:tc>
                <w:tcPr>
                  <w:tcW w:w="2314" w:type="dxa"/>
                  <w:tcBorders>
                    <w:top w:val="single" w:color="auto" w:sz="4" w:space="0"/>
                    <w:tl2br w:val="nil"/>
                    <w:tr2bl w:val="nil"/>
                  </w:tcBorders>
                  <w:tcMar>
                    <w:top w:w="15" w:type="dxa"/>
                    <w:left w:w="15" w:type="dxa"/>
                    <w:right w:w="15" w:type="dxa"/>
                  </w:tcMar>
                  <w:vAlign w:val="center"/>
                </w:tcPr>
                <w:p w14:paraId="0CE496A5">
                  <w:pPr>
                    <w:widowControl/>
                    <w:spacing w:line="260" w:lineRule="exact"/>
                    <w:jc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设置收集池</w:t>
                  </w:r>
                </w:p>
              </w:tc>
              <w:tc>
                <w:tcPr>
                  <w:tcW w:w="2122" w:type="dxa"/>
                  <w:tcBorders>
                    <w:top w:val="single" w:color="auto" w:sz="4" w:space="0"/>
                    <w:bottom w:val="single" w:color="auto" w:sz="4" w:space="0"/>
                    <w:tl2br w:val="nil"/>
                    <w:tr2bl w:val="nil"/>
                  </w:tcBorders>
                  <w:tcMar>
                    <w:top w:w="15" w:type="dxa"/>
                    <w:left w:w="15" w:type="dxa"/>
                    <w:right w:w="15" w:type="dxa"/>
                  </w:tcMar>
                  <w:vAlign w:val="center"/>
                </w:tcPr>
                <w:p w14:paraId="46528B0B">
                  <w:pPr>
                    <w:widowControl/>
                    <w:spacing w:line="260" w:lineRule="exact"/>
                    <w:jc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rPr>
                    <w:t>SS、COD</w:t>
                  </w:r>
                </w:p>
              </w:tc>
              <w:tc>
                <w:tcPr>
                  <w:tcW w:w="2400" w:type="dxa"/>
                  <w:tcBorders>
                    <w:top w:val="single" w:color="auto" w:sz="4" w:space="0"/>
                    <w:bottom w:val="single" w:color="auto" w:sz="4" w:space="0"/>
                    <w:tl2br w:val="nil"/>
                    <w:tr2bl w:val="nil"/>
                  </w:tcBorders>
                  <w:tcMar>
                    <w:top w:w="15" w:type="dxa"/>
                    <w:left w:w="15" w:type="dxa"/>
                    <w:right w:w="15" w:type="dxa"/>
                  </w:tcMar>
                  <w:vAlign w:val="center"/>
                </w:tcPr>
                <w:p w14:paraId="5A5D3AF0">
                  <w:pPr>
                    <w:widowControl/>
                    <w:snapToGrid w:val="0"/>
                    <w:jc w:val="both"/>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污水处理站处理后排入市政管网</w:t>
                  </w:r>
                </w:p>
              </w:tc>
              <w:tc>
                <w:tcPr>
                  <w:tcW w:w="3593" w:type="dxa"/>
                  <w:tcBorders>
                    <w:top w:val="single" w:color="auto" w:sz="4" w:space="0"/>
                    <w:tl2br w:val="nil"/>
                    <w:tr2bl w:val="nil"/>
                  </w:tcBorders>
                  <w:tcMar>
                    <w:top w:w="15" w:type="dxa"/>
                    <w:left w:w="15" w:type="dxa"/>
                    <w:right w:w="15" w:type="dxa"/>
                  </w:tcMar>
                  <w:vAlign w:val="center"/>
                </w:tcPr>
                <w:p w14:paraId="3891C00F">
                  <w:pPr>
                    <w:widowControl/>
                    <w:snapToGrid w:val="0"/>
                    <w:jc w:val="both"/>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沉淀</w:t>
                  </w:r>
                  <w:r>
                    <w:rPr>
                      <w:rFonts w:hint="default" w:ascii="Times New Roman" w:hAnsi="Times New Roman" w:cs="Times New Roman"/>
                      <w:color w:val="auto"/>
                      <w:szCs w:val="21"/>
                    </w:rPr>
                    <w:t>处理后排入市政管网</w:t>
                  </w:r>
                </w:p>
              </w:tc>
            </w:tr>
            <w:tr w14:paraId="55A67E3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20" w:hRule="atLeast"/>
                <w:jc w:val="center"/>
              </w:trPr>
              <w:tc>
                <w:tcPr>
                  <w:tcW w:w="510" w:type="dxa"/>
                  <w:tcBorders>
                    <w:tl2br w:val="nil"/>
                    <w:tr2bl w:val="nil"/>
                  </w:tcBorders>
                  <w:tcMar>
                    <w:top w:w="15" w:type="dxa"/>
                    <w:left w:w="15" w:type="dxa"/>
                    <w:right w:w="15" w:type="dxa"/>
                  </w:tcMar>
                  <w:vAlign w:val="center"/>
                </w:tcPr>
                <w:p w14:paraId="4A1888D0">
                  <w:pPr>
                    <w:widowControl/>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W8</w:t>
                  </w:r>
                </w:p>
              </w:tc>
              <w:tc>
                <w:tcPr>
                  <w:tcW w:w="2434" w:type="dxa"/>
                  <w:gridSpan w:val="2"/>
                  <w:tcBorders>
                    <w:tl2br w:val="nil"/>
                    <w:tr2bl w:val="nil"/>
                  </w:tcBorders>
                  <w:shd w:val="clear" w:color="auto" w:fill="auto"/>
                  <w:tcMar>
                    <w:top w:w="15" w:type="dxa"/>
                    <w:left w:w="15" w:type="dxa"/>
                    <w:right w:w="15" w:type="dxa"/>
                  </w:tcMar>
                  <w:vAlign w:val="center"/>
                </w:tcPr>
                <w:p w14:paraId="259209DE">
                  <w:pPr>
                    <w:widowControl/>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生活污水</w:t>
                  </w:r>
                </w:p>
              </w:tc>
              <w:tc>
                <w:tcPr>
                  <w:tcW w:w="2314" w:type="dxa"/>
                  <w:tcBorders>
                    <w:tl2br w:val="nil"/>
                    <w:tr2bl w:val="nil"/>
                  </w:tcBorders>
                  <w:shd w:val="clear" w:color="auto" w:fill="auto"/>
                  <w:tcMar>
                    <w:top w:w="15" w:type="dxa"/>
                    <w:left w:w="15" w:type="dxa"/>
                    <w:right w:w="15" w:type="dxa"/>
                  </w:tcMar>
                  <w:vAlign w:val="center"/>
                </w:tcPr>
                <w:p w14:paraId="77D267C2">
                  <w:pPr>
                    <w:widowControl/>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生活污水管网</w:t>
                  </w:r>
                </w:p>
              </w:tc>
              <w:tc>
                <w:tcPr>
                  <w:tcW w:w="2122" w:type="dxa"/>
                  <w:tcBorders>
                    <w:tl2br w:val="nil"/>
                    <w:tr2bl w:val="nil"/>
                  </w:tcBorders>
                  <w:shd w:val="clear" w:color="auto" w:fill="auto"/>
                  <w:tcMar>
                    <w:top w:w="15" w:type="dxa"/>
                    <w:left w:w="15" w:type="dxa"/>
                    <w:right w:w="15" w:type="dxa"/>
                  </w:tcMar>
                  <w:vAlign w:val="center"/>
                </w:tcPr>
                <w:p w14:paraId="0BC5E1E7">
                  <w:pPr>
                    <w:widowControl/>
                    <w:adjustRightInd w:val="0"/>
                    <w:snapToGrid w:val="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pH、COD、SS、氨氮、BOD</w:t>
                  </w:r>
                  <w:r>
                    <w:rPr>
                      <w:rFonts w:hint="default" w:ascii="Times New Roman" w:hAnsi="Times New Roman" w:cs="Times New Roman"/>
                      <w:color w:val="auto"/>
                      <w:szCs w:val="21"/>
                      <w:vertAlign w:val="subscript"/>
                    </w:rPr>
                    <w:t>5</w:t>
                  </w:r>
                </w:p>
              </w:tc>
              <w:tc>
                <w:tcPr>
                  <w:tcW w:w="2400" w:type="dxa"/>
                  <w:tcBorders>
                    <w:tl2br w:val="nil"/>
                    <w:tr2bl w:val="nil"/>
                  </w:tcBorders>
                  <w:shd w:val="clear" w:color="auto" w:fill="auto"/>
                  <w:tcMar>
                    <w:top w:w="15" w:type="dxa"/>
                    <w:left w:w="15" w:type="dxa"/>
                    <w:right w:w="15" w:type="dxa"/>
                  </w:tcMar>
                  <w:vAlign w:val="center"/>
                </w:tcPr>
                <w:p w14:paraId="5CA9BD78">
                  <w:pPr>
                    <w:widowControl/>
                    <w:snapToGrid w:val="0"/>
                    <w:jc w:val="both"/>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市政管网</w:t>
                  </w:r>
                </w:p>
              </w:tc>
              <w:tc>
                <w:tcPr>
                  <w:tcW w:w="3593" w:type="dxa"/>
                  <w:tcBorders>
                    <w:tl2br w:val="nil"/>
                    <w:tr2bl w:val="nil"/>
                  </w:tcBorders>
                  <w:shd w:val="clear" w:color="auto" w:fill="auto"/>
                  <w:tcMar>
                    <w:top w:w="15" w:type="dxa"/>
                    <w:left w:w="15" w:type="dxa"/>
                    <w:right w:w="15" w:type="dxa"/>
                  </w:tcMar>
                  <w:vAlign w:val="center"/>
                </w:tcPr>
                <w:p w14:paraId="1C7C8333">
                  <w:pPr>
                    <w:widowControl/>
                    <w:snapToGrid w:val="0"/>
                    <w:jc w:val="both"/>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化粪池处理后排入市政管网</w:t>
                  </w:r>
                </w:p>
              </w:tc>
            </w:tr>
            <w:tr w14:paraId="69358D9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20" w:hRule="atLeast"/>
                <w:jc w:val="center"/>
              </w:trPr>
              <w:tc>
                <w:tcPr>
                  <w:tcW w:w="510" w:type="dxa"/>
                  <w:tcBorders>
                    <w:tl2br w:val="nil"/>
                    <w:tr2bl w:val="nil"/>
                  </w:tcBorders>
                  <w:tcMar>
                    <w:top w:w="15" w:type="dxa"/>
                    <w:left w:w="15" w:type="dxa"/>
                    <w:right w:w="15" w:type="dxa"/>
                  </w:tcMar>
                  <w:vAlign w:val="center"/>
                </w:tcPr>
                <w:p w14:paraId="195328E8">
                  <w:pPr>
                    <w:widowControl/>
                    <w:spacing w:line="26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W9</w:t>
                  </w:r>
                </w:p>
              </w:tc>
              <w:tc>
                <w:tcPr>
                  <w:tcW w:w="2434" w:type="dxa"/>
                  <w:gridSpan w:val="2"/>
                  <w:tcBorders>
                    <w:tl2br w:val="nil"/>
                    <w:tr2bl w:val="nil"/>
                  </w:tcBorders>
                  <w:shd w:val="clear" w:color="auto" w:fill="auto"/>
                  <w:tcMar>
                    <w:top w:w="15" w:type="dxa"/>
                    <w:left w:w="15" w:type="dxa"/>
                    <w:right w:w="15" w:type="dxa"/>
                  </w:tcMar>
                  <w:vAlign w:val="center"/>
                </w:tcPr>
                <w:p w14:paraId="2D138897">
                  <w:pPr>
                    <w:widowControl/>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初期雨水</w:t>
                  </w:r>
                </w:p>
              </w:tc>
              <w:tc>
                <w:tcPr>
                  <w:tcW w:w="2314" w:type="dxa"/>
                  <w:tcBorders>
                    <w:tl2br w:val="nil"/>
                    <w:tr2bl w:val="nil"/>
                  </w:tcBorders>
                  <w:shd w:val="clear" w:color="auto" w:fill="auto"/>
                  <w:tcMar>
                    <w:top w:w="15" w:type="dxa"/>
                    <w:left w:w="15" w:type="dxa"/>
                    <w:right w:w="15" w:type="dxa"/>
                  </w:tcMar>
                  <w:vAlign w:val="center"/>
                </w:tcPr>
                <w:p w14:paraId="61EFE145">
                  <w:pPr>
                    <w:widowControl/>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雨水管道</w:t>
                  </w:r>
                </w:p>
              </w:tc>
              <w:tc>
                <w:tcPr>
                  <w:tcW w:w="2122" w:type="dxa"/>
                  <w:tcBorders>
                    <w:tl2br w:val="nil"/>
                    <w:tr2bl w:val="nil"/>
                  </w:tcBorders>
                  <w:shd w:val="clear" w:color="auto" w:fill="auto"/>
                  <w:tcMar>
                    <w:top w:w="15" w:type="dxa"/>
                    <w:left w:w="15" w:type="dxa"/>
                    <w:right w:w="15" w:type="dxa"/>
                  </w:tcMar>
                  <w:vAlign w:val="center"/>
                </w:tcPr>
                <w:p w14:paraId="5FA06597">
                  <w:pPr>
                    <w:widowControl/>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pH、SS、COD</w:t>
                  </w:r>
                </w:p>
              </w:tc>
              <w:tc>
                <w:tcPr>
                  <w:tcW w:w="2400" w:type="dxa"/>
                  <w:tcBorders>
                    <w:tl2br w:val="nil"/>
                    <w:tr2bl w:val="nil"/>
                  </w:tcBorders>
                  <w:shd w:val="clear" w:color="auto" w:fill="auto"/>
                  <w:tcMar>
                    <w:top w:w="15" w:type="dxa"/>
                    <w:left w:w="15" w:type="dxa"/>
                    <w:right w:w="15" w:type="dxa"/>
                  </w:tcMar>
                  <w:vAlign w:val="center"/>
                </w:tcPr>
                <w:p w14:paraId="5A658862">
                  <w:pPr>
                    <w:widowControl/>
                    <w:snapToGrid w:val="0"/>
                    <w:jc w:val="both"/>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市政雨水管网</w:t>
                  </w:r>
                </w:p>
              </w:tc>
              <w:tc>
                <w:tcPr>
                  <w:tcW w:w="3593" w:type="dxa"/>
                  <w:tcBorders>
                    <w:tl2br w:val="nil"/>
                    <w:tr2bl w:val="nil"/>
                  </w:tcBorders>
                  <w:shd w:val="clear" w:color="auto" w:fill="auto"/>
                  <w:tcMar>
                    <w:top w:w="15" w:type="dxa"/>
                    <w:left w:w="15" w:type="dxa"/>
                    <w:right w:w="15" w:type="dxa"/>
                  </w:tcMar>
                  <w:vAlign w:val="center"/>
                </w:tcPr>
                <w:p w14:paraId="376C4B7C">
                  <w:pPr>
                    <w:widowControl/>
                    <w:snapToGrid w:val="0"/>
                    <w:jc w:val="both"/>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经沉淀+过滤处理后排入</w:t>
                  </w:r>
                  <w:r>
                    <w:rPr>
                      <w:rFonts w:hint="default" w:ascii="Times New Roman" w:hAnsi="Times New Roman" w:cs="Times New Roman" w:eastAsiaTheme="minorEastAsia"/>
                      <w:color w:val="auto"/>
                      <w:szCs w:val="21"/>
                    </w:rPr>
                    <w:t>市政雨水管道</w:t>
                  </w:r>
                </w:p>
              </w:tc>
            </w:tr>
          </w:tbl>
          <w:p w14:paraId="31F75B0E">
            <w:pPr>
              <w:pStyle w:val="5"/>
              <w:spacing w:before="189" w:after="189" w:afterLines="50" w:afterAutospacing="0" w:line="240" w:lineRule="auto"/>
              <w:outlineLvl w:val="2"/>
              <w:rPr>
                <w:rFonts w:hint="default" w:ascii="Times New Roman" w:hAnsi="Times New Roman" w:cs="Times New Roman"/>
                <w:color w:val="auto"/>
              </w:rPr>
            </w:pPr>
          </w:p>
        </w:tc>
      </w:tr>
    </w:tbl>
    <w:p w14:paraId="6635EAD5">
      <w:pPr>
        <w:rPr>
          <w:rFonts w:hint="default" w:ascii="Times New Roman" w:hAnsi="Times New Roman" w:cs="Times New Roman"/>
          <w:color w:val="auto"/>
        </w:rPr>
      </w:pPr>
    </w:p>
    <w:p w14:paraId="0200415E">
      <w:pPr>
        <w:pStyle w:val="2"/>
        <w:ind w:firstLine="422"/>
        <w:rPr>
          <w:rFonts w:hint="default" w:ascii="Times New Roman" w:hAnsi="Times New Roman" w:cs="Times New Roman"/>
          <w:b/>
          <w:bCs/>
          <w:color w:val="auto"/>
        </w:rPr>
      </w:pPr>
    </w:p>
    <w:p w14:paraId="22B6CB1B">
      <w:pPr>
        <w:pStyle w:val="2"/>
        <w:ind w:firstLine="422"/>
        <w:rPr>
          <w:rFonts w:hint="default" w:ascii="Times New Roman" w:hAnsi="Times New Roman" w:cs="Times New Roman"/>
          <w:b/>
          <w:bCs/>
          <w:color w:val="auto"/>
        </w:rPr>
        <w:sectPr>
          <w:pgSz w:w="16838" w:h="11905" w:orient="landscape"/>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7"/>
        <w:gridCol w:w="8830"/>
      </w:tblGrid>
      <w:tr w14:paraId="39A31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tcPr>
          <w:p w14:paraId="5D0BA311">
            <w:pPr>
              <w:rPr>
                <w:rFonts w:hint="default" w:ascii="Times New Roman" w:hAnsi="Times New Roman" w:cs="Times New Roman"/>
                <w:color w:val="auto"/>
              </w:rPr>
            </w:pPr>
          </w:p>
        </w:tc>
        <w:tc>
          <w:tcPr>
            <w:tcW w:w="8830" w:type="dxa"/>
          </w:tcPr>
          <w:p w14:paraId="06713F17">
            <w:pPr>
              <w:pStyle w:val="10"/>
              <w:numPr>
                <w:ilvl w:val="0"/>
                <w:numId w:val="16"/>
              </w:numPr>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生产废水</w:t>
            </w:r>
          </w:p>
          <w:p w14:paraId="03A33ADA">
            <w:pPr>
              <w:pStyle w:val="1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生产废水包括设备冷却水、表面处理生产线废水、软水制备废水、地面冲洗水。</w:t>
            </w:r>
          </w:p>
          <w:p w14:paraId="54A68897">
            <w:pPr>
              <w:pStyle w:val="41"/>
              <w:adjustRightInd w:val="0"/>
              <w:snapToGrid w:val="0"/>
              <w:spacing w:before="0" w:beforeAutospacing="0" w:after="0" w:afterAutospacing="0"/>
              <w:ind w:firstLine="480"/>
              <w:rPr>
                <w:rFonts w:hint="default" w:ascii="Times New Roman" w:hAnsi="Times New Roman" w:cs="Times New Roman"/>
                <w:b/>
                <w:bCs/>
                <w:color w:val="auto"/>
                <w:szCs w:val="24"/>
              </w:rPr>
            </w:pPr>
            <w:r>
              <w:rPr>
                <w:rFonts w:hint="default" w:ascii="Times New Roman" w:hAnsi="Times New Roman" w:cs="Times New Roman"/>
                <w:b/>
                <w:bCs/>
                <w:color w:val="auto"/>
                <w:szCs w:val="24"/>
              </w:rPr>
              <w:t>水量：</w:t>
            </w:r>
          </w:p>
          <w:p w14:paraId="74FABFC2">
            <w:pPr>
              <w:pStyle w:val="41"/>
              <w:adjustRightInd w:val="0"/>
              <w:snapToGrid w:val="0"/>
              <w:spacing w:before="0" w:beforeAutospacing="0" w:after="0" w:afterAutospacing="0"/>
              <w:ind w:firstLine="480"/>
              <w:rPr>
                <w:rFonts w:hint="default" w:ascii="Times New Roman" w:hAnsi="Times New Roman" w:cs="Times New Roman"/>
                <w:bCs/>
                <w:color w:val="auto"/>
                <w:szCs w:val="24"/>
              </w:rPr>
            </w:pPr>
            <w:r>
              <w:rPr>
                <w:rFonts w:hint="default" w:ascii="Times New Roman" w:hAnsi="Times New Roman" w:cs="Times New Roman"/>
                <w:color w:val="auto"/>
                <w:szCs w:val="24"/>
              </w:rPr>
              <w:t>①设备冷却水</w:t>
            </w:r>
            <w:r>
              <w:rPr>
                <w:rFonts w:hint="default" w:ascii="Times New Roman" w:hAnsi="Times New Roman" w:cs="Times New Roman"/>
                <w:bCs/>
                <w:color w:val="auto"/>
                <w:szCs w:val="24"/>
              </w:rPr>
              <w:t>：拉丝机</w:t>
            </w:r>
            <w:r>
              <w:rPr>
                <w:rFonts w:hint="default" w:ascii="Times New Roman" w:hAnsi="Times New Roman" w:cs="Times New Roman"/>
                <w:color w:val="auto"/>
                <w:szCs w:val="24"/>
              </w:rPr>
              <w:t>用冷却水循环系统进行冷却，循环水量</w:t>
            </w:r>
            <w:r>
              <w:rPr>
                <w:rFonts w:hint="default" w:ascii="Times New Roman" w:hAnsi="Times New Roman" w:cs="Times New Roman"/>
                <w:color w:val="auto"/>
                <w:lang w:val="en-US" w:eastAsia="zh-CN"/>
              </w:rPr>
              <w:t>930</w:t>
            </w:r>
            <w:r>
              <w:rPr>
                <w:rFonts w:hint="default" w:ascii="Times New Roman" w:hAnsi="Times New Roman" w:cs="Times New Roman"/>
                <w:color w:val="auto"/>
                <w:szCs w:val="24"/>
              </w:rPr>
              <w:t>m</w:t>
            </w:r>
            <w:r>
              <w:rPr>
                <w:rFonts w:hint="default" w:ascii="Times New Roman" w:hAnsi="Times New Roman" w:cs="Times New Roman"/>
                <w:color w:val="auto"/>
                <w:szCs w:val="24"/>
                <w:vertAlign w:val="superscript"/>
              </w:rPr>
              <w:t>3</w:t>
            </w:r>
            <w:r>
              <w:rPr>
                <w:rFonts w:hint="default" w:ascii="Times New Roman" w:hAnsi="Times New Roman" w:cs="Times New Roman"/>
                <w:color w:val="auto"/>
                <w:szCs w:val="24"/>
              </w:rPr>
              <w:t>/h，冷却水在闭式管道内循环，不与产品接触，为</w:t>
            </w:r>
            <w:r>
              <w:rPr>
                <w:rFonts w:hint="default" w:ascii="Times New Roman" w:hAnsi="Times New Roman" w:cs="Times New Roman"/>
                <w:color w:val="auto"/>
              </w:rPr>
              <w:t>设备间接冷却水</w:t>
            </w:r>
            <w:r>
              <w:rPr>
                <w:rFonts w:hint="default" w:ascii="Times New Roman" w:hAnsi="Times New Roman" w:cs="Times New Roman"/>
                <w:color w:val="auto"/>
                <w:szCs w:val="24"/>
              </w:rPr>
              <w:t>。回水余压上冷却塔冷却降温后回到循环水泵房吸水井，再用加压泵送至车间循环使用。</w:t>
            </w:r>
            <w:r>
              <w:rPr>
                <w:rFonts w:hint="default" w:ascii="Times New Roman" w:hAnsi="Times New Roman" w:cs="Times New Roman"/>
                <w:bCs/>
                <w:color w:val="auto"/>
                <w:szCs w:val="24"/>
              </w:rPr>
              <w:t>拉丝机</w:t>
            </w:r>
            <w:r>
              <w:rPr>
                <w:rFonts w:hint="default" w:ascii="Times New Roman" w:hAnsi="Times New Roman" w:cs="Times New Roman"/>
                <w:color w:val="auto"/>
                <w:szCs w:val="24"/>
              </w:rPr>
              <w:t>用冷却循环水的消耗方式是自然蒸发，循环系统补充水量</w:t>
            </w:r>
            <w:r>
              <w:rPr>
                <w:rFonts w:hint="default" w:ascii="Times New Roman" w:hAnsi="Times New Roman" w:cs="Times New Roman"/>
                <w:color w:val="auto"/>
                <w:szCs w:val="24"/>
                <w:lang w:val="en-US" w:eastAsia="zh-CN"/>
              </w:rPr>
              <w:t>4.6</w:t>
            </w:r>
            <w:r>
              <w:rPr>
                <w:rFonts w:hint="default" w:ascii="Times New Roman" w:hAnsi="Times New Roman" w:cs="Times New Roman"/>
                <w:color w:val="auto"/>
                <w:szCs w:val="24"/>
              </w:rPr>
              <w:t>m</w:t>
            </w:r>
            <w:r>
              <w:rPr>
                <w:rFonts w:hint="default" w:ascii="Times New Roman" w:hAnsi="Times New Roman" w:cs="Times New Roman"/>
                <w:color w:val="auto"/>
                <w:szCs w:val="24"/>
                <w:vertAlign w:val="superscript"/>
              </w:rPr>
              <w:t>3</w:t>
            </w:r>
            <w:r>
              <w:rPr>
                <w:rFonts w:hint="default" w:ascii="Times New Roman" w:hAnsi="Times New Roman" w:cs="Times New Roman"/>
                <w:color w:val="auto"/>
                <w:szCs w:val="24"/>
              </w:rPr>
              <w:t>/h</w:t>
            </w:r>
            <w:r>
              <w:rPr>
                <w:rFonts w:hint="default" w:ascii="Times New Roman" w:hAnsi="Times New Roman" w:cs="Times New Roman"/>
                <w:bCs/>
                <w:color w:val="auto"/>
                <w:szCs w:val="24"/>
              </w:rPr>
              <w:t>。</w:t>
            </w:r>
          </w:p>
          <w:p w14:paraId="31B43082">
            <w:pPr>
              <w:pStyle w:val="6"/>
              <w:ind w:firstLine="480" w:firstLineChars="200"/>
              <w:outlineLvl w:val="3"/>
              <w:rPr>
                <w:rFonts w:hint="default" w:ascii="Times New Roman" w:hAnsi="Times New Roman" w:eastAsia="宋体" w:cs="Times New Roman"/>
                <w:bCs w:val="0"/>
                <w:color w:val="auto"/>
                <w:kern w:val="0"/>
                <w:szCs w:val="24"/>
              </w:rPr>
            </w:pPr>
            <w:r>
              <w:rPr>
                <w:rFonts w:hint="default" w:ascii="Times New Roman" w:hAnsi="Times New Roman" w:eastAsia="宋体" w:cs="Times New Roman"/>
                <w:bCs w:val="0"/>
                <w:color w:val="auto"/>
                <w:kern w:val="0"/>
                <w:szCs w:val="24"/>
              </w:rPr>
              <w:t>②表面处理生产线废水：主要为水密封清洗槽废水、酸洗槽废水、漂洗槽废水、水洗废水、中和槽废液、碱液喷淋吸收塔废水。</w:t>
            </w:r>
          </w:p>
          <w:p w14:paraId="24572263">
            <w:pPr>
              <w:pStyle w:val="10"/>
              <w:adjustRightInd w:val="0"/>
              <w:snapToGrid w:val="0"/>
              <w:spacing w:line="360" w:lineRule="auto"/>
              <w:ind w:firstLine="480" w:firstLineChars="200"/>
              <w:rPr>
                <w:rFonts w:hint="default" w:ascii="Times New Roman" w:hAnsi="Times New Roman" w:cs="Times New Roman"/>
                <w:snapToGrid w:val="0"/>
                <w:color w:val="auto"/>
                <w:kern w:val="0"/>
                <w:sz w:val="24"/>
              </w:rPr>
            </w:pPr>
            <w:r>
              <w:rPr>
                <w:rFonts w:hint="default" w:ascii="Times New Roman" w:hAnsi="Times New Roman" w:cs="Times New Roman"/>
                <w:snapToGrid w:val="0"/>
                <w:color w:val="auto"/>
                <w:kern w:val="0"/>
                <w:sz w:val="24"/>
              </w:rPr>
              <w:t>本</w:t>
            </w:r>
            <w:r>
              <w:rPr>
                <w:rFonts w:hint="default" w:ascii="Times New Roman" w:hAnsi="Times New Roman" w:cs="Times New Roman"/>
                <w:snapToGrid w:val="0"/>
                <w:color w:val="auto"/>
                <w:kern w:val="0"/>
                <w:sz w:val="24"/>
                <w:highlight w:val="none"/>
              </w:rPr>
              <w:t>项目</w:t>
            </w:r>
            <w:r>
              <w:rPr>
                <w:rFonts w:hint="default" w:ascii="Times New Roman" w:hAnsi="Times New Roman" w:cs="Times New Roman"/>
                <w:bCs/>
                <w:color w:val="auto"/>
                <w:spacing w:val="-2"/>
                <w:sz w:val="24"/>
                <w:highlight w:val="none"/>
              </w:rPr>
              <w:t>水密封清洗槽</w:t>
            </w:r>
            <w:r>
              <w:rPr>
                <w:rFonts w:hint="default" w:ascii="Times New Roman" w:hAnsi="Times New Roman" w:cs="Times New Roman"/>
                <w:snapToGrid w:val="0"/>
                <w:color w:val="auto"/>
                <w:kern w:val="0"/>
                <w:sz w:val="24"/>
                <w:highlight w:val="none"/>
              </w:rPr>
              <w:t>（1个），槽体尺寸</w:t>
            </w:r>
            <w:r>
              <w:rPr>
                <w:rFonts w:hint="default" w:ascii="Times New Roman" w:hAnsi="Times New Roman" w:cs="Times New Roman"/>
                <w:color w:val="auto"/>
                <w:sz w:val="24"/>
                <w:highlight w:val="none"/>
                <w:lang w:val="en-US" w:eastAsia="zh-CN"/>
              </w:rPr>
              <w:t>14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lang w:val="en-US" w:eastAsia="zh-CN"/>
              </w:rPr>
              <w:t>2.5</w:t>
            </w:r>
            <w:r>
              <w:rPr>
                <w:rFonts w:hint="default" w:ascii="Times New Roman" w:hAnsi="Times New Roman" w:cs="Times New Roman"/>
                <w:color w:val="auto"/>
                <w:sz w:val="24"/>
                <w:highlight w:val="none"/>
              </w:rPr>
              <w:t>m×2.</w:t>
            </w:r>
            <w:r>
              <w:rPr>
                <w:rFonts w:hint="default"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rPr>
              <w:t>m</w:t>
            </w:r>
            <w:r>
              <w:rPr>
                <w:rFonts w:hint="default" w:ascii="Times New Roman" w:hAnsi="Times New Roman" w:cs="Times New Roman"/>
                <w:snapToGrid w:val="0"/>
                <w:color w:val="auto"/>
                <w:kern w:val="0"/>
                <w:sz w:val="24"/>
                <w:highlight w:val="none"/>
              </w:rPr>
              <w:t>，槽体填充体积约90%，槽液总容积</w:t>
            </w:r>
            <w:r>
              <w:rPr>
                <w:rFonts w:hint="default" w:ascii="Times New Roman" w:hAnsi="Times New Roman" w:cs="Times New Roman"/>
                <w:snapToGrid w:val="0"/>
                <w:color w:val="auto"/>
                <w:kern w:val="0"/>
                <w:sz w:val="24"/>
                <w:highlight w:val="none"/>
                <w:lang w:val="en-US" w:eastAsia="zh-CN"/>
              </w:rPr>
              <w:t>78.8</w:t>
            </w:r>
            <w:r>
              <w:rPr>
                <w:rFonts w:hint="default" w:ascii="Times New Roman" w:hAnsi="Times New Roman" w:cs="Times New Roman"/>
                <w:snapToGrid w:val="0"/>
                <w:color w:val="auto"/>
                <w:kern w:val="0"/>
                <w:sz w:val="24"/>
                <w:highlight w:val="none"/>
              </w:rPr>
              <w:t>m</w:t>
            </w:r>
            <w:r>
              <w:rPr>
                <w:rFonts w:hint="default" w:ascii="Times New Roman" w:hAnsi="Times New Roman" w:cs="Times New Roman"/>
                <w:snapToGrid w:val="0"/>
                <w:color w:val="auto"/>
                <w:kern w:val="0"/>
                <w:sz w:val="24"/>
                <w:highlight w:val="none"/>
                <w:vertAlign w:val="superscript"/>
              </w:rPr>
              <w:t>3</w:t>
            </w:r>
            <w:r>
              <w:rPr>
                <w:rFonts w:hint="default" w:ascii="Times New Roman" w:hAnsi="Times New Roman" w:cs="Times New Roman"/>
                <w:snapToGrid w:val="0"/>
                <w:color w:val="auto"/>
                <w:kern w:val="0"/>
                <w:sz w:val="24"/>
                <w:highlight w:val="none"/>
              </w:rPr>
              <w:t>，</w:t>
            </w:r>
            <w:r>
              <w:rPr>
                <w:rFonts w:hint="default" w:ascii="Times New Roman" w:hAnsi="Times New Roman" w:cs="Times New Roman"/>
                <w:bCs/>
                <w:color w:val="auto"/>
                <w:spacing w:val="-2"/>
                <w:sz w:val="24"/>
                <w:highlight w:val="none"/>
              </w:rPr>
              <w:t>水密封清洗</w:t>
            </w:r>
            <w:r>
              <w:rPr>
                <w:rFonts w:hint="default" w:ascii="Times New Roman" w:hAnsi="Times New Roman" w:cs="Times New Roman"/>
                <w:snapToGrid w:val="0"/>
                <w:color w:val="auto"/>
                <w:kern w:val="0"/>
                <w:sz w:val="24"/>
                <w:highlight w:val="none"/>
              </w:rPr>
              <w:t>槽溢流排水，以每天溢流量</w:t>
            </w:r>
            <w:r>
              <w:rPr>
                <w:rFonts w:hint="default" w:ascii="Times New Roman" w:hAnsi="Times New Roman" w:cs="Times New Roman"/>
                <w:snapToGrid w:val="0"/>
                <w:color w:val="auto"/>
                <w:kern w:val="0"/>
                <w:sz w:val="24"/>
                <w:highlight w:val="none"/>
                <w:lang w:val="en-US" w:eastAsia="zh-CN"/>
              </w:rPr>
              <w:t>6</w:t>
            </w:r>
            <w:r>
              <w:rPr>
                <w:rFonts w:hint="default" w:ascii="Times New Roman" w:hAnsi="Times New Roman" w:cs="Times New Roman"/>
                <w:snapToGrid w:val="0"/>
                <w:color w:val="auto"/>
                <w:kern w:val="0"/>
                <w:sz w:val="24"/>
                <w:highlight w:val="none"/>
              </w:rPr>
              <w:t>%计，则水洗废水产生量</w:t>
            </w:r>
            <w:r>
              <w:rPr>
                <w:rFonts w:hint="default" w:ascii="Times New Roman" w:hAnsi="Times New Roman" w:cs="Times New Roman"/>
                <w:snapToGrid w:val="0"/>
                <w:color w:val="auto"/>
                <w:kern w:val="0"/>
                <w:sz w:val="24"/>
                <w:highlight w:val="none"/>
                <w:lang w:val="en-US" w:eastAsia="zh-CN"/>
              </w:rPr>
              <w:t>4.73</w:t>
            </w:r>
            <w:r>
              <w:rPr>
                <w:rFonts w:hint="default" w:ascii="Times New Roman" w:hAnsi="Times New Roman" w:cs="Times New Roman"/>
                <w:snapToGrid w:val="0"/>
                <w:color w:val="auto"/>
                <w:kern w:val="0"/>
                <w:sz w:val="24"/>
                <w:highlight w:val="none"/>
              </w:rPr>
              <w:t>m</w:t>
            </w:r>
            <w:r>
              <w:rPr>
                <w:rFonts w:hint="default" w:ascii="Times New Roman" w:hAnsi="Times New Roman" w:cs="Times New Roman"/>
                <w:snapToGrid w:val="0"/>
                <w:color w:val="auto"/>
                <w:kern w:val="0"/>
                <w:sz w:val="24"/>
                <w:highlight w:val="none"/>
                <w:vertAlign w:val="superscript"/>
              </w:rPr>
              <w:t>3</w:t>
            </w:r>
            <w:r>
              <w:rPr>
                <w:rFonts w:hint="default" w:ascii="Times New Roman" w:hAnsi="Times New Roman" w:cs="Times New Roman"/>
                <w:snapToGrid w:val="0"/>
                <w:color w:val="auto"/>
                <w:kern w:val="0"/>
                <w:sz w:val="24"/>
                <w:highlight w:val="none"/>
              </w:rPr>
              <w:t>/d。</w:t>
            </w:r>
          </w:p>
          <w:p w14:paraId="3E48C35C">
            <w:pPr>
              <w:pStyle w:val="10"/>
              <w:adjustRightInd w:val="0"/>
              <w:snapToGrid w:val="0"/>
              <w:spacing w:line="360" w:lineRule="auto"/>
              <w:ind w:firstLine="472" w:firstLineChars="200"/>
              <w:rPr>
                <w:rFonts w:hint="default" w:ascii="Times New Roman" w:hAnsi="Times New Roman" w:cs="Times New Roman"/>
                <w:bCs/>
                <w:color w:val="auto"/>
                <w:spacing w:val="-2"/>
                <w:sz w:val="24"/>
              </w:rPr>
            </w:pPr>
            <w:r>
              <w:rPr>
                <w:rFonts w:hint="default" w:ascii="Times New Roman" w:hAnsi="Times New Roman" w:cs="Times New Roman"/>
                <w:bCs/>
                <w:color w:val="auto"/>
                <w:spacing w:val="-2"/>
                <w:sz w:val="24"/>
              </w:rPr>
              <w:t>项目共设置6个</w:t>
            </w:r>
            <w:r>
              <w:rPr>
                <w:rFonts w:hint="default" w:ascii="Times New Roman" w:hAnsi="Times New Roman" w:cs="Times New Roman"/>
                <w:color w:val="auto"/>
                <w:sz w:val="24"/>
              </w:rPr>
              <w:t>酸洗槽，根据工艺要求使用</w:t>
            </w:r>
            <w:r>
              <w:rPr>
                <w:rFonts w:hint="default" w:ascii="Times New Roman" w:hAnsi="Times New Roman" w:cs="Times New Roman"/>
                <w:bCs/>
                <w:color w:val="auto"/>
                <w:spacing w:val="-2"/>
                <w:sz w:val="24"/>
              </w:rPr>
              <w:t>3</w:t>
            </w:r>
            <w:r>
              <w:rPr>
                <w:rFonts w:hint="default" w:ascii="Times New Roman" w:hAnsi="Times New Roman" w:cs="Times New Roman"/>
                <w:bCs/>
                <w:color w:val="auto"/>
                <w:spacing w:val="-2"/>
                <w:sz w:val="24"/>
                <w:lang w:val="en-US" w:eastAsia="zh-CN"/>
              </w:rPr>
              <w:t>2</w:t>
            </w:r>
            <w:r>
              <w:rPr>
                <w:rFonts w:hint="default" w:ascii="Times New Roman" w:hAnsi="Times New Roman" w:cs="Times New Roman"/>
                <w:bCs/>
                <w:color w:val="auto"/>
                <w:spacing w:val="-2"/>
                <w:sz w:val="24"/>
              </w:rPr>
              <w:t>%盐酸兑水配成12%~22%的酸洗液，</w:t>
            </w:r>
            <w:r>
              <w:rPr>
                <w:rFonts w:hint="default" w:ascii="Times New Roman" w:hAnsi="Times New Roman" w:cs="Times New Roman"/>
                <w:color w:val="auto"/>
                <w:sz w:val="24"/>
              </w:rPr>
              <w:t>该工艺为分段式酸洗，当后段酸洗槽酸液满足前段工艺要求时，导入前段酸洗槽；不满足前段工艺要求且又不足以报废时排入低位回用酸池，搭配新酸再利用。酸洗槽最终</w:t>
            </w:r>
            <w:r>
              <w:rPr>
                <w:rFonts w:hint="default" w:ascii="Times New Roman" w:hAnsi="Times New Roman" w:cs="Times New Roman"/>
                <w:bCs/>
                <w:color w:val="auto"/>
                <w:spacing w:val="-2"/>
                <w:sz w:val="24"/>
              </w:rPr>
              <w:t>废液作为危废处置。</w:t>
            </w:r>
          </w:p>
          <w:p w14:paraId="6121D300">
            <w:pPr>
              <w:pStyle w:val="10"/>
              <w:adjustRightInd w:val="0"/>
              <w:snapToGrid w:val="0"/>
              <w:spacing w:line="360" w:lineRule="auto"/>
              <w:ind w:firstLine="480" w:firstLineChars="200"/>
              <w:rPr>
                <w:rFonts w:hint="default" w:ascii="Times New Roman" w:hAnsi="Times New Roman" w:cs="Times New Roman"/>
                <w:bCs/>
                <w:color w:val="auto"/>
                <w:spacing w:val="-2"/>
                <w:sz w:val="24"/>
              </w:rPr>
            </w:pPr>
            <w:r>
              <w:rPr>
                <w:rFonts w:hint="default" w:ascii="Times New Roman" w:hAnsi="Times New Roman" w:cs="Times New Roman"/>
                <w:color w:val="auto"/>
                <w:sz w:val="24"/>
              </w:rPr>
              <w:t>高压水洗1、高压水洗2</w:t>
            </w:r>
            <w:r>
              <w:rPr>
                <w:rFonts w:hint="default" w:ascii="Times New Roman" w:hAnsi="Times New Roman" w:cs="Times New Roman"/>
                <w:bCs/>
                <w:color w:val="auto"/>
                <w:spacing w:val="-2"/>
                <w:sz w:val="24"/>
              </w:rPr>
              <w:t>使用喷射水洗方式，根据业主提供资料，冲洗用水量400kg/t钢材，则年</w:t>
            </w:r>
            <w:r>
              <w:rPr>
                <w:rFonts w:hint="default" w:ascii="Times New Roman" w:hAnsi="Times New Roman" w:cs="Times New Roman"/>
                <w:color w:val="auto"/>
                <w:sz w:val="24"/>
              </w:rPr>
              <w:t>用水量60000m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（200m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/d），蒸发损耗按15%计，水洗槽1废水85m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/d排入厂区污水处理站，水洗槽2废水85m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/d排入</w:t>
            </w:r>
            <w:r>
              <w:rPr>
                <w:rFonts w:hint="default" w:ascii="Times New Roman" w:hAnsi="Times New Roman" w:cs="Times New Roman"/>
                <w:bCs/>
                <w:color w:val="auto"/>
                <w:spacing w:val="-2"/>
                <w:sz w:val="24"/>
              </w:rPr>
              <w:t>漂洗槽作为二次水。</w:t>
            </w:r>
          </w:p>
          <w:p w14:paraId="5D0ABCC1">
            <w:pPr>
              <w:pStyle w:val="10"/>
              <w:adjustRightInd w:val="0"/>
              <w:snapToGrid w:val="0"/>
              <w:spacing w:line="360" w:lineRule="auto"/>
              <w:ind w:firstLine="472" w:firstLineChars="200"/>
              <w:rPr>
                <w:rFonts w:hint="default" w:ascii="Times New Roman" w:hAnsi="Times New Roman" w:cs="Times New Roman"/>
                <w:snapToGrid w:val="0"/>
                <w:color w:val="auto"/>
                <w:kern w:val="0"/>
                <w:sz w:val="24"/>
              </w:rPr>
            </w:pPr>
            <w:r>
              <w:rPr>
                <w:rFonts w:hint="default" w:ascii="Times New Roman" w:hAnsi="Times New Roman" w:cs="Times New Roman"/>
                <w:bCs/>
                <w:color w:val="auto"/>
                <w:spacing w:val="-2"/>
                <w:sz w:val="24"/>
              </w:rPr>
              <w:t>漂洗槽以溢流方式常排水，</w:t>
            </w:r>
            <w:r>
              <w:rPr>
                <w:rFonts w:hint="default" w:ascii="Times New Roman" w:hAnsi="Times New Roman" w:cs="Times New Roman"/>
                <w:color w:val="auto"/>
                <w:sz w:val="24"/>
              </w:rPr>
              <w:t>采用高压水洗2的冲洗水</w:t>
            </w:r>
            <w:r>
              <w:rPr>
                <w:rFonts w:hint="default" w:ascii="Times New Roman" w:hAnsi="Times New Roman" w:cs="Times New Roman"/>
                <w:snapToGrid w:val="0"/>
                <w:color w:val="auto"/>
                <w:kern w:val="0"/>
                <w:sz w:val="24"/>
              </w:rPr>
              <w:t>，</w:t>
            </w:r>
            <w:r>
              <w:rPr>
                <w:rFonts w:hint="default" w:ascii="Times New Roman" w:hAnsi="Times New Roman" w:cs="Times New Roman"/>
                <w:color w:val="auto"/>
                <w:sz w:val="24"/>
              </w:rPr>
              <w:t>蒸发损耗按15%计，</w:t>
            </w:r>
            <w:r>
              <w:rPr>
                <w:rFonts w:hint="default" w:ascii="Times New Roman" w:hAnsi="Times New Roman" w:cs="Times New Roman"/>
                <w:snapToGrid w:val="0"/>
                <w:color w:val="auto"/>
                <w:kern w:val="0"/>
                <w:sz w:val="24"/>
              </w:rPr>
              <w:t>则</w:t>
            </w:r>
            <w:r>
              <w:rPr>
                <w:rFonts w:hint="default" w:ascii="Times New Roman" w:hAnsi="Times New Roman" w:cs="Times New Roman"/>
                <w:bCs/>
                <w:color w:val="auto"/>
                <w:spacing w:val="-2"/>
                <w:sz w:val="24"/>
              </w:rPr>
              <w:t>漂洗</w:t>
            </w:r>
            <w:r>
              <w:rPr>
                <w:rFonts w:hint="default" w:ascii="Times New Roman" w:hAnsi="Times New Roman" w:cs="Times New Roman"/>
                <w:snapToGrid w:val="0"/>
                <w:color w:val="auto"/>
                <w:kern w:val="0"/>
                <w:sz w:val="24"/>
              </w:rPr>
              <w:t>废水产生量</w:t>
            </w:r>
            <w:r>
              <w:rPr>
                <w:rFonts w:hint="default" w:ascii="Times New Roman" w:hAnsi="Times New Roman" w:cs="Times New Roman"/>
                <w:color w:val="auto"/>
                <w:sz w:val="24"/>
              </w:rPr>
              <w:t>72.25m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w:t>
            </w:r>
            <w:r>
              <w:rPr>
                <w:rFonts w:hint="default" w:ascii="Times New Roman" w:hAnsi="Times New Roman" w:cs="Times New Roman"/>
                <w:snapToGrid w:val="0"/>
                <w:color w:val="auto"/>
                <w:kern w:val="0"/>
                <w:sz w:val="24"/>
              </w:rPr>
              <w:t>。</w:t>
            </w:r>
          </w:p>
          <w:p w14:paraId="61F4CDCE">
            <w:pPr>
              <w:pStyle w:val="10"/>
              <w:adjustRightInd w:val="0"/>
              <w:snapToGrid w:val="0"/>
              <w:spacing w:line="360" w:lineRule="auto"/>
              <w:ind w:firstLine="472" w:firstLineChars="200"/>
              <w:rPr>
                <w:rFonts w:hint="default" w:ascii="Times New Roman" w:hAnsi="Times New Roman" w:cs="Times New Roman"/>
                <w:bCs/>
                <w:color w:val="auto"/>
                <w:spacing w:val="-2"/>
                <w:sz w:val="24"/>
              </w:rPr>
            </w:pPr>
            <w:r>
              <w:rPr>
                <w:rFonts w:hint="default" w:ascii="Times New Roman" w:hAnsi="Times New Roman" w:cs="Times New Roman"/>
                <w:bCs/>
                <w:color w:val="auto"/>
                <w:spacing w:val="-2"/>
                <w:sz w:val="24"/>
              </w:rPr>
              <w:t>中和槽采用碱进行中和，中和液循环使用，经使用后会产生一定损耗，需要定期添加以补充损耗。根据业主提供的资料，中和槽中和废液每个月更换一次，</w:t>
            </w:r>
            <w:r>
              <w:rPr>
                <w:rFonts w:hint="default" w:ascii="Times New Roman" w:hAnsi="Times New Roman" w:cs="Times New Roman"/>
                <w:snapToGrid w:val="0"/>
                <w:color w:val="auto"/>
                <w:kern w:val="0"/>
                <w:sz w:val="24"/>
              </w:rPr>
              <w:t>槽体尺寸</w:t>
            </w:r>
            <w:r>
              <w:rPr>
                <w:rFonts w:hint="default" w:ascii="Times New Roman" w:hAnsi="Times New Roman" w:cs="Times New Roman"/>
                <w:color w:val="auto"/>
                <w:sz w:val="24"/>
                <w:highlight w:val="none"/>
              </w:rPr>
              <w:t>5m×2.5m×2.5m</w:t>
            </w:r>
            <w:r>
              <w:rPr>
                <w:rFonts w:hint="default" w:ascii="Times New Roman" w:hAnsi="Times New Roman" w:cs="Times New Roman"/>
                <w:snapToGrid w:val="0"/>
                <w:color w:val="auto"/>
                <w:kern w:val="0"/>
                <w:sz w:val="24"/>
                <w:highlight w:val="none"/>
              </w:rPr>
              <w:t>，</w:t>
            </w:r>
            <w:r>
              <w:rPr>
                <w:rFonts w:hint="default" w:ascii="Times New Roman" w:hAnsi="Times New Roman" w:cs="Times New Roman"/>
                <w:snapToGrid w:val="0"/>
                <w:color w:val="auto"/>
                <w:kern w:val="0"/>
                <w:sz w:val="24"/>
              </w:rPr>
              <w:t>槽体填充体积约90%，槽液总容积28.1m</w:t>
            </w:r>
            <w:r>
              <w:rPr>
                <w:rFonts w:hint="default" w:ascii="Times New Roman" w:hAnsi="Times New Roman" w:cs="Times New Roman"/>
                <w:snapToGrid w:val="0"/>
                <w:color w:val="auto"/>
                <w:kern w:val="0"/>
                <w:sz w:val="24"/>
                <w:vertAlign w:val="superscript"/>
              </w:rPr>
              <w:t>3</w:t>
            </w:r>
            <w:r>
              <w:rPr>
                <w:rFonts w:hint="default" w:ascii="Times New Roman" w:hAnsi="Times New Roman" w:cs="Times New Roman"/>
                <w:snapToGrid w:val="0"/>
                <w:color w:val="auto"/>
                <w:kern w:val="0"/>
                <w:sz w:val="24"/>
              </w:rPr>
              <w:t>，中和废液产生量281.3</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/a（折0.94m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w:t>
            </w:r>
            <w:r>
              <w:rPr>
                <w:rFonts w:hint="default" w:ascii="Times New Roman" w:hAnsi="Times New Roman" w:cs="Times New Roman"/>
                <w:bCs/>
                <w:color w:val="auto"/>
                <w:spacing w:val="-2"/>
                <w:sz w:val="24"/>
              </w:rPr>
              <w:t>收集后由厂区污水处理站处理。</w:t>
            </w:r>
          </w:p>
          <w:p w14:paraId="19C55FA7">
            <w:pPr>
              <w:pStyle w:val="10"/>
              <w:adjustRightInd w:val="0"/>
              <w:snapToGrid w:val="0"/>
              <w:spacing w:line="360" w:lineRule="auto"/>
              <w:ind w:firstLine="472" w:firstLineChars="200"/>
              <w:rPr>
                <w:rFonts w:hint="default" w:ascii="Times New Roman" w:hAnsi="Times New Roman" w:cs="Times New Roman"/>
                <w:bCs/>
                <w:color w:val="auto"/>
                <w:spacing w:val="-2"/>
                <w:sz w:val="24"/>
              </w:rPr>
            </w:pPr>
            <w:r>
              <w:rPr>
                <w:rFonts w:hint="default" w:ascii="Times New Roman" w:hAnsi="Times New Roman" w:cs="Times New Roman"/>
                <w:bCs/>
                <w:color w:val="auto"/>
                <w:spacing w:val="-2"/>
                <w:sz w:val="24"/>
              </w:rPr>
              <w:t>磷化槽</w:t>
            </w:r>
            <w:r>
              <w:rPr>
                <w:rFonts w:hint="default" w:ascii="Times New Roman" w:hAnsi="Times New Roman" w:cs="Times New Roman"/>
                <w:color w:val="auto"/>
                <w:sz w:val="24"/>
              </w:rPr>
              <w:t>内磷化液循环使用，使用一段时间槽底产生磷化渣，经磷渣脱水机脱水后，磷化液回用，磷渣作为危废</w:t>
            </w:r>
            <w:r>
              <w:rPr>
                <w:rFonts w:hint="default" w:ascii="Times New Roman" w:hAnsi="Times New Roman" w:cs="Times New Roman"/>
                <w:bCs/>
                <w:color w:val="auto"/>
                <w:spacing w:val="-2"/>
                <w:sz w:val="24"/>
              </w:rPr>
              <w:t>。</w:t>
            </w:r>
          </w:p>
          <w:p w14:paraId="1E93C966">
            <w:pPr>
              <w:pStyle w:val="10"/>
              <w:adjustRightInd w:val="0"/>
              <w:snapToGrid w:val="0"/>
              <w:spacing w:line="360" w:lineRule="auto"/>
              <w:ind w:firstLine="472" w:firstLineChars="200"/>
              <w:rPr>
                <w:rFonts w:hint="default" w:ascii="Times New Roman" w:hAnsi="Times New Roman" w:cs="Times New Roman"/>
                <w:bCs/>
                <w:color w:val="auto"/>
                <w:spacing w:val="-2"/>
                <w:sz w:val="24"/>
              </w:rPr>
            </w:pPr>
            <w:r>
              <w:rPr>
                <w:rFonts w:hint="default" w:ascii="Times New Roman" w:hAnsi="Times New Roman" w:cs="Times New Roman"/>
                <w:bCs/>
                <w:color w:val="auto"/>
                <w:spacing w:val="-2"/>
                <w:sz w:val="24"/>
              </w:rPr>
              <w:t>表调槽表调液循环使用，不外排。</w:t>
            </w:r>
          </w:p>
          <w:p w14:paraId="3C125C6D">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kern w:val="0"/>
                <w:sz w:val="24"/>
                <w:lang w:bidi="ar"/>
              </w:rPr>
              <w:t>皂化</w:t>
            </w:r>
            <w:r>
              <w:rPr>
                <w:rFonts w:hint="default" w:ascii="Times New Roman" w:hAnsi="Times New Roman" w:cs="Times New Roman"/>
                <w:bCs/>
                <w:color w:val="auto"/>
                <w:spacing w:val="-2"/>
                <w:sz w:val="24"/>
              </w:rPr>
              <w:t>槽</w:t>
            </w:r>
            <w:r>
              <w:rPr>
                <w:rFonts w:hint="default" w:ascii="Times New Roman" w:hAnsi="Times New Roman" w:cs="Times New Roman"/>
                <w:color w:val="auto"/>
                <w:kern w:val="0"/>
                <w:sz w:val="24"/>
                <w:lang w:bidi="ar"/>
              </w:rPr>
              <w:t>皂化液循环使用，5个月排放1次，排放至低位皂液池，</w:t>
            </w:r>
            <w:r>
              <w:rPr>
                <w:rFonts w:hint="default" w:ascii="Times New Roman" w:hAnsi="Times New Roman" w:cs="Times New Roman"/>
                <w:color w:val="auto"/>
                <w:sz w:val="24"/>
              </w:rPr>
              <w:t>废皂液</w:t>
            </w:r>
            <w:r>
              <w:rPr>
                <w:rFonts w:hint="default" w:ascii="Times New Roman" w:hAnsi="Times New Roman" w:cs="Times New Roman"/>
                <w:color w:val="auto"/>
                <w:kern w:val="0"/>
                <w:sz w:val="24"/>
                <w:lang w:bidi="ar"/>
              </w:rPr>
              <w:t>作为危废处置。</w:t>
            </w:r>
          </w:p>
          <w:p w14:paraId="2193342A">
            <w:pPr>
              <w:pStyle w:val="10"/>
              <w:adjustRightInd w:val="0"/>
              <w:snapToGrid w:val="0"/>
              <w:spacing w:line="360" w:lineRule="auto"/>
              <w:ind w:firstLine="472" w:firstLineChars="200"/>
              <w:rPr>
                <w:rFonts w:hint="default" w:ascii="Times New Roman" w:hAnsi="Times New Roman" w:cs="Times New Roman"/>
                <w:color w:val="auto"/>
                <w:sz w:val="24"/>
              </w:rPr>
            </w:pPr>
            <w:r>
              <w:rPr>
                <w:rFonts w:hint="default" w:ascii="Times New Roman" w:hAnsi="Times New Roman" w:cs="Times New Roman"/>
                <w:bCs/>
                <w:color w:val="auto"/>
                <w:spacing w:val="-2"/>
                <w:sz w:val="24"/>
              </w:rPr>
              <w:t>石灰槽液</w:t>
            </w:r>
            <w:r>
              <w:rPr>
                <w:rFonts w:hint="default" w:ascii="Times New Roman" w:hAnsi="Times New Roman" w:cs="Times New Roman"/>
                <w:color w:val="auto"/>
                <w:kern w:val="0"/>
                <w:sz w:val="24"/>
                <w:lang w:bidi="ar"/>
              </w:rPr>
              <w:t>循环使用，定期进行补充损耗，不外排。</w:t>
            </w:r>
          </w:p>
          <w:p w14:paraId="7A2E722A">
            <w:pPr>
              <w:pStyle w:val="10"/>
              <w:adjustRightInd w:val="0"/>
              <w:snapToGrid w:val="0"/>
              <w:spacing w:line="360" w:lineRule="auto"/>
              <w:ind w:firstLine="472" w:firstLineChars="200"/>
              <w:rPr>
                <w:rFonts w:hint="default" w:ascii="Times New Roman" w:hAnsi="Times New Roman" w:cs="Times New Roman"/>
                <w:color w:val="auto"/>
                <w:sz w:val="24"/>
              </w:rPr>
            </w:pPr>
            <w:r>
              <w:rPr>
                <w:rFonts w:hint="default" w:ascii="Times New Roman" w:hAnsi="Times New Roman" w:cs="Times New Roman"/>
                <w:bCs/>
                <w:color w:val="auto"/>
                <w:spacing w:val="-2"/>
                <w:sz w:val="24"/>
              </w:rPr>
              <w:t>酸雾吸收喷淋塔大约2个月定期更换一次，</w:t>
            </w:r>
            <w:r>
              <w:rPr>
                <w:rFonts w:hint="default" w:ascii="Times New Roman" w:hAnsi="Times New Roman" w:cs="Times New Roman"/>
                <w:color w:val="auto"/>
                <w:spacing w:val="-9"/>
                <w:sz w:val="24"/>
              </w:rPr>
              <w:t>按照《环境工程设计手册》中的有关公式，根据类似项目实际治理工程的</w:t>
            </w:r>
            <w:r>
              <w:rPr>
                <w:rFonts w:hint="default" w:ascii="Times New Roman" w:hAnsi="Times New Roman" w:cs="Times New Roman"/>
                <w:color w:val="auto"/>
                <w:spacing w:val="-10"/>
                <w:sz w:val="24"/>
              </w:rPr>
              <w:t>情况，则本项目废气处理设施喷淋水量按液气比计算：</w:t>
            </w:r>
          </w:p>
          <w:p w14:paraId="4814308C">
            <w:pPr>
              <w:spacing w:before="34" w:line="212" w:lineRule="auto"/>
              <w:ind w:firstLine="1596" w:firstLineChars="700"/>
              <w:rPr>
                <w:rFonts w:hint="default" w:ascii="Times New Roman" w:hAnsi="Times New Roman" w:eastAsia="Times New Roman" w:cs="Times New Roman"/>
                <w:color w:val="auto"/>
                <w:sz w:val="24"/>
              </w:rPr>
            </w:pPr>
            <w:r>
              <w:rPr>
                <w:rFonts w:hint="default" w:ascii="Times New Roman" w:hAnsi="Times New Roman" w:eastAsia="Times New Roman" w:cs="Times New Roman"/>
                <w:color w:val="auto"/>
                <w:spacing w:val="-6"/>
                <w:sz w:val="24"/>
              </w:rPr>
              <w:t xml:space="preserve">Q </w:t>
            </w:r>
            <w:r>
              <w:rPr>
                <w:rFonts w:hint="default" w:ascii="Times New Roman" w:hAnsi="Times New Roman" w:cs="Times New Roman"/>
                <w:color w:val="auto"/>
                <w:spacing w:val="-6"/>
                <w:position w:val="-1"/>
                <w:sz w:val="12"/>
                <w:szCs w:val="12"/>
              </w:rPr>
              <w:t>水</w:t>
            </w:r>
            <w:r>
              <w:rPr>
                <w:rFonts w:hint="default" w:ascii="Times New Roman" w:hAnsi="Times New Roman" w:eastAsia="Times New Roman" w:cs="Times New Roman"/>
                <w:color w:val="auto"/>
                <w:spacing w:val="-6"/>
                <w:sz w:val="24"/>
              </w:rPr>
              <w:t xml:space="preserve">=Q </w:t>
            </w:r>
            <w:r>
              <w:rPr>
                <w:rFonts w:hint="default" w:ascii="Times New Roman" w:hAnsi="Times New Roman" w:cs="Times New Roman"/>
                <w:color w:val="auto"/>
                <w:spacing w:val="-6"/>
                <w:position w:val="-1"/>
                <w:sz w:val="12"/>
                <w:szCs w:val="12"/>
              </w:rPr>
              <w:t>气</w:t>
            </w:r>
            <w:r>
              <w:rPr>
                <w:rFonts w:hint="default" w:ascii="Times New Roman" w:hAnsi="Times New Roman" w:eastAsia="Times New Roman" w:cs="Times New Roman"/>
                <w:color w:val="auto"/>
                <w:spacing w:val="-6"/>
                <w:sz w:val="24"/>
              </w:rPr>
              <w:t>×液气比</w:t>
            </w:r>
            <w:r>
              <w:rPr>
                <w:rFonts w:hint="default" w:ascii="Times New Roman" w:hAnsi="Times New Roman" w:eastAsia="Times New Roman" w:cs="Times New Roman"/>
                <w:color w:val="auto"/>
                <w:spacing w:val="-4"/>
                <w:sz w:val="24"/>
              </w:rPr>
              <w:t>÷1000</w:t>
            </w:r>
          </w:p>
          <w:p w14:paraId="0727A5A8">
            <w:pPr>
              <w:spacing w:before="192" w:line="220" w:lineRule="auto"/>
              <w:ind w:left="1055"/>
              <w:rPr>
                <w:rFonts w:hint="default" w:ascii="Times New Roman" w:hAnsi="Times New Roman" w:cs="Times New Roman"/>
                <w:color w:val="auto"/>
                <w:sz w:val="24"/>
              </w:rPr>
            </w:pPr>
            <w:r>
              <w:rPr>
                <w:rFonts w:hint="default" w:ascii="Times New Roman" w:hAnsi="Times New Roman" w:cs="Times New Roman"/>
                <w:color w:val="auto"/>
                <w:spacing w:val="-8"/>
                <w:sz w:val="24"/>
              </w:rPr>
              <w:t>式中：</w:t>
            </w:r>
          </w:p>
          <w:p w14:paraId="1302A730">
            <w:pPr>
              <w:spacing w:line="360" w:lineRule="auto"/>
              <w:ind w:firstLine="1540" w:firstLineChars="700"/>
              <w:jc w:val="left"/>
              <w:rPr>
                <w:rFonts w:hint="default" w:ascii="Times New Roman" w:hAnsi="Times New Roman" w:cs="Times New Roman"/>
                <w:color w:val="auto"/>
                <w:spacing w:val="-10"/>
                <w:sz w:val="24"/>
              </w:rPr>
            </w:pPr>
            <w:r>
              <w:rPr>
                <w:rFonts w:hint="default" w:ascii="Times New Roman" w:hAnsi="Times New Roman" w:eastAsia="Times New Roman" w:cs="Times New Roman"/>
                <w:color w:val="auto"/>
                <w:spacing w:val="-10"/>
                <w:sz w:val="24"/>
              </w:rPr>
              <w:t xml:space="preserve">Q </w:t>
            </w:r>
            <w:r>
              <w:rPr>
                <w:rFonts w:hint="default" w:ascii="Times New Roman" w:hAnsi="Times New Roman" w:cs="Times New Roman"/>
                <w:color w:val="auto"/>
                <w:spacing w:val="-10"/>
                <w:position w:val="-2"/>
                <w:sz w:val="12"/>
                <w:szCs w:val="12"/>
              </w:rPr>
              <w:t>水</w:t>
            </w:r>
            <w:r>
              <w:rPr>
                <w:rFonts w:hint="default" w:ascii="Times New Roman" w:hAnsi="Times New Roman" w:eastAsia="Times New Roman" w:cs="Times New Roman"/>
                <w:color w:val="auto"/>
                <w:spacing w:val="-10"/>
                <w:sz w:val="24"/>
              </w:rPr>
              <w:t>——</w:t>
            </w:r>
            <w:r>
              <w:rPr>
                <w:rFonts w:hint="default" w:ascii="Times New Roman" w:hAnsi="Times New Roman" w:cs="Times New Roman"/>
                <w:color w:val="auto"/>
                <w:spacing w:val="-10"/>
                <w:sz w:val="24"/>
              </w:rPr>
              <w:t>喷淋液循环水量，</w:t>
            </w:r>
            <w:r>
              <w:rPr>
                <w:rFonts w:hint="default" w:ascii="Times New Roman" w:hAnsi="Times New Roman" w:eastAsia="Times New Roman" w:cs="Times New Roman"/>
                <w:color w:val="auto"/>
                <w:spacing w:val="-10"/>
                <w:sz w:val="24"/>
              </w:rPr>
              <w:t>m</w:t>
            </w:r>
            <w:r>
              <w:rPr>
                <w:rFonts w:hint="default" w:ascii="Times New Roman" w:hAnsi="Times New Roman" w:eastAsia="Times New Roman" w:cs="Times New Roman"/>
                <w:color w:val="auto"/>
                <w:spacing w:val="-10"/>
                <w:position w:val="10"/>
                <w:sz w:val="16"/>
                <w:szCs w:val="16"/>
              </w:rPr>
              <w:t>3</w:t>
            </w:r>
            <w:r>
              <w:rPr>
                <w:rFonts w:hint="default" w:ascii="Times New Roman" w:hAnsi="Times New Roman" w:eastAsia="Times New Roman" w:cs="Times New Roman"/>
                <w:color w:val="auto"/>
                <w:spacing w:val="-10"/>
                <w:sz w:val="24"/>
              </w:rPr>
              <w:t>/h</w:t>
            </w:r>
            <w:r>
              <w:rPr>
                <w:rFonts w:hint="default" w:ascii="Times New Roman" w:hAnsi="Times New Roman" w:cs="Times New Roman"/>
                <w:color w:val="auto"/>
                <w:spacing w:val="-10"/>
                <w:sz w:val="24"/>
              </w:rPr>
              <w:t>；</w:t>
            </w:r>
          </w:p>
          <w:p w14:paraId="40A852AE">
            <w:pPr>
              <w:spacing w:line="360" w:lineRule="auto"/>
              <w:rPr>
                <w:rFonts w:hint="default" w:ascii="Times New Roman" w:hAnsi="Times New Roman" w:cs="Times New Roman"/>
                <w:color w:val="auto"/>
                <w:sz w:val="24"/>
              </w:rPr>
            </w:pPr>
            <w:r>
              <w:rPr>
                <w:rFonts w:hint="default" w:ascii="Times New Roman" w:hAnsi="Times New Roman" w:cs="Times New Roman"/>
                <w:color w:val="auto"/>
                <w:spacing w:val="13"/>
                <w:sz w:val="24"/>
              </w:rPr>
              <w:t xml:space="preserve">           </w:t>
            </w:r>
            <w:r>
              <w:rPr>
                <w:rFonts w:hint="default" w:ascii="Times New Roman" w:hAnsi="Times New Roman" w:eastAsia="Times New Roman" w:cs="Times New Roman"/>
                <w:color w:val="auto"/>
                <w:spacing w:val="-6"/>
                <w:sz w:val="24"/>
              </w:rPr>
              <w:t xml:space="preserve">Q </w:t>
            </w:r>
            <w:r>
              <w:rPr>
                <w:rFonts w:hint="default" w:ascii="Times New Roman" w:hAnsi="Times New Roman" w:cs="Times New Roman"/>
                <w:color w:val="auto"/>
                <w:spacing w:val="-6"/>
                <w:position w:val="-2"/>
                <w:sz w:val="12"/>
                <w:szCs w:val="12"/>
              </w:rPr>
              <w:t>气</w:t>
            </w:r>
            <w:r>
              <w:rPr>
                <w:rFonts w:hint="default" w:ascii="Times New Roman" w:hAnsi="Times New Roman" w:eastAsia="Times New Roman" w:cs="Times New Roman"/>
                <w:color w:val="auto"/>
                <w:spacing w:val="-6"/>
                <w:sz w:val="24"/>
              </w:rPr>
              <w:t>——</w:t>
            </w:r>
            <w:r>
              <w:rPr>
                <w:rFonts w:hint="default" w:ascii="Times New Roman" w:hAnsi="Times New Roman" w:cs="Times New Roman"/>
                <w:color w:val="auto"/>
                <w:spacing w:val="-6"/>
                <w:sz w:val="24"/>
              </w:rPr>
              <w:t>设计处理风量，</w:t>
            </w:r>
            <w:r>
              <w:rPr>
                <w:rFonts w:hint="default" w:ascii="Times New Roman" w:hAnsi="Times New Roman" w:eastAsia="Times New Roman" w:cs="Times New Roman"/>
                <w:color w:val="auto"/>
                <w:spacing w:val="-6"/>
                <w:sz w:val="24"/>
              </w:rPr>
              <w:t>m</w:t>
            </w:r>
            <w:r>
              <w:rPr>
                <w:rFonts w:hint="default" w:ascii="Times New Roman" w:hAnsi="Times New Roman" w:eastAsia="Times New Roman" w:cs="Times New Roman"/>
                <w:color w:val="auto"/>
                <w:spacing w:val="-6"/>
                <w:position w:val="10"/>
                <w:sz w:val="16"/>
                <w:szCs w:val="16"/>
              </w:rPr>
              <w:t>3</w:t>
            </w:r>
            <w:r>
              <w:rPr>
                <w:rFonts w:hint="default" w:ascii="Times New Roman" w:hAnsi="Times New Roman" w:eastAsia="Times New Roman" w:cs="Times New Roman"/>
                <w:color w:val="auto"/>
                <w:spacing w:val="-6"/>
                <w:sz w:val="24"/>
              </w:rPr>
              <w:t>/h</w:t>
            </w:r>
            <w:r>
              <w:rPr>
                <w:rFonts w:hint="default" w:ascii="Times New Roman" w:hAnsi="Times New Roman" w:cs="Times New Roman"/>
                <w:color w:val="auto"/>
                <w:spacing w:val="-6"/>
                <w:sz w:val="24"/>
              </w:rPr>
              <w:t>；</w:t>
            </w:r>
          </w:p>
          <w:p w14:paraId="2726EC98">
            <w:pPr>
              <w:spacing w:before="75" w:line="353" w:lineRule="auto"/>
              <w:ind w:left="121" w:right="112" w:firstLine="465"/>
              <w:rPr>
                <w:rFonts w:hint="default" w:ascii="Times New Roman" w:hAnsi="Times New Roman" w:cs="Times New Roman"/>
                <w:color w:val="auto"/>
                <w:sz w:val="24"/>
              </w:rPr>
            </w:pPr>
            <w:r>
              <w:rPr>
                <w:rFonts w:hint="default" w:ascii="Times New Roman" w:hAnsi="Times New Roman" w:cs="Times New Roman"/>
                <w:color w:val="auto"/>
                <w:spacing w:val="-6"/>
                <w:sz w:val="24"/>
              </w:rPr>
              <w:t>本评价液气比按照</w:t>
            </w:r>
            <w:r>
              <w:rPr>
                <w:rFonts w:hint="default" w:ascii="Times New Roman" w:hAnsi="Times New Roman" w:cs="Times New Roman"/>
                <w:color w:val="auto"/>
                <w:spacing w:val="-53"/>
                <w:sz w:val="24"/>
              </w:rPr>
              <w:t xml:space="preserve">3   </w:t>
            </w:r>
            <w:r>
              <w:rPr>
                <w:rFonts w:hint="default" w:ascii="Times New Roman" w:hAnsi="Times New Roman" w:cs="Times New Roman"/>
                <w:color w:val="auto"/>
                <w:spacing w:val="-6"/>
                <w:sz w:val="24"/>
              </w:rPr>
              <w:t>L/m³·h 核算。喷淋塔的循环水</w:t>
            </w:r>
            <w:r>
              <w:rPr>
                <w:rFonts w:hint="default" w:ascii="Times New Roman" w:hAnsi="Times New Roman" w:cs="Times New Roman"/>
                <w:color w:val="auto"/>
                <w:spacing w:val="-1"/>
                <w:sz w:val="24"/>
              </w:rPr>
              <w:t>池存水量按照</w:t>
            </w:r>
            <w:r>
              <w:rPr>
                <w:rFonts w:hint="default" w:ascii="Times New Roman" w:hAnsi="Times New Roman" w:cs="Times New Roman"/>
                <w:color w:val="auto"/>
                <w:spacing w:val="-49"/>
                <w:sz w:val="24"/>
              </w:rPr>
              <w:t xml:space="preserve"> </w:t>
            </w:r>
            <w:r>
              <w:rPr>
                <w:rFonts w:hint="default" w:ascii="Times New Roman" w:hAnsi="Times New Roman" w:cs="Times New Roman"/>
                <w:color w:val="auto"/>
                <w:spacing w:val="-1"/>
                <w:sz w:val="24"/>
              </w:rPr>
              <w:t>3min循环水量的要求设置，循环过程中水量损耗按照0.1%核算，喷淋塔废水按照每60天排入废水处理站处理计算，则</w:t>
            </w:r>
            <w:r>
              <w:rPr>
                <w:rFonts w:hint="default" w:ascii="Times New Roman" w:hAnsi="Times New Roman" w:cs="Times New Roman"/>
                <w:color w:val="auto"/>
                <w:spacing w:val="-2"/>
                <w:sz w:val="24"/>
              </w:rPr>
              <w:t>项目喷淋用水量、废水</w:t>
            </w:r>
            <w:r>
              <w:rPr>
                <w:rFonts w:hint="default" w:ascii="Times New Roman" w:hAnsi="Times New Roman" w:cs="Times New Roman"/>
                <w:color w:val="auto"/>
                <w:spacing w:val="-9"/>
                <w:sz w:val="24"/>
              </w:rPr>
              <w:t>量详见下表：</w:t>
            </w:r>
          </w:p>
          <w:p w14:paraId="1503F612">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表4.2-13  喷淋塔循环水量、废水量产生一览表</w:t>
            </w:r>
          </w:p>
          <w:tbl>
            <w:tblPr>
              <w:tblStyle w:val="84"/>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361"/>
              <w:gridCol w:w="1060"/>
              <w:gridCol w:w="914"/>
              <w:gridCol w:w="946"/>
              <w:gridCol w:w="922"/>
              <w:gridCol w:w="1242"/>
              <w:gridCol w:w="1067"/>
              <w:gridCol w:w="1067"/>
            </w:tblGrid>
            <w:tr w14:paraId="7A35E8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793" w:type="pct"/>
                  <w:tcBorders>
                    <w:tl2br w:val="nil"/>
                    <w:tr2bl w:val="nil"/>
                  </w:tcBorders>
                  <w:vAlign w:val="center"/>
                </w:tcPr>
                <w:p w14:paraId="456EC0F3">
                  <w:pPr>
                    <w:jc w:val="center"/>
                    <w:rPr>
                      <w:rFonts w:hint="default" w:ascii="Times New Roman" w:hAnsi="Times New Roman" w:cs="Times New Roman"/>
                      <w:color w:val="auto"/>
                      <w:szCs w:val="21"/>
                    </w:rPr>
                  </w:pPr>
                  <w:r>
                    <w:rPr>
                      <w:rFonts w:hint="default" w:ascii="Times New Roman" w:hAnsi="Times New Roman" w:cs="Times New Roman"/>
                      <w:color w:val="auto"/>
                      <w:spacing w:val="-3"/>
                      <w:szCs w:val="21"/>
                    </w:rPr>
                    <w:t>设计风量</w:t>
                  </w:r>
                </w:p>
              </w:tc>
              <w:tc>
                <w:tcPr>
                  <w:tcW w:w="617" w:type="pct"/>
                  <w:tcBorders>
                    <w:tl2br w:val="nil"/>
                    <w:tr2bl w:val="nil"/>
                  </w:tcBorders>
                  <w:vAlign w:val="center"/>
                </w:tcPr>
                <w:p w14:paraId="67B1617C">
                  <w:pPr>
                    <w:jc w:val="center"/>
                    <w:rPr>
                      <w:rFonts w:hint="default" w:ascii="Times New Roman" w:hAnsi="Times New Roman" w:eastAsia="Times New Roman" w:cs="Times New Roman"/>
                      <w:color w:val="auto"/>
                      <w:szCs w:val="21"/>
                    </w:rPr>
                  </w:pPr>
                  <w:r>
                    <w:rPr>
                      <w:rFonts w:hint="default" w:ascii="Times New Roman" w:hAnsi="Times New Roman" w:cs="Times New Roman"/>
                      <w:color w:val="auto"/>
                      <w:spacing w:val="-3"/>
                      <w:szCs w:val="21"/>
                    </w:rPr>
                    <w:t>小时循</w:t>
                  </w:r>
                  <w:r>
                    <w:rPr>
                      <w:rFonts w:hint="default" w:ascii="Times New Roman" w:hAnsi="Times New Roman" w:cs="Times New Roman"/>
                      <w:color w:val="auto"/>
                      <w:spacing w:val="-2"/>
                      <w:szCs w:val="21"/>
                    </w:rPr>
                    <w:t>环水量</w:t>
                  </w:r>
                  <w:r>
                    <w:rPr>
                      <w:rFonts w:hint="default" w:ascii="Times New Roman" w:hAnsi="Times New Roman" w:eastAsia="Times New Roman" w:cs="Times New Roman"/>
                      <w:color w:val="auto"/>
                      <w:spacing w:val="-2"/>
                      <w:position w:val="-1"/>
                      <w:szCs w:val="21"/>
                    </w:rPr>
                    <w:t>m</w:t>
                  </w:r>
                  <w:r>
                    <w:rPr>
                      <w:rFonts w:hint="default" w:ascii="Times New Roman" w:hAnsi="Times New Roman" w:eastAsia="Times New Roman" w:cs="Times New Roman"/>
                      <w:color w:val="auto"/>
                      <w:spacing w:val="-2"/>
                      <w:position w:val="8"/>
                      <w:sz w:val="13"/>
                      <w:szCs w:val="13"/>
                    </w:rPr>
                    <w:t>3</w:t>
                  </w:r>
                  <w:r>
                    <w:rPr>
                      <w:rFonts w:hint="default" w:ascii="Times New Roman" w:hAnsi="Times New Roman" w:eastAsia="Times New Roman" w:cs="Times New Roman"/>
                      <w:color w:val="auto"/>
                      <w:spacing w:val="-2"/>
                      <w:position w:val="-1"/>
                      <w:szCs w:val="21"/>
                    </w:rPr>
                    <w:t>/h</w:t>
                  </w:r>
                </w:p>
              </w:tc>
              <w:tc>
                <w:tcPr>
                  <w:tcW w:w="532" w:type="pct"/>
                  <w:tcBorders>
                    <w:tl2br w:val="nil"/>
                    <w:tr2bl w:val="nil"/>
                  </w:tcBorders>
                  <w:vAlign w:val="center"/>
                </w:tcPr>
                <w:p w14:paraId="57A6360B">
                  <w:pPr>
                    <w:jc w:val="center"/>
                    <w:rPr>
                      <w:rFonts w:hint="default" w:ascii="Times New Roman" w:hAnsi="Times New Roman" w:cs="Times New Roman"/>
                      <w:color w:val="auto"/>
                      <w:szCs w:val="21"/>
                    </w:rPr>
                  </w:pPr>
                  <w:r>
                    <w:rPr>
                      <w:rFonts w:hint="default" w:ascii="Times New Roman" w:hAnsi="Times New Roman" w:cs="Times New Roman"/>
                      <w:color w:val="auto"/>
                      <w:spacing w:val="-2"/>
                      <w:szCs w:val="21"/>
                    </w:rPr>
                    <w:t>循环水</w:t>
                  </w:r>
                  <w:r>
                    <w:rPr>
                      <w:rFonts w:hint="default" w:ascii="Times New Roman" w:hAnsi="Times New Roman" w:cs="Times New Roman"/>
                      <w:color w:val="auto"/>
                      <w:szCs w:val="21"/>
                    </w:rPr>
                    <w:t>池体积</w:t>
                  </w:r>
                  <w:r>
                    <w:rPr>
                      <w:rFonts w:hint="default" w:ascii="Times New Roman" w:hAnsi="Times New Roman" w:eastAsia="Times New Roman" w:cs="Times New Roman"/>
                      <w:color w:val="auto"/>
                      <w:spacing w:val="-7"/>
                      <w:szCs w:val="21"/>
                    </w:rPr>
                    <w:t>m</w:t>
                  </w:r>
                  <w:r>
                    <w:rPr>
                      <w:rFonts w:hint="default" w:ascii="Times New Roman" w:hAnsi="Times New Roman" w:eastAsia="Times New Roman" w:cs="Times New Roman"/>
                      <w:color w:val="auto"/>
                      <w:spacing w:val="-7"/>
                      <w:position w:val="9"/>
                      <w:sz w:val="13"/>
                      <w:szCs w:val="13"/>
                    </w:rPr>
                    <w:t>3</w:t>
                  </w:r>
                </w:p>
              </w:tc>
              <w:tc>
                <w:tcPr>
                  <w:tcW w:w="551" w:type="pct"/>
                  <w:tcBorders>
                    <w:tl2br w:val="nil"/>
                    <w:tr2bl w:val="nil"/>
                  </w:tcBorders>
                  <w:vAlign w:val="center"/>
                </w:tcPr>
                <w:p w14:paraId="20EED2DF">
                  <w:pPr>
                    <w:jc w:val="center"/>
                    <w:rPr>
                      <w:rFonts w:hint="default" w:ascii="Times New Roman" w:hAnsi="Times New Roman" w:eastAsia="Times New Roman" w:cs="Times New Roman"/>
                      <w:color w:val="auto"/>
                      <w:szCs w:val="21"/>
                    </w:rPr>
                  </w:pPr>
                  <w:r>
                    <w:rPr>
                      <w:rFonts w:hint="default" w:ascii="Times New Roman" w:hAnsi="Times New Roman" w:cs="Times New Roman"/>
                      <w:color w:val="auto"/>
                      <w:spacing w:val="-8"/>
                      <w:szCs w:val="21"/>
                    </w:rPr>
                    <w:t>损耗量</w:t>
                  </w:r>
                  <w:r>
                    <w:rPr>
                      <w:rFonts w:hint="default" w:ascii="Times New Roman" w:hAnsi="Times New Roman" w:eastAsia="Times New Roman" w:cs="Times New Roman"/>
                      <w:color w:val="auto"/>
                      <w:spacing w:val="-2"/>
                      <w:position w:val="-1"/>
                      <w:szCs w:val="21"/>
                    </w:rPr>
                    <w:t>m</w:t>
                  </w:r>
                  <w:r>
                    <w:rPr>
                      <w:rFonts w:hint="default" w:ascii="Times New Roman" w:hAnsi="Times New Roman" w:eastAsia="Times New Roman" w:cs="Times New Roman"/>
                      <w:color w:val="auto"/>
                      <w:spacing w:val="-2"/>
                      <w:position w:val="8"/>
                      <w:sz w:val="13"/>
                      <w:szCs w:val="13"/>
                    </w:rPr>
                    <w:t>3</w:t>
                  </w:r>
                  <w:r>
                    <w:rPr>
                      <w:rFonts w:hint="default" w:ascii="Times New Roman" w:hAnsi="Times New Roman" w:eastAsia="Times New Roman" w:cs="Times New Roman"/>
                      <w:color w:val="auto"/>
                      <w:spacing w:val="-2"/>
                      <w:position w:val="-1"/>
                      <w:szCs w:val="21"/>
                    </w:rPr>
                    <w:t>/h</w:t>
                  </w:r>
                </w:p>
              </w:tc>
              <w:tc>
                <w:tcPr>
                  <w:tcW w:w="537" w:type="pct"/>
                  <w:tcBorders>
                    <w:tl2br w:val="nil"/>
                    <w:tr2bl w:val="nil"/>
                  </w:tcBorders>
                  <w:vAlign w:val="center"/>
                </w:tcPr>
                <w:p w14:paraId="376CC029">
                  <w:pPr>
                    <w:jc w:val="center"/>
                    <w:rPr>
                      <w:rFonts w:hint="default" w:ascii="Times New Roman" w:hAnsi="Times New Roman" w:cs="Times New Roman"/>
                      <w:color w:val="auto"/>
                      <w:szCs w:val="21"/>
                    </w:rPr>
                  </w:pPr>
                  <w:r>
                    <w:rPr>
                      <w:rFonts w:hint="default" w:ascii="Times New Roman" w:hAnsi="Times New Roman" w:cs="Times New Roman"/>
                      <w:color w:val="auto"/>
                      <w:spacing w:val="-2"/>
                      <w:szCs w:val="21"/>
                    </w:rPr>
                    <w:t>年运行</w:t>
                  </w:r>
                  <w:r>
                    <w:rPr>
                      <w:rFonts w:hint="default" w:ascii="Times New Roman" w:hAnsi="Times New Roman" w:cs="Times New Roman"/>
                      <w:color w:val="auto"/>
                      <w:spacing w:val="-11"/>
                      <w:szCs w:val="21"/>
                    </w:rPr>
                    <w:t>时间</w:t>
                  </w:r>
                  <w:r>
                    <w:rPr>
                      <w:rFonts w:hint="default" w:ascii="Times New Roman" w:hAnsi="Times New Roman" w:eastAsia="Times New Roman" w:cs="Times New Roman"/>
                      <w:color w:val="auto"/>
                      <w:spacing w:val="-11"/>
                      <w:szCs w:val="21"/>
                    </w:rPr>
                    <w:t>h</w:t>
                  </w:r>
                </w:p>
              </w:tc>
              <w:tc>
                <w:tcPr>
                  <w:tcW w:w="723" w:type="pct"/>
                  <w:tcBorders>
                    <w:tl2br w:val="nil"/>
                    <w:tr2bl w:val="nil"/>
                  </w:tcBorders>
                  <w:vAlign w:val="center"/>
                </w:tcPr>
                <w:p w14:paraId="04AB8BCD">
                  <w:pPr>
                    <w:jc w:val="center"/>
                    <w:rPr>
                      <w:rFonts w:hint="default" w:ascii="Times New Roman" w:hAnsi="Times New Roman" w:cs="Times New Roman"/>
                      <w:color w:val="auto"/>
                      <w:szCs w:val="21"/>
                    </w:rPr>
                  </w:pPr>
                  <w:r>
                    <w:rPr>
                      <w:rFonts w:hint="default" w:ascii="Times New Roman" w:hAnsi="Times New Roman" w:cs="Times New Roman"/>
                      <w:color w:val="auto"/>
                      <w:spacing w:val="-2"/>
                      <w:szCs w:val="21"/>
                    </w:rPr>
                    <w:t>废水更换</w:t>
                  </w:r>
                  <w:r>
                    <w:rPr>
                      <w:rFonts w:hint="default" w:ascii="Times New Roman" w:hAnsi="Times New Roman" w:cs="Times New Roman"/>
                      <w:color w:val="auto"/>
                      <w:spacing w:val="29"/>
                      <w:szCs w:val="21"/>
                    </w:rPr>
                    <w:t>频次</w:t>
                  </w:r>
                  <w:r>
                    <w:rPr>
                      <w:rFonts w:hint="default" w:ascii="Times New Roman" w:hAnsi="Times New Roman" w:cs="Times New Roman"/>
                      <w:color w:val="auto"/>
                      <w:spacing w:val="-6"/>
                      <w:szCs w:val="21"/>
                    </w:rPr>
                    <w:t>（次</w:t>
                  </w:r>
                  <w:r>
                    <w:rPr>
                      <w:rFonts w:hint="default" w:ascii="Times New Roman" w:hAnsi="Times New Roman" w:eastAsia="Times New Roman" w:cs="Times New Roman"/>
                      <w:color w:val="auto"/>
                      <w:spacing w:val="-6"/>
                      <w:szCs w:val="21"/>
                    </w:rPr>
                    <w:t>/</w:t>
                  </w:r>
                  <w:r>
                    <w:rPr>
                      <w:rFonts w:hint="default" w:ascii="Times New Roman" w:hAnsi="Times New Roman" w:cs="Times New Roman"/>
                      <w:color w:val="auto"/>
                      <w:spacing w:val="-6"/>
                      <w:szCs w:val="21"/>
                    </w:rPr>
                    <w:t>年）</w:t>
                  </w:r>
                </w:p>
              </w:tc>
              <w:tc>
                <w:tcPr>
                  <w:tcW w:w="621" w:type="pct"/>
                  <w:tcBorders>
                    <w:tl2br w:val="nil"/>
                    <w:tr2bl w:val="nil"/>
                  </w:tcBorders>
                  <w:vAlign w:val="center"/>
                </w:tcPr>
                <w:p w14:paraId="34B920F2">
                  <w:pPr>
                    <w:jc w:val="center"/>
                    <w:rPr>
                      <w:rFonts w:hint="default" w:ascii="Times New Roman" w:hAnsi="Times New Roman" w:cs="Times New Roman"/>
                      <w:color w:val="auto"/>
                      <w:spacing w:val="-2"/>
                      <w:szCs w:val="21"/>
                    </w:rPr>
                  </w:pPr>
                  <w:r>
                    <w:rPr>
                      <w:rFonts w:hint="default" w:ascii="Times New Roman" w:hAnsi="Times New Roman" w:cs="Times New Roman"/>
                      <w:color w:val="auto"/>
                      <w:spacing w:val="-2"/>
                      <w:szCs w:val="21"/>
                    </w:rPr>
                    <w:t>废水量</w:t>
                  </w:r>
                </w:p>
                <w:p w14:paraId="4D1B5C37">
                  <w:pPr>
                    <w:jc w:val="center"/>
                    <w:rPr>
                      <w:rFonts w:hint="default" w:ascii="Times New Roman" w:hAnsi="Times New Roman" w:cs="Times New Roman"/>
                      <w:color w:val="auto"/>
                      <w:szCs w:val="21"/>
                    </w:rPr>
                  </w:pPr>
                  <w:r>
                    <w:rPr>
                      <w:rFonts w:hint="default" w:ascii="Times New Roman" w:hAnsi="Times New Roman" w:eastAsia="Times New Roman" w:cs="Times New Roman"/>
                      <w:color w:val="auto"/>
                      <w:spacing w:val="-5"/>
                      <w:szCs w:val="21"/>
                    </w:rPr>
                    <w:t>m</w:t>
                  </w:r>
                  <w:r>
                    <w:rPr>
                      <w:rFonts w:hint="default" w:ascii="Times New Roman" w:hAnsi="Times New Roman" w:eastAsia="Times New Roman" w:cs="Times New Roman"/>
                      <w:color w:val="auto"/>
                      <w:spacing w:val="-5"/>
                      <w:position w:val="9"/>
                      <w:sz w:val="13"/>
                      <w:szCs w:val="13"/>
                    </w:rPr>
                    <w:t>3</w:t>
                  </w:r>
                  <w:r>
                    <w:rPr>
                      <w:rFonts w:hint="default" w:ascii="Times New Roman" w:hAnsi="Times New Roman" w:eastAsia="Times New Roman" w:cs="Times New Roman"/>
                      <w:color w:val="auto"/>
                      <w:spacing w:val="-5"/>
                      <w:szCs w:val="21"/>
                    </w:rPr>
                    <w:t>/a</w:t>
                  </w:r>
                </w:p>
              </w:tc>
              <w:tc>
                <w:tcPr>
                  <w:tcW w:w="621" w:type="pct"/>
                  <w:tcBorders>
                    <w:tl2br w:val="nil"/>
                    <w:tr2bl w:val="nil"/>
                  </w:tcBorders>
                  <w:vAlign w:val="center"/>
                </w:tcPr>
                <w:p w14:paraId="61CDAFDF">
                  <w:pPr>
                    <w:jc w:val="center"/>
                    <w:rPr>
                      <w:rFonts w:hint="default" w:ascii="Times New Roman" w:hAnsi="Times New Roman" w:cs="Times New Roman"/>
                      <w:color w:val="auto"/>
                      <w:spacing w:val="-2"/>
                      <w:szCs w:val="21"/>
                    </w:rPr>
                  </w:pPr>
                  <w:r>
                    <w:rPr>
                      <w:rFonts w:hint="default" w:ascii="Times New Roman" w:hAnsi="Times New Roman" w:cs="Times New Roman"/>
                      <w:color w:val="auto"/>
                      <w:spacing w:val="-2"/>
                      <w:szCs w:val="21"/>
                    </w:rPr>
                    <w:t>补充水量</w:t>
                  </w:r>
                </w:p>
                <w:p w14:paraId="315002B8">
                  <w:pPr>
                    <w:jc w:val="center"/>
                    <w:rPr>
                      <w:rFonts w:hint="default" w:ascii="Times New Roman" w:hAnsi="Times New Roman" w:cs="Times New Roman"/>
                      <w:color w:val="auto"/>
                      <w:spacing w:val="-2"/>
                      <w:szCs w:val="21"/>
                    </w:rPr>
                  </w:pPr>
                  <w:r>
                    <w:rPr>
                      <w:rFonts w:hint="default" w:ascii="Times New Roman" w:hAnsi="Times New Roman" w:eastAsia="Times New Roman" w:cs="Times New Roman"/>
                      <w:color w:val="auto"/>
                      <w:spacing w:val="-2"/>
                      <w:position w:val="-1"/>
                      <w:szCs w:val="21"/>
                    </w:rPr>
                    <w:t>m</w:t>
                  </w:r>
                  <w:r>
                    <w:rPr>
                      <w:rFonts w:hint="default" w:ascii="Times New Roman" w:hAnsi="Times New Roman" w:eastAsia="Times New Roman" w:cs="Times New Roman"/>
                      <w:color w:val="auto"/>
                      <w:spacing w:val="-2"/>
                      <w:position w:val="8"/>
                      <w:sz w:val="13"/>
                      <w:szCs w:val="13"/>
                    </w:rPr>
                    <w:t>3</w:t>
                  </w:r>
                  <w:r>
                    <w:rPr>
                      <w:rFonts w:hint="default" w:ascii="Times New Roman" w:hAnsi="Times New Roman" w:eastAsia="Times New Roman" w:cs="Times New Roman"/>
                      <w:color w:val="auto"/>
                      <w:spacing w:val="-2"/>
                      <w:position w:val="-1"/>
                      <w:szCs w:val="21"/>
                    </w:rPr>
                    <w:t>/</w:t>
                  </w:r>
                  <w:r>
                    <w:rPr>
                      <w:rFonts w:hint="default" w:ascii="Times New Roman" w:hAnsi="Times New Roman" w:cs="Times New Roman"/>
                      <w:color w:val="auto"/>
                      <w:spacing w:val="-2"/>
                      <w:position w:val="-1"/>
                      <w:szCs w:val="21"/>
                    </w:rPr>
                    <w:t>a</w:t>
                  </w:r>
                </w:p>
              </w:tc>
            </w:tr>
            <w:tr w14:paraId="1A834E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793" w:type="pct"/>
                  <w:tcBorders>
                    <w:tl2br w:val="nil"/>
                    <w:tr2bl w:val="nil"/>
                  </w:tcBorders>
                  <w:vAlign w:val="center"/>
                </w:tcPr>
                <w:p w14:paraId="47DCBF11">
                  <w:pPr>
                    <w:jc w:val="center"/>
                    <w:rPr>
                      <w:rFonts w:hint="default" w:ascii="Times New Roman" w:hAnsi="Times New Roman" w:eastAsia="Times New Roman" w:cs="Times New Roman"/>
                      <w:color w:val="auto"/>
                      <w:szCs w:val="21"/>
                    </w:rPr>
                  </w:pPr>
                  <w:r>
                    <w:rPr>
                      <w:rFonts w:hint="default" w:ascii="Times New Roman" w:hAnsi="Times New Roman" w:cs="Times New Roman"/>
                      <w:color w:val="auto"/>
                      <w:szCs w:val="21"/>
                    </w:rPr>
                    <w:t>3</w:t>
                  </w:r>
                  <w:r>
                    <w:rPr>
                      <w:rFonts w:hint="default" w:ascii="Times New Roman" w:hAnsi="Times New Roman" w:eastAsia="Times New Roman" w:cs="Times New Roman"/>
                      <w:color w:val="auto"/>
                      <w:szCs w:val="21"/>
                    </w:rPr>
                    <w:t>0000m</w:t>
                  </w:r>
                  <w:r>
                    <w:rPr>
                      <w:rFonts w:hint="default" w:ascii="Times New Roman" w:hAnsi="Times New Roman" w:eastAsia="Times New Roman" w:cs="Times New Roman"/>
                      <w:color w:val="auto"/>
                      <w:position w:val="9"/>
                      <w:sz w:val="13"/>
                      <w:szCs w:val="13"/>
                    </w:rPr>
                    <w:t>3</w:t>
                  </w:r>
                  <w:r>
                    <w:rPr>
                      <w:rFonts w:hint="default" w:ascii="Times New Roman" w:hAnsi="Times New Roman" w:eastAsia="Times New Roman" w:cs="Times New Roman"/>
                      <w:color w:val="auto"/>
                      <w:szCs w:val="21"/>
                    </w:rPr>
                    <w:t>/h</w:t>
                  </w:r>
                </w:p>
              </w:tc>
              <w:tc>
                <w:tcPr>
                  <w:tcW w:w="617" w:type="pct"/>
                  <w:tcBorders>
                    <w:tl2br w:val="nil"/>
                    <w:tr2bl w:val="nil"/>
                  </w:tcBorders>
                  <w:vAlign w:val="center"/>
                </w:tcPr>
                <w:p w14:paraId="300E8395">
                  <w:pPr>
                    <w:jc w:val="center"/>
                    <w:rPr>
                      <w:rFonts w:hint="default" w:ascii="Times New Roman" w:hAnsi="Times New Roman" w:cs="Times New Roman"/>
                      <w:color w:val="auto"/>
                      <w:szCs w:val="21"/>
                    </w:rPr>
                  </w:pPr>
                  <w:r>
                    <w:rPr>
                      <w:rFonts w:hint="default" w:ascii="Times New Roman" w:hAnsi="Times New Roman" w:cs="Times New Roman"/>
                      <w:color w:val="auto"/>
                      <w:spacing w:val="-6"/>
                      <w:szCs w:val="21"/>
                    </w:rPr>
                    <w:t>90</w:t>
                  </w:r>
                </w:p>
              </w:tc>
              <w:tc>
                <w:tcPr>
                  <w:tcW w:w="532" w:type="pct"/>
                  <w:tcBorders>
                    <w:tl2br w:val="nil"/>
                    <w:tr2bl w:val="nil"/>
                  </w:tcBorders>
                  <w:vAlign w:val="center"/>
                </w:tcPr>
                <w:p w14:paraId="029FFB9C">
                  <w:pPr>
                    <w:jc w:val="center"/>
                    <w:rPr>
                      <w:rFonts w:hint="default" w:ascii="Times New Roman" w:hAnsi="Times New Roman" w:cs="Times New Roman"/>
                      <w:color w:val="auto"/>
                      <w:szCs w:val="21"/>
                    </w:rPr>
                  </w:pPr>
                  <w:r>
                    <w:rPr>
                      <w:rFonts w:hint="default" w:ascii="Times New Roman" w:hAnsi="Times New Roman" w:cs="Times New Roman"/>
                      <w:color w:val="auto"/>
                      <w:szCs w:val="21"/>
                    </w:rPr>
                    <w:t>4.5</w:t>
                  </w:r>
                </w:p>
              </w:tc>
              <w:tc>
                <w:tcPr>
                  <w:tcW w:w="551" w:type="pct"/>
                  <w:tcBorders>
                    <w:tl2br w:val="nil"/>
                    <w:tr2bl w:val="nil"/>
                  </w:tcBorders>
                  <w:vAlign w:val="center"/>
                </w:tcPr>
                <w:p w14:paraId="1D3B31E2">
                  <w:pPr>
                    <w:jc w:val="center"/>
                    <w:rPr>
                      <w:rFonts w:hint="default" w:ascii="Times New Roman" w:hAnsi="Times New Roman" w:cs="Times New Roman"/>
                      <w:color w:val="auto"/>
                      <w:szCs w:val="21"/>
                    </w:rPr>
                  </w:pPr>
                  <w:r>
                    <w:rPr>
                      <w:rFonts w:hint="default" w:ascii="Times New Roman" w:hAnsi="Times New Roman" w:cs="Times New Roman"/>
                      <w:color w:val="auto"/>
                      <w:spacing w:val="-1"/>
                      <w:szCs w:val="21"/>
                    </w:rPr>
                    <w:t>0.09</w:t>
                  </w:r>
                </w:p>
              </w:tc>
              <w:tc>
                <w:tcPr>
                  <w:tcW w:w="537" w:type="pct"/>
                  <w:tcBorders>
                    <w:tl2br w:val="nil"/>
                    <w:tr2bl w:val="nil"/>
                  </w:tcBorders>
                  <w:vAlign w:val="center"/>
                </w:tcPr>
                <w:p w14:paraId="52A4EF0F">
                  <w:pPr>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pacing w:val="-2"/>
                      <w:szCs w:val="21"/>
                    </w:rPr>
                    <w:t>7200</w:t>
                  </w:r>
                </w:p>
              </w:tc>
              <w:tc>
                <w:tcPr>
                  <w:tcW w:w="723" w:type="pct"/>
                  <w:tcBorders>
                    <w:tl2br w:val="nil"/>
                    <w:tr2bl w:val="nil"/>
                  </w:tcBorders>
                  <w:vAlign w:val="center"/>
                </w:tcPr>
                <w:p w14:paraId="02419D1A">
                  <w:pPr>
                    <w:jc w:val="center"/>
                    <w:rPr>
                      <w:rFonts w:hint="default" w:ascii="Times New Roman" w:hAnsi="Times New Roman" w:cs="Times New Roman"/>
                      <w:color w:val="auto"/>
                      <w:szCs w:val="21"/>
                    </w:rPr>
                  </w:pPr>
                  <w:r>
                    <w:rPr>
                      <w:rFonts w:hint="default" w:ascii="Times New Roman" w:hAnsi="Times New Roman" w:cs="Times New Roman"/>
                      <w:color w:val="auto"/>
                      <w:spacing w:val="-2"/>
                      <w:szCs w:val="21"/>
                    </w:rPr>
                    <w:t>5</w:t>
                  </w:r>
                </w:p>
              </w:tc>
              <w:tc>
                <w:tcPr>
                  <w:tcW w:w="621" w:type="pct"/>
                  <w:tcBorders>
                    <w:tl2br w:val="nil"/>
                    <w:tr2bl w:val="nil"/>
                  </w:tcBorders>
                  <w:vAlign w:val="center"/>
                </w:tcPr>
                <w:p w14:paraId="5385F2D6">
                  <w:pPr>
                    <w:jc w:val="center"/>
                    <w:rPr>
                      <w:rFonts w:hint="default" w:ascii="Times New Roman" w:hAnsi="Times New Roman" w:cs="Times New Roman"/>
                      <w:color w:val="auto"/>
                      <w:szCs w:val="21"/>
                    </w:rPr>
                  </w:pPr>
                  <w:r>
                    <w:rPr>
                      <w:rFonts w:hint="default" w:ascii="Times New Roman" w:hAnsi="Times New Roman" w:eastAsia="Times New Roman" w:cs="Times New Roman"/>
                      <w:color w:val="auto"/>
                      <w:spacing w:val="-2"/>
                      <w:szCs w:val="21"/>
                    </w:rPr>
                    <w:t>22.5</w:t>
                  </w:r>
                </w:p>
              </w:tc>
              <w:tc>
                <w:tcPr>
                  <w:tcW w:w="621" w:type="pct"/>
                  <w:tcBorders>
                    <w:tl2br w:val="nil"/>
                    <w:tr2bl w:val="nil"/>
                  </w:tcBorders>
                  <w:vAlign w:val="center"/>
                </w:tcPr>
                <w:p w14:paraId="598355C5">
                  <w:pPr>
                    <w:jc w:val="center"/>
                    <w:rPr>
                      <w:rFonts w:hint="default" w:ascii="Times New Roman" w:hAnsi="Times New Roman" w:eastAsia="Times New Roman" w:cs="Times New Roman"/>
                      <w:color w:val="auto"/>
                      <w:spacing w:val="-2"/>
                      <w:szCs w:val="21"/>
                    </w:rPr>
                  </w:pPr>
                  <w:r>
                    <w:rPr>
                      <w:rFonts w:hint="default" w:ascii="Times New Roman" w:hAnsi="Times New Roman" w:eastAsia="Times New Roman" w:cs="Times New Roman"/>
                      <w:color w:val="auto"/>
                      <w:spacing w:val="-2"/>
                      <w:szCs w:val="21"/>
                    </w:rPr>
                    <w:t>670.5</w:t>
                  </w:r>
                </w:p>
              </w:tc>
            </w:tr>
          </w:tbl>
          <w:p w14:paraId="0EBC17D4">
            <w:pPr>
              <w:keepNext w:val="0"/>
              <w:keepLines w:val="0"/>
              <w:pageBreakBefore w:val="0"/>
              <w:widowControl w:val="0"/>
              <w:kinsoku/>
              <w:wordWrap/>
              <w:overflowPunct/>
              <w:topLinePunct w:val="0"/>
              <w:autoSpaceDE/>
              <w:autoSpaceDN/>
              <w:bidi w:val="0"/>
              <w:adjustRightInd w:val="0"/>
              <w:snapToGrid w:val="0"/>
              <w:spacing w:before="190" w:beforeLines="50" w:line="360" w:lineRule="auto"/>
              <w:ind w:left="0" w:right="0" w:firstLine="456" w:firstLineChars="200"/>
              <w:jc w:val="both"/>
              <w:textAlignment w:val="auto"/>
              <w:rPr>
                <w:rFonts w:hint="default" w:ascii="Times New Roman" w:hAnsi="Times New Roman" w:cs="Times New Roman"/>
                <w:color w:val="auto"/>
                <w:spacing w:val="-6"/>
                <w:sz w:val="24"/>
              </w:rPr>
            </w:pPr>
            <w:r>
              <w:rPr>
                <w:rFonts w:hint="default" w:ascii="Times New Roman" w:hAnsi="Times New Roman" w:cs="Times New Roman"/>
                <w:color w:val="auto"/>
                <w:spacing w:val="-6"/>
                <w:sz w:val="24"/>
              </w:rPr>
              <w:t>根据上表，酸雾吸收喷淋塔每次更换水量为4.5m</w:t>
            </w:r>
            <w:r>
              <w:rPr>
                <w:rFonts w:hint="default" w:ascii="Times New Roman" w:hAnsi="Times New Roman" w:cs="Times New Roman"/>
                <w:color w:val="auto"/>
                <w:spacing w:val="-6"/>
                <w:sz w:val="24"/>
                <w:vertAlign w:val="superscript"/>
              </w:rPr>
              <w:t>3</w:t>
            </w:r>
            <w:r>
              <w:rPr>
                <w:rFonts w:hint="default" w:ascii="Times New Roman" w:hAnsi="Times New Roman" w:cs="Times New Roman"/>
                <w:color w:val="auto"/>
                <w:spacing w:val="-6"/>
                <w:sz w:val="24"/>
              </w:rPr>
              <w:t>，废水量为22.5m</w:t>
            </w:r>
            <w:r>
              <w:rPr>
                <w:rFonts w:hint="default" w:ascii="Times New Roman" w:hAnsi="Times New Roman" w:cs="Times New Roman"/>
                <w:color w:val="auto"/>
                <w:spacing w:val="-6"/>
                <w:sz w:val="24"/>
                <w:vertAlign w:val="superscript"/>
              </w:rPr>
              <w:t>3</w:t>
            </w:r>
            <w:r>
              <w:rPr>
                <w:rFonts w:hint="default" w:ascii="Times New Roman" w:hAnsi="Times New Roman" w:cs="Times New Roman"/>
                <w:color w:val="auto"/>
                <w:spacing w:val="-6"/>
                <w:sz w:val="24"/>
              </w:rPr>
              <w:t>/a（0.08m</w:t>
            </w:r>
            <w:r>
              <w:rPr>
                <w:rFonts w:hint="default" w:ascii="Times New Roman" w:hAnsi="Times New Roman" w:cs="Times New Roman"/>
                <w:color w:val="auto"/>
                <w:spacing w:val="-6"/>
                <w:sz w:val="24"/>
                <w:vertAlign w:val="superscript"/>
              </w:rPr>
              <w:t>3</w:t>
            </w:r>
            <w:r>
              <w:rPr>
                <w:rFonts w:hint="default" w:ascii="Times New Roman" w:hAnsi="Times New Roman" w:cs="Times New Roman"/>
                <w:color w:val="auto"/>
                <w:spacing w:val="-6"/>
                <w:sz w:val="24"/>
              </w:rPr>
              <w:t>/d）。</w:t>
            </w:r>
          </w:p>
          <w:p w14:paraId="2504D8C8">
            <w:pPr>
              <w:pStyle w:val="10"/>
              <w:keepNext w:val="0"/>
              <w:keepLines w:val="0"/>
              <w:pageBreakBefore w:val="0"/>
              <w:widowControl w:val="0"/>
              <w:kinsoku/>
              <w:wordWrap/>
              <w:overflowPunct/>
              <w:topLinePunct w:val="0"/>
              <w:autoSpaceDN/>
              <w:bidi w:val="0"/>
              <w:adjustRightInd w:val="0"/>
              <w:snapToGrid w:val="0"/>
              <w:spacing w:line="360" w:lineRule="auto"/>
              <w:ind w:left="0" w:right="0" w:firstLine="480" w:firstLineChars="200"/>
              <w:jc w:val="both"/>
              <w:textAlignment w:val="auto"/>
              <w:rPr>
                <w:rFonts w:hint="default" w:ascii="Times New Roman" w:hAnsi="Times New Roman" w:cs="Times New Roman"/>
                <w:color w:val="auto"/>
                <w:sz w:val="24"/>
              </w:rPr>
            </w:pPr>
            <w:r>
              <w:rPr>
                <w:rFonts w:hint="default" w:ascii="Times New Roman" w:hAnsi="Times New Roman" w:cs="Times New Roman"/>
                <w:color w:val="auto"/>
                <w:sz w:val="24"/>
              </w:rPr>
              <w:t>③软水制备废水</w:t>
            </w:r>
          </w:p>
          <w:p w14:paraId="054E5366">
            <w:pPr>
              <w:pStyle w:val="30"/>
              <w:keepNext w:val="0"/>
              <w:keepLines w:val="0"/>
              <w:pageBreakBefore w:val="0"/>
              <w:widowControl w:val="0"/>
              <w:kinsoku/>
              <w:wordWrap/>
              <w:overflowPunct/>
              <w:topLinePunct w:val="0"/>
              <w:autoSpaceDE w:val="0"/>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cs="Times New Roman"/>
                <w:bCs/>
                <w:color w:val="auto"/>
                <w:spacing w:val="-2"/>
                <w:kern w:val="2"/>
                <w:szCs w:val="24"/>
                <w:highlight w:val="yellow"/>
                <w:lang w:bidi="ar"/>
              </w:rPr>
            </w:pPr>
            <w:r>
              <w:rPr>
                <w:rFonts w:hint="default" w:ascii="Times New Roman" w:hAnsi="Times New Roman" w:cs="Times New Roman"/>
                <w:color w:val="auto"/>
              </w:rPr>
              <w:t>本项目建设两台蒸汽发生，配备一套制备软水设备，蒸发量以20%计，补充水量约0.4</w:t>
            </w:r>
            <w:r>
              <w:rPr>
                <w:rFonts w:hint="default" w:ascii="Times New Roman" w:hAnsi="Times New Roman" w:eastAsia="Times New Roman" w:cs="Times New Roman"/>
                <w:color w:val="auto"/>
                <w:spacing w:val="-2"/>
                <w:position w:val="-1"/>
                <w:szCs w:val="24"/>
              </w:rPr>
              <w:t>m</w:t>
            </w:r>
            <w:r>
              <w:rPr>
                <w:rFonts w:hint="default" w:ascii="Times New Roman" w:hAnsi="Times New Roman" w:cs="Times New Roman"/>
                <w:bCs/>
                <w:color w:val="auto"/>
                <w:spacing w:val="-2"/>
                <w:kern w:val="2"/>
                <w:szCs w:val="24"/>
                <w:vertAlign w:val="superscript"/>
                <w:lang w:bidi="ar"/>
              </w:rPr>
              <w:t>3</w:t>
            </w:r>
            <w:r>
              <w:rPr>
                <w:rFonts w:hint="default" w:ascii="Times New Roman" w:hAnsi="Times New Roman" w:eastAsia="Times New Roman" w:cs="Times New Roman"/>
                <w:color w:val="auto"/>
                <w:spacing w:val="-2"/>
                <w:position w:val="-1"/>
                <w:szCs w:val="24"/>
              </w:rPr>
              <w:t>/h</w:t>
            </w:r>
            <w:r>
              <w:rPr>
                <w:rFonts w:hint="default" w:ascii="Times New Roman" w:hAnsi="Times New Roman" w:cs="Times New Roman"/>
                <w:color w:val="auto"/>
                <w:spacing w:val="-2"/>
                <w:position w:val="-1"/>
                <w:szCs w:val="24"/>
              </w:rPr>
              <w:t>；项目采用离子交换树脂制备软化水，会产生含有一定盐分的软化水制备废水，软化水制备效率以75%计，软化水制备</w:t>
            </w:r>
            <w:r>
              <w:rPr>
                <w:rFonts w:hint="default" w:ascii="Times New Roman" w:hAnsi="Times New Roman" w:cs="Times New Roman"/>
                <w:color w:val="auto"/>
                <w:spacing w:val="-2"/>
                <w:position w:val="-1"/>
                <w:szCs w:val="24"/>
                <w:lang w:val="en-US" w:eastAsia="zh-CN"/>
              </w:rPr>
              <w:t>废水</w:t>
            </w:r>
            <w:r>
              <w:rPr>
                <w:rFonts w:hint="default" w:ascii="Times New Roman" w:hAnsi="Times New Roman" w:cs="Times New Roman"/>
                <w:color w:val="auto"/>
                <w:spacing w:val="-2"/>
                <w:position w:val="-1"/>
                <w:szCs w:val="24"/>
              </w:rPr>
              <w:t>水量约为</w:t>
            </w:r>
            <w:r>
              <w:rPr>
                <w:rFonts w:hint="default" w:ascii="Times New Roman" w:hAnsi="Times New Roman" w:cs="Times New Roman"/>
                <w:color w:val="auto"/>
              </w:rPr>
              <w:t>0.5</w:t>
            </w:r>
            <w:r>
              <w:rPr>
                <w:rFonts w:hint="default" w:ascii="Times New Roman" w:hAnsi="Times New Roman" w:eastAsia="Times New Roman" w:cs="Times New Roman"/>
                <w:color w:val="auto"/>
                <w:spacing w:val="-2"/>
                <w:position w:val="-1"/>
                <w:szCs w:val="24"/>
              </w:rPr>
              <w:t>m</w:t>
            </w:r>
            <w:r>
              <w:rPr>
                <w:rFonts w:hint="default" w:ascii="Times New Roman" w:hAnsi="Times New Roman" w:cs="Times New Roman"/>
                <w:bCs/>
                <w:color w:val="auto"/>
                <w:spacing w:val="-2"/>
                <w:kern w:val="2"/>
                <w:szCs w:val="24"/>
                <w:vertAlign w:val="superscript"/>
                <w:lang w:bidi="ar"/>
              </w:rPr>
              <w:t>3</w:t>
            </w:r>
            <w:r>
              <w:rPr>
                <w:rFonts w:hint="default" w:ascii="Times New Roman" w:hAnsi="Times New Roman" w:eastAsia="Times New Roman" w:cs="Times New Roman"/>
                <w:color w:val="auto"/>
                <w:spacing w:val="-2"/>
                <w:position w:val="-1"/>
                <w:szCs w:val="24"/>
              </w:rPr>
              <w:t>/h</w:t>
            </w:r>
            <w:r>
              <w:rPr>
                <w:rFonts w:hint="default" w:ascii="Times New Roman" w:hAnsi="Times New Roman" w:cs="Times New Roman"/>
                <w:color w:val="auto"/>
                <w:spacing w:val="-2"/>
                <w:position w:val="-1"/>
                <w:szCs w:val="24"/>
              </w:rPr>
              <w:t>。生产时间7200h/a，则</w:t>
            </w:r>
            <w:r>
              <w:rPr>
                <w:rFonts w:hint="default" w:ascii="Times New Roman" w:hAnsi="Times New Roman" w:cs="Times New Roman"/>
                <w:bCs/>
                <w:color w:val="auto"/>
                <w:spacing w:val="-2"/>
                <w:kern w:val="2"/>
                <w:szCs w:val="24"/>
                <w:lang w:bidi="ar"/>
              </w:rPr>
              <w:t>软水制备</w:t>
            </w:r>
            <w:r>
              <w:rPr>
                <w:rFonts w:hint="default" w:ascii="Times New Roman" w:hAnsi="Times New Roman" w:cs="Times New Roman"/>
                <w:bCs/>
                <w:color w:val="auto"/>
                <w:spacing w:val="-2"/>
                <w:kern w:val="2"/>
                <w:szCs w:val="24"/>
                <w:lang w:val="en-US" w:eastAsia="zh-CN" w:bidi="ar"/>
              </w:rPr>
              <w:t>废水</w:t>
            </w:r>
            <w:r>
              <w:rPr>
                <w:rFonts w:hint="default" w:ascii="Times New Roman" w:hAnsi="Times New Roman" w:cs="Times New Roman"/>
                <w:bCs/>
                <w:color w:val="auto"/>
                <w:spacing w:val="-2"/>
                <w:kern w:val="2"/>
                <w:szCs w:val="24"/>
                <w:lang w:bidi="ar"/>
              </w:rPr>
              <w:t>水量</w:t>
            </w:r>
            <w:r>
              <w:rPr>
                <w:rFonts w:hint="default" w:ascii="Times New Roman" w:hAnsi="Times New Roman" w:cs="Times New Roman"/>
                <w:color w:val="auto"/>
                <w:spacing w:val="-2"/>
                <w:kern w:val="2"/>
                <w:szCs w:val="24"/>
                <w:lang w:val="en-US" w:eastAsia="zh-CN" w:bidi="ar"/>
              </w:rPr>
              <w:t>360</w:t>
            </w:r>
            <w:r>
              <w:rPr>
                <w:rFonts w:hint="default" w:ascii="Times New Roman" w:hAnsi="Times New Roman" w:cs="Times New Roman"/>
                <w:color w:val="auto"/>
                <w:spacing w:val="-2"/>
                <w:kern w:val="2"/>
                <w:szCs w:val="24"/>
                <w:lang w:bidi="ar"/>
              </w:rPr>
              <w:t>0</w:t>
            </w:r>
            <w:r>
              <w:rPr>
                <w:rFonts w:hint="default" w:ascii="Times New Roman" w:hAnsi="Times New Roman" w:cs="Times New Roman"/>
                <w:color w:val="auto"/>
                <w:spacing w:val="-5"/>
                <w:kern w:val="2"/>
                <w:szCs w:val="24"/>
                <w:lang w:bidi="ar"/>
              </w:rPr>
              <w:t>m</w:t>
            </w:r>
            <w:r>
              <w:rPr>
                <w:rFonts w:hint="default" w:ascii="Times New Roman" w:hAnsi="Times New Roman" w:cs="Times New Roman"/>
                <w:bCs/>
                <w:color w:val="auto"/>
                <w:spacing w:val="-2"/>
                <w:kern w:val="2"/>
                <w:szCs w:val="24"/>
                <w:vertAlign w:val="superscript"/>
                <w:lang w:bidi="ar"/>
              </w:rPr>
              <w:t>3</w:t>
            </w:r>
            <w:r>
              <w:rPr>
                <w:rFonts w:hint="default" w:ascii="Times New Roman" w:hAnsi="Times New Roman" w:cs="Times New Roman"/>
                <w:color w:val="auto"/>
                <w:spacing w:val="-5"/>
                <w:kern w:val="2"/>
                <w:szCs w:val="24"/>
                <w:lang w:bidi="ar"/>
              </w:rPr>
              <w:t>/a</w:t>
            </w:r>
            <w:r>
              <w:rPr>
                <w:rFonts w:hint="default" w:ascii="Times New Roman" w:hAnsi="Times New Roman" w:cs="Times New Roman"/>
                <w:bCs/>
                <w:color w:val="auto"/>
                <w:spacing w:val="-2"/>
                <w:kern w:val="2"/>
                <w:szCs w:val="24"/>
                <w:lang w:bidi="ar"/>
              </w:rPr>
              <w:t>（</w:t>
            </w:r>
            <w:r>
              <w:rPr>
                <w:rFonts w:hint="default" w:ascii="Times New Roman" w:hAnsi="Times New Roman" w:cs="Times New Roman"/>
                <w:bCs/>
                <w:color w:val="auto"/>
                <w:spacing w:val="-2"/>
                <w:kern w:val="2"/>
                <w:szCs w:val="24"/>
                <w:lang w:val="en-US" w:eastAsia="zh-CN" w:bidi="ar"/>
              </w:rPr>
              <w:t>12</w:t>
            </w:r>
            <w:r>
              <w:rPr>
                <w:rFonts w:hint="default" w:ascii="Times New Roman" w:hAnsi="Times New Roman" w:cs="Times New Roman"/>
                <w:color w:val="auto"/>
                <w:spacing w:val="-5"/>
                <w:kern w:val="2"/>
                <w:szCs w:val="24"/>
                <w:lang w:bidi="ar"/>
              </w:rPr>
              <w:t>m</w:t>
            </w:r>
            <w:r>
              <w:rPr>
                <w:rFonts w:hint="default" w:ascii="Times New Roman" w:hAnsi="Times New Roman" w:cs="Times New Roman"/>
                <w:bCs/>
                <w:color w:val="auto"/>
                <w:spacing w:val="-2"/>
                <w:kern w:val="2"/>
                <w:szCs w:val="24"/>
                <w:vertAlign w:val="superscript"/>
                <w:lang w:bidi="ar"/>
              </w:rPr>
              <w:t>3</w:t>
            </w:r>
            <w:r>
              <w:rPr>
                <w:rFonts w:hint="default" w:ascii="Times New Roman" w:hAnsi="Times New Roman" w:cs="Times New Roman"/>
                <w:bCs/>
                <w:color w:val="auto"/>
                <w:spacing w:val="-2"/>
                <w:kern w:val="2"/>
                <w:szCs w:val="24"/>
                <w:lang w:bidi="ar"/>
              </w:rPr>
              <w:t>/d）。</w:t>
            </w:r>
          </w:p>
          <w:p w14:paraId="378D3E79">
            <w:pPr>
              <w:pStyle w:val="41"/>
              <w:keepNext w:val="0"/>
              <w:keepLines w:val="0"/>
              <w:pageBreakBefore w:val="0"/>
              <w:kinsoku/>
              <w:wordWrap/>
              <w:overflowPunct/>
              <w:topLinePunct w:val="0"/>
              <w:autoSpaceDN/>
              <w:bidi w:val="0"/>
              <w:adjustRightInd w:val="0"/>
              <w:snapToGrid w:val="0"/>
              <w:spacing w:before="0" w:beforeAutospacing="0" w:after="0" w:afterAutospacing="0" w:line="360" w:lineRule="auto"/>
              <w:ind w:left="0" w:right="0" w:firstLine="482" w:firstLineChars="200"/>
              <w:jc w:val="both"/>
              <w:textAlignment w:val="auto"/>
              <w:rPr>
                <w:rFonts w:hint="default" w:ascii="Times New Roman" w:hAnsi="Times New Roman" w:cs="Times New Roman"/>
                <w:b/>
                <w:bCs/>
                <w:color w:val="auto"/>
                <w:szCs w:val="24"/>
              </w:rPr>
            </w:pPr>
            <w:r>
              <w:rPr>
                <w:rFonts w:hint="default" w:ascii="Times New Roman" w:hAnsi="Times New Roman" w:cs="Times New Roman"/>
                <w:b/>
                <w:bCs/>
                <w:color w:val="auto"/>
                <w:szCs w:val="24"/>
              </w:rPr>
              <w:t>水质：</w:t>
            </w:r>
          </w:p>
          <w:p w14:paraId="1990C410">
            <w:pPr>
              <w:keepNext w:val="0"/>
              <w:keepLines w:val="0"/>
              <w:pageBreakBefore w:val="0"/>
              <w:kinsoku/>
              <w:wordWrap/>
              <w:overflowPunct/>
              <w:topLinePunct w:val="0"/>
              <w:autoSpaceDN/>
              <w:bidi w:val="0"/>
              <w:adjustRightInd w:val="0"/>
              <w:snapToGrid w:val="0"/>
              <w:spacing w:line="360" w:lineRule="auto"/>
              <w:ind w:left="0" w:right="0"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本项目生产废水产生量约为</w:t>
            </w:r>
            <w:r>
              <w:rPr>
                <w:rFonts w:hint="default" w:ascii="Times New Roman" w:hAnsi="Times New Roman" w:cs="Times New Roman"/>
                <w:color w:val="auto"/>
                <w:sz w:val="24"/>
                <w:szCs w:val="24"/>
                <w:highlight w:val="none"/>
              </w:rPr>
              <w:t>52496.25 t/a（1</w:t>
            </w:r>
            <w:r>
              <w:rPr>
                <w:rFonts w:hint="default" w:ascii="Times New Roman" w:hAnsi="Times New Roman" w:cs="Times New Roman"/>
                <w:color w:val="auto"/>
                <w:sz w:val="24"/>
                <w:szCs w:val="24"/>
                <w:highlight w:val="none"/>
                <w:lang w:val="en-US" w:eastAsia="zh-CN"/>
              </w:rPr>
              <w:t>75</w:t>
            </w:r>
            <w:r>
              <w:rPr>
                <w:rFonts w:hint="default" w:ascii="Times New Roman" w:hAnsi="Times New Roman" w:cs="Times New Roman"/>
                <w:color w:val="auto"/>
                <w:sz w:val="24"/>
                <w:szCs w:val="24"/>
                <w:highlight w:val="none"/>
              </w:rPr>
              <w:t>t/d）</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en-US" w:eastAsia="zh-CN"/>
              </w:rPr>
              <w:t>主要为</w:t>
            </w:r>
            <w:r>
              <w:rPr>
                <w:rFonts w:hint="default" w:ascii="Times New Roman" w:hAnsi="Times New Roman" w:cs="Times New Roman"/>
                <w:color w:val="auto"/>
                <w:sz w:val="24"/>
                <w:szCs w:val="24"/>
              </w:rPr>
              <w:t>表面处理废水。类比同类型项目，如《福建省闽耀金属制品有限公司沙县闽耀金属套件深加工项目》《晋江市带路金属制品有限公司年酸洗金属配件30万吨（不含电镀）项目竣工环境保护验收监测报告》《温州市吉迦环保科技有限公司年表面处理33000吨金属配件改扩建项目》《辛集市澳森金属制品有限公司新建年产30万吨磷化盘条及酸液回收利用项目》均为酸洗、磷化、表面处理项目，本次评价类比其生产废水中pH、CODcr、BOD</w:t>
            </w:r>
            <w:r>
              <w:rPr>
                <w:rFonts w:hint="default" w:ascii="Times New Roman" w:hAnsi="Times New Roman" w:cs="Times New Roman"/>
                <w:color w:val="auto"/>
                <w:sz w:val="24"/>
                <w:szCs w:val="24"/>
                <w:vertAlign w:val="subscript"/>
              </w:rPr>
              <w:t>5</w:t>
            </w:r>
            <w:r>
              <w:rPr>
                <w:rFonts w:hint="default" w:ascii="Times New Roman" w:hAnsi="Times New Roman" w:cs="Times New Roman"/>
                <w:color w:val="auto"/>
                <w:sz w:val="24"/>
                <w:szCs w:val="24"/>
              </w:rPr>
              <w:t>、SS、氨氮、总氮的产生情况，以该报告中“废水处理设施进口”污染物的平均值作为本项目污染物源强。</w:t>
            </w:r>
          </w:p>
          <w:p w14:paraId="47E457D3">
            <w:pPr>
              <w:keepNext w:val="0"/>
              <w:keepLines w:val="0"/>
              <w:pageBreakBefore w:val="0"/>
              <w:kinsoku/>
              <w:wordWrap/>
              <w:overflowPunct/>
              <w:topLinePunct w:val="0"/>
              <w:autoSpaceDN/>
              <w:bidi w:val="0"/>
              <w:adjustRightInd w:val="0"/>
              <w:snapToGrid w:val="0"/>
              <w:spacing w:line="360" w:lineRule="auto"/>
              <w:ind w:left="0" w:right="0"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highlight w:val="none"/>
              </w:rPr>
              <w:t>废水总磷与总锌采用物料平衡计算，根据平衡分析，废水中带出磷</w:t>
            </w:r>
            <w:r>
              <w:rPr>
                <w:rFonts w:hint="default" w:ascii="Times New Roman" w:hAnsi="Times New Roman" w:cs="Times New Roman"/>
                <w:color w:val="auto"/>
                <w:sz w:val="24"/>
                <w:szCs w:val="24"/>
                <w:highlight w:val="none"/>
                <w:lang w:val="en-US" w:eastAsia="zh-CN"/>
              </w:rPr>
              <w:t>1.66</w:t>
            </w:r>
            <w:r>
              <w:rPr>
                <w:rFonts w:hint="default" w:ascii="Times New Roman" w:hAnsi="Times New Roman" w:cs="Times New Roman"/>
                <w:color w:val="auto"/>
                <w:sz w:val="24"/>
                <w:szCs w:val="24"/>
                <w:highlight w:val="none"/>
              </w:rPr>
              <w:t>t/d，带出锌</w:t>
            </w:r>
            <w:r>
              <w:rPr>
                <w:rFonts w:hint="default" w:ascii="Times New Roman" w:hAnsi="Times New Roman" w:cs="Times New Roman"/>
                <w:color w:val="auto"/>
                <w:sz w:val="24"/>
                <w:szCs w:val="24"/>
                <w:highlight w:val="none"/>
                <w:lang w:val="en-US" w:eastAsia="zh-CN"/>
              </w:rPr>
              <w:t>1.81</w:t>
            </w:r>
            <w:r>
              <w:rPr>
                <w:rFonts w:hint="default" w:ascii="Times New Roman" w:hAnsi="Times New Roman" w:cs="Times New Roman"/>
                <w:color w:val="auto"/>
                <w:sz w:val="24"/>
                <w:szCs w:val="24"/>
                <w:highlight w:val="none"/>
              </w:rPr>
              <w:t>t/d，废水</w:t>
            </w:r>
            <w:r>
              <w:rPr>
                <w:rFonts w:hint="default" w:ascii="Times New Roman" w:hAnsi="Times New Roman" w:cs="Times New Roman"/>
                <w:color w:val="auto"/>
                <w:sz w:val="24"/>
                <w:szCs w:val="24"/>
                <w:highlight w:val="none"/>
                <w:lang w:val="en-US" w:eastAsia="zh-CN"/>
              </w:rPr>
              <w:t>产生量175</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/d，则总磷产生浓度</w:t>
            </w:r>
            <w:r>
              <w:rPr>
                <w:rFonts w:hint="default" w:ascii="Times New Roman" w:hAnsi="Times New Roman" w:cs="Times New Roman"/>
                <w:color w:val="auto"/>
                <w:sz w:val="24"/>
                <w:szCs w:val="24"/>
                <w:highlight w:val="none"/>
                <w:lang w:val="en-US" w:eastAsia="zh-CN"/>
              </w:rPr>
              <w:t>31.6</w:t>
            </w:r>
            <w:r>
              <w:rPr>
                <w:rFonts w:hint="default" w:ascii="Times New Roman" w:hAnsi="Times New Roman" w:cs="Times New Roman"/>
                <w:color w:val="auto"/>
                <w:sz w:val="24"/>
                <w:szCs w:val="24"/>
                <w:highlight w:val="none"/>
              </w:rPr>
              <w:t>mg/L，总锌产生浓度</w:t>
            </w:r>
            <w:r>
              <w:rPr>
                <w:rFonts w:hint="default" w:ascii="Times New Roman" w:hAnsi="Times New Roman" w:cs="Times New Roman"/>
                <w:color w:val="auto"/>
                <w:sz w:val="24"/>
                <w:szCs w:val="24"/>
                <w:highlight w:val="none"/>
                <w:lang w:val="en-US" w:eastAsia="zh-CN"/>
              </w:rPr>
              <w:t>34.4</w:t>
            </w:r>
            <w:r>
              <w:rPr>
                <w:rFonts w:hint="default" w:ascii="Times New Roman" w:hAnsi="Times New Roman" w:cs="Times New Roman"/>
                <w:color w:val="auto"/>
                <w:sz w:val="24"/>
                <w:szCs w:val="24"/>
                <w:highlight w:val="none"/>
              </w:rPr>
              <w:t>mg/L。</w:t>
            </w:r>
          </w:p>
          <w:p w14:paraId="777F7568">
            <w:pPr>
              <w:pStyle w:val="17"/>
              <w:keepNext w:val="0"/>
              <w:keepLines w:val="0"/>
              <w:pageBreakBefore w:val="0"/>
              <w:kinsoku/>
              <w:wordWrap/>
              <w:overflowPunct/>
              <w:topLinePunct w:val="0"/>
              <w:autoSpaceDN/>
              <w:bidi w:val="0"/>
              <w:adjustRightInd w:val="0"/>
              <w:snapToGrid w:val="0"/>
              <w:spacing w:after="0" w:line="360" w:lineRule="auto"/>
              <w:ind w:left="0" w:leftChars="0" w:right="0" w:firstLine="456" w:firstLineChars="200"/>
              <w:jc w:val="both"/>
              <w:textAlignment w:val="auto"/>
              <w:rPr>
                <w:rFonts w:hint="default" w:ascii="Times New Roman" w:hAnsi="Times New Roman" w:cs="Times New Roman"/>
                <w:color w:val="auto"/>
                <w:spacing w:val="-6"/>
                <w:sz w:val="24"/>
                <w:szCs w:val="24"/>
              </w:rPr>
            </w:pPr>
            <w:r>
              <w:rPr>
                <w:rFonts w:hint="default" w:ascii="Times New Roman" w:hAnsi="Times New Roman" w:cs="Times New Roman"/>
                <w:color w:val="auto"/>
                <w:spacing w:val="-6"/>
                <w:sz w:val="24"/>
                <w:szCs w:val="24"/>
              </w:rPr>
              <w:t>本项目生产废水产生排放源强见表4.2-14~15。</w:t>
            </w:r>
          </w:p>
          <w:p w14:paraId="084F77AD">
            <w:pPr>
              <w:pStyle w:val="10"/>
              <w:keepNext w:val="0"/>
              <w:keepLines w:val="0"/>
              <w:pageBreakBefore w:val="0"/>
              <w:numPr>
                <w:ilvl w:val="0"/>
                <w:numId w:val="16"/>
              </w:numPr>
              <w:kinsoku/>
              <w:wordWrap/>
              <w:overflowPunct/>
              <w:topLinePunct w:val="0"/>
              <w:autoSpaceDN/>
              <w:bidi w:val="0"/>
              <w:adjustRightInd w:val="0"/>
              <w:snapToGrid w:val="0"/>
              <w:spacing w:line="360" w:lineRule="auto"/>
              <w:ind w:left="0" w:right="0" w:firstLine="480" w:firstLineChars="200"/>
              <w:jc w:val="both"/>
              <w:textAlignment w:val="auto"/>
              <w:rPr>
                <w:rFonts w:hint="default" w:ascii="Times New Roman" w:hAnsi="Times New Roman" w:cs="Times New Roman"/>
                <w:color w:val="auto"/>
                <w:sz w:val="24"/>
              </w:rPr>
            </w:pPr>
            <w:r>
              <w:rPr>
                <w:rFonts w:hint="default" w:ascii="Times New Roman" w:hAnsi="Times New Roman" w:cs="Times New Roman"/>
                <w:color w:val="auto"/>
                <w:sz w:val="24"/>
              </w:rPr>
              <w:t>生活污水</w:t>
            </w:r>
          </w:p>
          <w:p w14:paraId="280C9AC5">
            <w:pPr>
              <w:pStyle w:val="10"/>
              <w:keepNext w:val="0"/>
              <w:keepLines w:val="0"/>
              <w:pageBreakBefore w:val="0"/>
              <w:kinsoku/>
              <w:wordWrap/>
              <w:overflowPunct/>
              <w:topLinePunct w:val="0"/>
              <w:autoSpaceDN/>
              <w:bidi w:val="0"/>
              <w:adjustRightInd w:val="0"/>
              <w:snapToGrid w:val="0"/>
              <w:spacing w:line="360" w:lineRule="auto"/>
              <w:ind w:left="0" w:right="0" w:firstLine="480" w:firstLineChars="200"/>
              <w:jc w:val="both"/>
              <w:textAlignment w:val="auto"/>
              <w:rPr>
                <w:rFonts w:hint="default" w:ascii="Times New Roman" w:hAnsi="Times New Roman" w:cs="Times New Roman"/>
                <w:color w:val="auto"/>
              </w:rPr>
            </w:pPr>
            <w:r>
              <w:rPr>
                <w:rFonts w:hint="default" w:ascii="Times New Roman" w:hAnsi="Times New Roman" w:cs="Times New Roman"/>
                <w:color w:val="auto"/>
                <w:sz w:val="24"/>
              </w:rPr>
              <w:t>本项目建成后全部在厂员工约120人，生活用水约50L/天·人，全厂生活用水量约6m³/d，生活污水排放量5.1m³/d。生活污水经化粪池处理后接入市政污水管道，排入</w:t>
            </w:r>
            <w:r>
              <w:rPr>
                <w:rFonts w:hint="default" w:ascii="Times New Roman" w:hAnsi="Times New Roman" w:cs="Times New Roman"/>
                <w:color w:val="auto"/>
                <w:kern w:val="0"/>
                <w:sz w:val="24"/>
                <w:lang w:bidi="ar"/>
              </w:rPr>
              <w:t>金古北片区污水处理</w:t>
            </w:r>
            <w:r>
              <w:rPr>
                <w:rFonts w:hint="default" w:ascii="Times New Roman" w:hAnsi="Times New Roman" w:cs="Times New Roman"/>
                <w:color w:val="auto"/>
                <w:sz w:val="24"/>
              </w:rPr>
              <w:t>厂统一处理。</w:t>
            </w:r>
          </w:p>
          <w:p w14:paraId="3921E523">
            <w:pPr>
              <w:pStyle w:val="2"/>
              <w:keepNext w:val="0"/>
              <w:keepLines w:val="0"/>
              <w:pageBreakBefore w:val="0"/>
              <w:kinsoku/>
              <w:wordWrap/>
              <w:overflowPunct/>
              <w:topLinePunct w:val="0"/>
              <w:autoSpaceDN/>
              <w:bidi w:val="0"/>
              <w:adjustRightInd w:val="0"/>
              <w:snapToGrid w:val="0"/>
              <w:spacing w:line="360" w:lineRule="auto"/>
              <w:ind w:left="0" w:right="0" w:firstLine="480" w:firstLineChars="200"/>
              <w:jc w:val="both"/>
              <w:textAlignment w:val="auto"/>
              <w:rPr>
                <w:rFonts w:hint="default" w:ascii="Times New Roman" w:hAnsi="Times New Roman" w:cs="Times New Roman"/>
                <w:color w:val="auto"/>
                <w:sz w:val="24"/>
              </w:rPr>
            </w:pPr>
            <w:r>
              <w:rPr>
                <w:rFonts w:hint="default" w:ascii="Times New Roman" w:hAnsi="Times New Roman" w:cs="Times New Roman"/>
                <w:color w:val="auto"/>
                <w:sz w:val="24"/>
                <w:szCs w:val="23"/>
              </w:rPr>
              <w:t>类比建设单位其他厂区的情况，项目生活污水的主要污染物及其产生浓度分别为COD：400mg/L、BOD</w:t>
            </w:r>
            <w:r>
              <w:rPr>
                <w:rFonts w:hint="default" w:ascii="Times New Roman" w:hAnsi="Times New Roman" w:cs="Times New Roman"/>
                <w:color w:val="auto"/>
                <w:sz w:val="24"/>
                <w:szCs w:val="23"/>
                <w:vertAlign w:val="subscript"/>
              </w:rPr>
              <w:t>5</w:t>
            </w:r>
            <w:r>
              <w:rPr>
                <w:rFonts w:hint="default" w:ascii="Times New Roman" w:hAnsi="Times New Roman" w:cs="Times New Roman"/>
                <w:color w:val="auto"/>
                <w:sz w:val="24"/>
                <w:szCs w:val="23"/>
              </w:rPr>
              <w:t>：250mg/L、悬浮物：220mg/L、氨氮：30mg/L、总氮：30mg/L、总磷：3mg/L。</w:t>
            </w:r>
            <w:r>
              <w:rPr>
                <w:rFonts w:hint="default" w:ascii="Times New Roman" w:hAnsi="Times New Roman" w:cs="Times New Roman"/>
                <w:color w:val="auto"/>
                <w:sz w:val="24"/>
              </w:rPr>
              <w:t>生活废水排放浓度为</w:t>
            </w:r>
            <w:r>
              <w:rPr>
                <w:rFonts w:hint="default" w:ascii="Times New Roman" w:hAnsi="Times New Roman" w:cs="Times New Roman"/>
                <w:color w:val="auto"/>
                <w:sz w:val="24"/>
                <w:szCs w:val="23"/>
              </w:rPr>
              <w:t>COD：</w:t>
            </w:r>
            <w:r>
              <w:rPr>
                <w:rFonts w:hint="default" w:ascii="Times New Roman" w:hAnsi="Times New Roman" w:cs="Times New Roman"/>
                <w:color w:val="auto"/>
                <w:sz w:val="24"/>
              </w:rPr>
              <w:t>280</w:t>
            </w:r>
            <w:r>
              <w:rPr>
                <w:rFonts w:hint="default" w:ascii="Times New Roman" w:hAnsi="Times New Roman" w:cs="Times New Roman"/>
                <w:color w:val="auto"/>
                <w:sz w:val="24"/>
                <w:szCs w:val="23"/>
              </w:rPr>
              <w:t>mg/L、BOD</w:t>
            </w:r>
            <w:r>
              <w:rPr>
                <w:rFonts w:hint="default" w:ascii="Times New Roman" w:hAnsi="Times New Roman" w:cs="Times New Roman"/>
                <w:color w:val="auto"/>
                <w:sz w:val="24"/>
                <w:szCs w:val="23"/>
                <w:vertAlign w:val="subscript"/>
              </w:rPr>
              <w:t>5</w:t>
            </w:r>
            <w:r>
              <w:rPr>
                <w:rFonts w:hint="default" w:ascii="Times New Roman" w:hAnsi="Times New Roman" w:cs="Times New Roman"/>
                <w:color w:val="auto"/>
                <w:sz w:val="24"/>
              </w:rPr>
              <w:t>150</w:t>
            </w:r>
            <w:r>
              <w:rPr>
                <w:rFonts w:hint="default" w:ascii="Times New Roman" w:hAnsi="Times New Roman" w:cs="Times New Roman"/>
                <w:color w:val="auto"/>
                <w:sz w:val="24"/>
                <w:szCs w:val="23"/>
              </w:rPr>
              <w:t>mg/L、</w:t>
            </w:r>
            <w:r>
              <w:rPr>
                <w:rFonts w:hint="default" w:ascii="Times New Roman" w:hAnsi="Times New Roman" w:cs="Times New Roman"/>
                <w:color w:val="auto"/>
                <w:sz w:val="24"/>
              </w:rPr>
              <w:t>氨氮20</w:t>
            </w:r>
            <w:r>
              <w:rPr>
                <w:rFonts w:hint="default" w:ascii="Times New Roman" w:hAnsi="Times New Roman" w:cs="Times New Roman"/>
                <w:color w:val="auto"/>
                <w:sz w:val="24"/>
                <w:szCs w:val="23"/>
              </w:rPr>
              <w:t>mg/L、</w:t>
            </w:r>
            <w:r>
              <w:rPr>
                <w:rFonts w:hint="default" w:ascii="Times New Roman" w:hAnsi="Times New Roman" w:cs="Times New Roman"/>
                <w:color w:val="auto"/>
                <w:sz w:val="24"/>
              </w:rPr>
              <w:t>悬浮物150</w:t>
            </w:r>
            <w:r>
              <w:rPr>
                <w:rFonts w:hint="default" w:ascii="Times New Roman" w:hAnsi="Times New Roman" w:cs="Times New Roman"/>
                <w:color w:val="auto"/>
                <w:sz w:val="24"/>
                <w:szCs w:val="23"/>
              </w:rPr>
              <w:t>mg/L、</w:t>
            </w:r>
            <w:r>
              <w:rPr>
                <w:rFonts w:hint="default" w:ascii="Times New Roman" w:hAnsi="Times New Roman" w:cs="Times New Roman"/>
                <w:color w:val="auto"/>
                <w:sz w:val="24"/>
              </w:rPr>
              <w:t>总磷3</w:t>
            </w:r>
            <w:r>
              <w:rPr>
                <w:rFonts w:hint="default" w:ascii="Times New Roman" w:hAnsi="Times New Roman" w:cs="Times New Roman"/>
                <w:color w:val="auto"/>
                <w:sz w:val="24"/>
                <w:szCs w:val="23"/>
              </w:rPr>
              <w:t>mg/L、总氮</w:t>
            </w:r>
            <w:r>
              <w:rPr>
                <w:rFonts w:hint="default" w:ascii="Times New Roman" w:hAnsi="Times New Roman" w:cs="Times New Roman"/>
                <w:color w:val="auto"/>
                <w:sz w:val="24"/>
              </w:rPr>
              <w:t>30</w:t>
            </w:r>
            <w:r>
              <w:rPr>
                <w:rFonts w:hint="default" w:ascii="Times New Roman" w:hAnsi="Times New Roman" w:cs="Times New Roman"/>
                <w:color w:val="auto"/>
                <w:sz w:val="24"/>
                <w:szCs w:val="23"/>
              </w:rPr>
              <w:t>mg/L</w:t>
            </w:r>
            <w:r>
              <w:rPr>
                <w:rFonts w:hint="default" w:ascii="Times New Roman" w:hAnsi="Times New Roman" w:cs="Times New Roman"/>
                <w:color w:val="auto"/>
                <w:sz w:val="24"/>
              </w:rPr>
              <w:t>。生活污水经厂区化粪池处理达标后通过市政污水管网排入沙县金古北片区污水处理厂统一处理。</w:t>
            </w:r>
          </w:p>
          <w:p w14:paraId="64A5579E">
            <w:pPr>
              <w:keepNext w:val="0"/>
              <w:keepLines w:val="0"/>
              <w:pageBreakBefore w:val="0"/>
              <w:kinsoku/>
              <w:wordWrap/>
              <w:overflowPunct/>
              <w:topLinePunct w:val="0"/>
              <w:autoSpaceDN/>
              <w:bidi w:val="0"/>
              <w:adjustRightInd w:val="0"/>
              <w:snapToGrid w:val="0"/>
              <w:spacing w:line="360" w:lineRule="auto"/>
              <w:ind w:left="0" w:right="0" w:firstLine="480" w:firstLineChars="200"/>
              <w:jc w:val="both"/>
              <w:textAlignment w:val="auto"/>
              <w:rPr>
                <w:rFonts w:hint="default" w:ascii="Times New Roman" w:hAnsi="Times New Roman" w:cs="Times New Roman"/>
                <w:color w:val="auto"/>
                <w:sz w:val="24"/>
              </w:rPr>
            </w:pPr>
            <w:r>
              <w:rPr>
                <w:rFonts w:hint="default" w:ascii="Times New Roman" w:hAnsi="Times New Roman" w:cs="Times New Roman"/>
                <w:color w:val="auto"/>
                <w:kern w:val="0"/>
                <w:sz w:val="24"/>
              </w:rPr>
              <w:t>本项目</w:t>
            </w:r>
            <w:r>
              <w:rPr>
                <w:rFonts w:hint="default" w:ascii="Times New Roman" w:hAnsi="Times New Roman" w:cs="Times New Roman"/>
                <w:color w:val="auto"/>
                <w:sz w:val="24"/>
              </w:rPr>
              <w:t>日常生活污水排放量见下表4.2-16。</w:t>
            </w:r>
          </w:p>
          <w:p w14:paraId="4144AF19">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lang w:val="en-US" w:eastAsia="zh-CN"/>
              </w:rPr>
              <w:t>表4.2-16  本项目生活废水污染源强核算表</w:t>
            </w:r>
          </w:p>
          <w:tbl>
            <w:tblPr>
              <w:tblStyle w:val="34"/>
              <w:tblW w:w="8609" w:type="dxa"/>
              <w:jc w:val="center"/>
              <w:tblLayout w:type="fixed"/>
              <w:tblCellMar>
                <w:top w:w="0" w:type="dxa"/>
                <w:left w:w="108" w:type="dxa"/>
                <w:bottom w:w="0" w:type="dxa"/>
                <w:right w:w="108" w:type="dxa"/>
              </w:tblCellMar>
            </w:tblPr>
            <w:tblGrid>
              <w:gridCol w:w="439"/>
              <w:gridCol w:w="731"/>
              <w:gridCol w:w="849"/>
              <w:gridCol w:w="922"/>
              <w:gridCol w:w="1007"/>
              <w:gridCol w:w="945"/>
              <w:gridCol w:w="750"/>
              <w:gridCol w:w="1057"/>
              <w:gridCol w:w="846"/>
              <w:gridCol w:w="1063"/>
            </w:tblGrid>
            <w:tr w14:paraId="4C274B6D">
              <w:tblPrEx>
                <w:tblCellMar>
                  <w:top w:w="0" w:type="dxa"/>
                  <w:left w:w="108" w:type="dxa"/>
                  <w:bottom w:w="0" w:type="dxa"/>
                  <w:right w:w="108" w:type="dxa"/>
                </w:tblCellMar>
              </w:tblPrEx>
              <w:trPr>
                <w:trHeight w:val="315" w:hRule="atLeast"/>
                <w:jc w:val="center"/>
              </w:trPr>
              <w:tc>
                <w:tcPr>
                  <w:tcW w:w="254"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EB76682">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污染源</w:t>
                  </w:r>
                </w:p>
              </w:tc>
              <w:tc>
                <w:tcPr>
                  <w:tcW w:w="424" w:type="pct"/>
                  <w:vMerge w:val="restart"/>
                  <w:tcBorders>
                    <w:top w:val="single" w:color="000000" w:sz="8" w:space="0"/>
                    <w:left w:val="nil"/>
                    <w:bottom w:val="single" w:color="000000" w:sz="8" w:space="0"/>
                    <w:right w:val="single" w:color="000000" w:sz="8" w:space="0"/>
                  </w:tcBorders>
                  <w:shd w:val="clear" w:color="auto" w:fill="auto"/>
                  <w:vAlign w:val="center"/>
                </w:tcPr>
                <w:p w14:paraId="512D1841">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污染物</w:t>
                  </w:r>
                </w:p>
              </w:tc>
              <w:tc>
                <w:tcPr>
                  <w:tcW w:w="2162" w:type="pct"/>
                  <w:gridSpan w:val="4"/>
                  <w:tcBorders>
                    <w:top w:val="single" w:color="000000" w:sz="8" w:space="0"/>
                    <w:left w:val="nil"/>
                    <w:bottom w:val="single" w:color="000000" w:sz="8" w:space="0"/>
                    <w:right w:val="single" w:color="000000" w:sz="8" w:space="0"/>
                  </w:tcBorders>
                  <w:shd w:val="clear" w:color="auto" w:fill="auto"/>
                  <w:vAlign w:val="center"/>
                </w:tcPr>
                <w:p w14:paraId="663B9201">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产生情况</w:t>
                  </w:r>
                </w:p>
              </w:tc>
              <w:tc>
                <w:tcPr>
                  <w:tcW w:w="435" w:type="pct"/>
                  <w:vMerge w:val="restart"/>
                  <w:tcBorders>
                    <w:top w:val="single" w:color="000000" w:sz="8" w:space="0"/>
                    <w:left w:val="nil"/>
                    <w:bottom w:val="single" w:color="000000" w:sz="8" w:space="0"/>
                    <w:right w:val="single" w:color="000000" w:sz="8" w:space="0"/>
                  </w:tcBorders>
                  <w:shd w:val="clear" w:color="auto" w:fill="auto"/>
                  <w:noWrap/>
                  <w:vAlign w:val="center"/>
                </w:tcPr>
                <w:p w14:paraId="239A06AF">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处理措施</w:t>
                  </w:r>
                </w:p>
              </w:tc>
              <w:tc>
                <w:tcPr>
                  <w:tcW w:w="613" w:type="pct"/>
                  <w:vMerge w:val="restart"/>
                  <w:tcBorders>
                    <w:top w:val="single" w:color="000000" w:sz="8" w:space="0"/>
                    <w:left w:val="nil"/>
                    <w:bottom w:val="single" w:color="000000" w:sz="8" w:space="0"/>
                    <w:right w:val="single" w:color="000000" w:sz="8" w:space="0"/>
                  </w:tcBorders>
                  <w:shd w:val="clear" w:color="auto" w:fill="auto"/>
                  <w:noWrap/>
                  <w:vAlign w:val="center"/>
                </w:tcPr>
                <w:p w14:paraId="47F809D9">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排放浓度</w:t>
                  </w:r>
                </w:p>
              </w:tc>
              <w:tc>
                <w:tcPr>
                  <w:tcW w:w="491" w:type="pct"/>
                  <w:vMerge w:val="restart"/>
                  <w:tcBorders>
                    <w:top w:val="single" w:color="000000" w:sz="8" w:space="0"/>
                    <w:left w:val="nil"/>
                    <w:bottom w:val="single" w:color="000000" w:sz="8" w:space="0"/>
                    <w:right w:val="single" w:color="000000" w:sz="8" w:space="0"/>
                  </w:tcBorders>
                  <w:shd w:val="clear" w:color="auto" w:fill="auto"/>
                  <w:vAlign w:val="center"/>
                </w:tcPr>
                <w:p w14:paraId="6B07EB20">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排放量（t/a）</w:t>
                  </w:r>
                </w:p>
              </w:tc>
              <w:tc>
                <w:tcPr>
                  <w:tcW w:w="617" w:type="pct"/>
                  <w:vMerge w:val="restart"/>
                  <w:tcBorders>
                    <w:top w:val="single" w:color="000000" w:sz="8" w:space="0"/>
                    <w:left w:val="nil"/>
                    <w:bottom w:val="single" w:color="000000" w:sz="8" w:space="0"/>
                    <w:right w:val="single" w:color="000000" w:sz="8" w:space="0"/>
                  </w:tcBorders>
                  <w:shd w:val="clear" w:color="auto" w:fill="auto"/>
                  <w:noWrap/>
                  <w:vAlign w:val="center"/>
                </w:tcPr>
                <w:p w14:paraId="3DD4D951">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排放位置</w:t>
                  </w:r>
                </w:p>
              </w:tc>
            </w:tr>
            <w:tr w14:paraId="012F582D">
              <w:tblPrEx>
                <w:tblCellMar>
                  <w:top w:w="0" w:type="dxa"/>
                  <w:left w:w="108" w:type="dxa"/>
                  <w:bottom w:w="0" w:type="dxa"/>
                  <w:right w:w="108" w:type="dxa"/>
                </w:tblCellMar>
              </w:tblPrEx>
              <w:trPr>
                <w:trHeight w:val="300" w:hRule="atLeast"/>
                <w:jc w:val="center"/>
              </w:trPr>
              <w:tc>
                <w:tcPr>
                  <w:tcW w:w="254"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5824DC6">
                  <w:pPr>
                    <w:widowControl/>
                    <w:spacing w:line="300" w:lineRule="exact"/>
                    <w:jc w:val="center"/>
                    <w:rPr>
                      <w:rFonts w:hint="default" w:ascii="Times New Roman" w:hAnsi="Times New Roman" w:cs="Times New Roman"/>
                      <w:color w:val="auto"/>
                      <w:szCs w:val="21"/>
                    </w:rPr>
                  </w:pPr>
                </w:p>
              </w:tc>
              <w:tc>
                <w:tcPr>
                  <w:tcW w:w="424" w:type="pct"/>
                  <w:vMerge w:val="continue"/>
                  <w:tcBorders>
                    <w:top w:val="single" w:color="000000" w:sz="8" w:space="0"/>
                    <w:left w:val="nil"/>
                    <w:bottom w:val="single" w:color="000000" w:sz="8" w:space="0"/>
                    <w:right w:val="single" w:color="000000" w:sz="8" w:space="0"/>
                  </w:tcBorders>
                  <w:shd w:val="clear" w:color="auto" w:fill="auto"/>
                  <w:vAlign w:val="center"/>
                </w:tcPr>
                <w:p w14:paraId="213B9488">
                  <w:pPr>
                    <w:widowControl/>
                    <w:spacing w:line="300" w:lineRule="exact"/>
                    <w:jc w:val="center"/>
                    <w:rPr>
                      <w:rFonts w:hint="default" w:ascii="Times New Roman" w:hAnsi="Times New Roman" w:cs="Times New Roman"/>
                      <w:color w:val="auto"/>
                      <w:szCs w:val="21"/>
                    </w:rPr>
                  </w:pPr>
                </w:p>
              </w:tc>
              <w:tc>
                <w:tcPr>
                  <w:tcW w:w="493" w:type="pct"/>
                  <w:vMerge w:val="restart"/>
                  <w:tcBorders>
                    <w:top w:val="nil"/>
                    <w:left w:val="nil"/>
                    <w:bottom w:val="single" w:color="000000" w:sz="8" w:space="0"/>
                    <w:right w:val="single" w:color="000000" w:sz="8" w:space="0"/>
                  </w:tcBorders>
                  <w:shd w:val="clear" w:color="auto" w:fill="auto"/>
                  <w:vAlign w:val="center"/>
                </w:tcPr>
                <w:p w14:paraId="6FEA1597">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核算</w:t>
                  </w:r>
                </w:p>
                <w:p w14:paraId="5CF7C9B2">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方法</w:t>
                  </w:r>
                </w:p>
              </w:tc>
              <w:tc>
                <w:tcPr>
                  <w:tcW w:w="535" w:type="pct"/>
                  <w:vMerge w:val="restart"/>
                  <w:tcBorders>
                    <w:top w:val="nil"/>
                    <w:left w:val="nil"/>
                    <w:bottom w:val="single" w:color="000000" w:sz="8" w:space="0"/>
                    <w:right w:val="single" w:color="000000" w:sz="8" w:space="0"/>
                  </w:tcBorders>
                  <w:shd w:val="clear" w:color="auto" w:fill="auto"/>
                  <w:vAlign w:val="center"/>
                </w:tcPr>
                <w:p w14:paraId="4F558A9B">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废水产生量（t/a）</w:t>
                  </w:r>
                </w:p>
              </w:tc>
              <w:tc>
                <w:tcPr>
                  <w:tcW w:w="584" w:type="pct"/>
                  <w:vMerge w:val="restart"/>
                  <w:tcBorders>
                    <w:top w:val="nil"/>
                    <w:left w:val="nil"/>
                    <w:bottom w:val="single" w:color="000000" w:sz="8" w:space="0"/>
                    <w:right w:val="single" w:color="000000" w:sz="8" w:space="0"/>
                  </w:tcBorders>
                  <w:shd w:val="clear" w:color="auto" w:fill="auto"/>
                  <w:vAlign w:val="center"/>
                </w:tcPr>
                <w:p w14:paraId="401836C4">
                  <w:pPr>
                    <w:widowControl/>
                    <w:spacing w:line="30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产生</w:t>
                  </w:r>
                </w:p>
                <w:p w14:paraId="70BD79EA">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浓度（mg/L）</w:t>
                  </w:r>
                </w:p>
              </w:tc>
              <w:tc>
                <w:tcPr>
                  <w:tcW w:w="548" w:type="pct"/>
                  <w:tcBorders>
                    <w:top w:val="nil"/>
                    <w:left w:val="nil"/>
                    <w:bottom w:val="single" w:color="000000" w:sz="8" w:space="0"/>
                    <w:right w:val="single" w:color="000000" w:sz="8" w:space="0"/>
                  </w:tcBorders>
                  <w:shd w:val="clear" w:color="auto" w:fill="auto"/>
                  <w:vAlign w:val="center"/>
                </w:tcPr>
                <w:p w14:paraId="73AE2D5B">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产生量</w:t>
                  </w:r>
                </w:p>
              </w:tc>
              <w:tc>
                <w:tcPr>
                  <w:tcW w:w="435" w:type="pct"/>
                  <w:vMerge w:val="continue"/>
                  <w:tcBorders>
                    <w:top w:val="single" w:color="000000" w:sz="8" w:space="0"/>
                    <w:left w:val="nil"/>
                    <w:bottom w:val="single" w:color="000000" w:sz="8" w:space="0"/>
                    <w:right w:val="single" w:color="000000" w:sz="8" w:space="0"/>
                  </w:tcBorders>
                  <w:shd w:val="clear" w:color="auto" w:fill="auto"/>
                  <w:noWrap/>
                  <w:vAlign w:val="center"/>
                </w:tcPr>
                <w:p w14:paraId="77669251">
                  <w:pPr>
                    <w:widowControl/>
                    <w:spacing w:line="300" w:lineRule="exact"/>
                    <w:jc w:val="center"/>
                    <w:rPr>
                      <w:rFonts w:hint="default" w:ascii="Times New Roman" w:hAnsi="Times New Roman" w:cs="Times New Roman"/>
                      <w:color w:val="auto"/>
                      <w:szCs w:val="21"/>
                    </w:rPr>
                  </w:pPr>
                </w:p>
              </w:tc>
              <w:tc>
                <w:tcPr>
                  <w:tcW w:w="613" w:type="pct"/>
                  <w:vMerge w:val="continue"/>
                  <w:tcBorders>
                    <w:top w:val="single" w:color="000000" w:sz="8" w:space="0"/>
                    <w:left w:val="nil"/>
                    <w:bottom w:val="single" w:color="000000" w:sz="8" w:space="0"/>
                    <w:right w:val="single" w:color="000000" w:sz="8" w:space="0"/>
                  </w:tcBorders>
                  <w:shd w:val="clear" w:color="auto" w:fill="auto"/>
                  <w:noWrap/>
                  <w:vAlign w:val="center"/>
                </w:tcPr>
                <w:p w14:paraId="46069ADC">
                  <w:pPr>
                    <w:widowControl/>
                    <w:spacing w:line="300" w:lineRule="exact"/>
                    <w:jc w:val="center"/>
                    <w:rPr>
                      <w:rFonts w:hint="default" w:ascii="Times New Roman" w:hAnsi="Times New Roman" w:cs="Times New Roman"/>
                      <w:color w:val="auto"/>
                      <w:szCs w:val="21"/>
                    </w:rPr>
                  </w:pPr>
                </w:p>
              </w:tc>
              <w:tc>
                <w:tcPr>
                  <w:tcW w:w="491" w:type="pct"/>
                  <w:vMerge w:val="continue"/>
                  <w:tcBorders>
                    <w:top w:val="single" w:color="000000" w:sz="8" w:space="0"/>
                    <w:left w:val="nil"/>
                    <w:bottom w:val="single" w:color="000000" w:sz="8" w:space="0"/>
                    <w:right w:val="single" w:color="000000" w:sz="8" w:space="0"/>
                  </w:tcBorders>
                  <w:shd w:val="clear" w:color="auto" w:fill="auto"/>
                  <w:vAlign w:val="center"/>
                </w:tcPr>
                <w:p w14:paraId="656D7B1B">
                  <w:pPr>
                    <w:widowControl/>
                    <w:spacing w:line="300" w:lineRule="exact"/>
                    <w:jc w:val="center"/>
                    <w:rPr>
                      <w:rFonts w:hint="default" w:ascii="Times New Roman" w:hAnsi="Times New Roman" w:cs="Times New Roman"/>
                      <w:color w:val="auto"/>
                      <w:szCs w:val="21"/>
                    </w:rPr>
                  </w:pPr>
                </w:p>
              </w:tc>
              <w:tc>
                <w:tcPr>
                  <w:tcW w:w="617" w:type="pct"/>
                  <w:vMerge w:val="continue"/>
                  <w:tcBorders>
                    <w:top w:val="single" w:color="000000" w:sz="8" w:space="0"/>
                    <w:left w:val="nil"/>
                    <w:bottom w:val="single" w:color="000000" w:sz="8" w:space="0"/>
                    <w:right w:val="single" w:color="000000" w:sz="8" w:space="0"/>
                  </w:tcBorders>
                  <w:shd w:val="clear" w:color="auto" w:fill="auto"/>
                  <w:noWrap/>
                  <w:vAlign w:val="center"/>
                </w:tcPr>
                <w:p w14:paraId="519B5A71">
                  <w:pPr>
                    <w:widowControl/>
                    <w:spacing w:line="300" w:lineRule="exact"/>
                    <w:jc w:val="center"/>
                    <w:rPr>
                      <w:rFonts w:hint="default" w:ascii="Times New Roman" w:hAnsi="Times New Roman" w:cs="Times New Roman"/>
                      <w:color w:val="auto"/>
                      <w:szCs w:val="21"/>
                    </w:rPr>
                  </w:pPr>
                </w:p>
              </w:tc>
            </w:tr>
            <w:tr w14:paraId="6EFE3EA6">
              <w:tblPrEx>
                <w:tblCellMar>
                  <w:top w:w="0" w:type="dxa"/>
                  <w:left w:w="108" w:type="dxa"/>
                  <w:bottom w:w="0" w:type="dxa"/>
                  <w:right w:w="108" w:type="dxa"/>
                </w:tblCellMar>
              </w:tblPrEx>
              <w:trPr>
                <w:trHeight w:val="285" w:hRule="atLeast"/>
                <w:jc w:val="center"/>
              </w:trPr>
              <w:tc>
                <w:tcPr>
                  <w:tcW w:w="254"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7A785BD">
                  <w:pPr>
                    <w:widowControl/>
                    <w:spacing w:line="300" w:lineRule="exact"/>
                    <w:jc w:val="center"/>
                    <w:rPr>
                      <w:rFonts w:hint="default" w:ascii="Times New Roman" w:hAnsi="Times New Roman" w:cs="Times New Roman"/>
                      <w:color w:val="auto"/>
                      <w:szCs w:val="21"/>
                    </w:rPr>
                  </w:pPr>
                </w:p>
              </w:tc>
              <w:tc>
                <w:tcPr>
                  <w:tcW w:w="424" w:type="pct"/>
                  <w:vMerge w:val="continue"/>
                  <w:tcBorders>
                    <w:top w:val="single" w:color="000000" w:sz="8" w:space="0"/>
                    <w:left w:val="nil"/>
                    <w:bottom w:val="single" w:color="000000" w:sz="8" w:space="0"/>
                    <w:right w:val="single" w:color="000000" w:sz="8" w:space="0"/>
                  </w:tcBorders>
                  <w:shd w:val="clear" w:color="auto" w:fill="auto"/>
                  <w:vAlign w:val="center"/>
                </w:tcPr>
                <w:p w14:paraId="60F503CB">
                  <w:pPr>
                    <w:widowControl/>
                    <w:spacing w:line="300" w:lineRule="exact"/>
                    <w:jc w:val="center"/>
                    <w:rPr>
                      <w:rFonts w:hint="default" w:ascii="Times New Roman" w:hAnsi="Times New Roman" w:cs="Times New Roman"/>
                      <w:color w:val="auto"/>
                      <w:szCs w:val="21"/>
                    </w:rPr>
                  </w:pPr>
                </w:p>
              </w:tc>
              <w:tc>
                <w:tcPr>
                  <w:tcW w:w="493" w:type="pct"/>
                  <w:vMerge w:val="continue"/>
                  <w:tcBorders>
                    <w:top w:val="nil"/>
                    <w:left w:val="nil"/>
                    <w:bottom w:val="single" w:color="000000" w:sz="8" w:space="0"/>
                    <w:right w:val="single" w:color="000000" w:sz="8" w:space="0"/>
                  </w:tcBorders>
                  <w:shd w:val="clear" w:color="auto" w:fill="auto"/>
                  <w:vAlign w:val="center"/>
                </w:tcPr>
                <w:p w14:paraId="7B03B1E8">
                  <w:pPr>
                    <w:widowControl/>
                    <w:spacing w:line="300" w:lineRule="exact"/>
                    <w:jc w:val="center"/>
                    <w:rPr>
                      <w:rFonts w:hint="default" w:ascii="Times New Roman" w:hAnsi="Times New Roman" w:cs="Times New Roman"/>
                      <w:color w:val="auto"/>
                      <w:szCs w:val="21"/>
                    </w:rPr>
                  </w:pPr>
                </w:p>
              </w:tc>
              <w:tc>
                <w:tcPr>
                  <w:tcW w:w="535" w:type="pct"/>
                  <w:vMerge w:val="continue"/>
                  <w:tcBorders>
                    <w:top w:val="nil"/>
                    <w:left w:val="nil"/>
                    <w:bottom w:val="single" w:color="000000" w:sz="8" w:space="0"/>
                    <w:right w:val="single" w:color="000000" w:sz="8" w:space="0"/>
                  </w:tcBorders>
                  <w:shd w:val="clear" w:color="auto" w:fill="auto"/>
                  <w:vAlign w:val="center"/>
                </w:tcPr>
                <w:p w14:paraId="20FEABB1">
                  <w:pPr>
                    <w:widowControl/>
                    <w:spacing w:line="300" w:lineRule="exact"/>
                    <w:jc w:val="center"/>
                    <w:rPr>
                      <w:rFonts w:hint="default" w:ascii="Times New Roman" w:hAnsi="Times New Roman" w:cs="Times New Roman"/>
                      <w:color w:val="auto"/>
                      <w:szCs w:val="21"/>
                    </w:rPr>
                  </w:pPr>
                </w:p>
              </w:tc>
              <w:tc>
                <w:tcPr>
                  <w:tcW w:w="584" w:type="pct"/>
                  <w:vMerge w:val="continue"/>
                  <w:tcBorders>
                    <w:top w:val="nil"/>
                    <w:left w:val="nil"/>
                    <w:bottom w:val="single" w:color="000000" w:sz="8" w:space="0"/>
                    <w:right w:val="single" w:color="000000" w:sz="8" w:space="0"/>
                  </w:tcBorders>
                  <w:shd w:val="clear" w:color="auto" w:fill="auto"/>
                  <w:vAlign w:val="center"/>
                </w:tcPr>
                <w:p w14:paraId="7E9B2971">
                  <w:pPr>
                    <w:widowControl/>
                    <w:spacing w:line="300" w:lineRule="exact"/>
                    <w:jc w:val="center"/>
                    <w:rPr>
                      <w:rFonts w:hint="default" w:ascii="Times New Roman" w:hAnsi="Times New Roman" w:cs="Times New Roman"/>
                      <w:color w:val="auto"/>
                      <w:szCs w:val="21"/>
                    </w:rPr>
                  </w:pPr>
                </w:p>
              </w:tc>
              <w:tc>
                <w:tcPr>
                  <w:tcW w:w="548" w:type="pct"/>
                  <w:tcBorders>
                    <w:top w:val="nil"/>
                    <w:left w:val="nil"/>
                    <w:bottom w:val="single" w:color="000000" w:sz="8" w:space="0"/>
                    <w:right w:val="single" w:color="000000" w:sz="8" w:space="0"/>
                  </w:tcBorders>
                  <w:shd w:val="clear" w:color="auto" w:fill="auto"/>
                  <w:vAlign w:val="center"/>
                </w:tcPr>
                <w:p w14:paraId="6CD3B411">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（t/a）</w:t>
                  </w:r>
                </w:p>
              </w:tc>
              <w:tc>
                <w:tcPr>
                  <w:tcW w:w="435" w:type="pct"/>
                  <w:vMerge w:val="continue"/>
                  <w:tcBorders>
                    <w:top w:val="single" w:color="000000" w:sz="8" w:space="0"/>
                    <w:left w:val="nil"/>
                    <w:bottom w:val="single" w:color="000000" w:sz="8" w:space="0"/>
                    <w:right w:val="single" w:color="000000" w:sz="8" w:space="0"/>
                  </w:tcBorders>
                  <w:shd w:val="clear" w:color="auto" w:fill="auto"/>
                  <w:noWrap/>
                  <w:vAlign w:val="center"/>
                </w:tcPr>
                <w:p w14:paraId="5B702B24">
                  <w:pPr>
                    <w:widowControl/>
                    <w:spacing w:line="300" w:lineRule="exact"/>
                    <w:jc w:val="center"/>
                    <w:rPr>
                      <w:rFonts w:hint="default" w:ascii="Times New Roman" w:hAnsi="Times New Roman" w:cs="Times New Roman"/>
                      <w:color w:val="auto"/>
                      <w:szCs w:val="21"/>
                    </w:rPr>
                  </w:pPr>
                </w:p>
              </w:tc>
              <w:tc>
                <w:tcPr>
                  <w:tcW w:w="613" w:type="pct"/>
                  <w:vMerge w:val="continue"/>
                  <w:tcBorders>
                    <w:top w:val="single" w:color="000000" w:sz="8" w:space="0"/>
                    <w:left w:val="nil"/>
                    <w:bottom w:val="single" w:color="000000" w:sz="8" w:space="0"/>
                    <w:right w:val="single" w:color="000000" w:sz="8" w:space="0"/>
                  </w:tcBorders>
                  <w:shd w:val="clear" w:color="auto" w:fill="auto"/>
                  <w:noWrap/>
                  <w:vAlign w:val="center"/>
                </w:tcPr>
                <w:p w14:paraId="4CF45AFA">
                  <w:pPr>
                    <w:widowControl/>
                    <w:spacing w:line="300" w:lineRule="exact"/>
                    <w:jc w:val="center"/>
                    <w:rPr>
                      <w:rFonts w:hint="default" w:ascii="Times New Roman" w:hAnsi="Times New Roman" w:cs="Times New Roman"/>
                      <w:color w:val="auto"/>
                      <w:szCs w:val="21"/>
                    </w:rPr>
                  </w:pPr>
                </w:p>
              </w:tc>
              <w:tc>
                <w:tcPr>
                  <w:tcW w:w="491" w:type="pct"/>
                  <w:vMerge w:val="continue"/>
                  <w:tcBorders>
                    <w:top w:val="single" w:color="000000" w:sz="8" w:space="0"/>
                    <w:left w:val="nil"/>
                    <w:bottom w:val="single" w:color="000000" w:sz="8" w:space="0"/>
                    <w:right w:val="single" w:color="000000" w:sz="8" w:space="0"/>
                  </w:tcBorders>
                  <w:shd w:val="clear" w:color="auto" w:fill="auto"/>
                  <w:vAlign w:val="center"/>
                </w:tcPr>
                <w:p w14:paraId="14BFF0DB">
                  <w:pPr>
                    <w:widowControl/>
                    <w:spacing w:line="300" w:lineRule="exact"/>
                    <w:jc w:val="center"/>
                    <w:rPr>
                      <w:rFonts w:hint="default" w:ascii="Times New Roman" w:hAnsi="Times New Roman" w:cs="Times New Roman"/>
                      <w:color w:val="auto"/>
                      <w:szCs w:val="21"/>
                    </w:rPr>
                  </w:pPr>
                </w:p>
              </w:tc>
              <w:tc>
                <w:tcPr>
                  <w:tcW w:w="617" w:type="pct"/>
                  <w:vMerge w:val="continue"/>
                  <w:tcBorders>
                    <w:top w:val="single" w:color="000000" w:sz="8" w:space="0"/>
                    <w:left w:val="nil"/>
                    <w:bottom w:val="single" w:color="000000" w:sz="8" w:space="0"/>
                    <w:right w:val="single" w:color="000000" w:sz="8" w:space="0"/>
                  </w:tcBorders>
                  <w:shd w:val="clear" w:color="auto" w:fill="auto"/>
                  <w:noWrap/>
                  <w:vAlign w:val="center"/>
                </w:tcPr>
                <w:p w14:paraId="7F1CA66B">
                  <w:pPr>
                    <w:widowControl/>
                    <w:spacing w:line="300" w:lineRule="exact"/>
                    <w:jc w:val="center"/>
                    <w:rPr>
                      <w:rFonts w:hint="default" w:ascii="Times New Roman" w:hAnsi="Times New Roman" w:cs="Times New Roman"/>
                      <w:color w:val="auto"/>
                      <w:szCs w:val="21"/>
                    </w:rPr>
                  </w:pPr>
                </w:p>
              </w:tc>
            </w:tr>
            <w:tr w14:paraId="46A0FD04">
              <w:tblPrEx>
                <w:tblCellMar>
                  <w:top w:w="0" w:type="dxa"/>
                  <w:left w:w="108" w:type="dxa"/>
                  <w:bottom w:w="0" w:type="dxa"/>
                  <w:right w:w="108" w:type="dxa"/>
                </w:tblCellMar>
              </w:tblPrEx>
              <w:trPr>
                <w:trHeight w:val="363" w:hRule="atLeast"/>
                <w:jc w:val="center"/>
              </w:trPr>
              <w:tc>
                <w:tcPr>
                  <w:tcW w:w="254" w:type="pct"/>
                  <w:vMerge w:val="restart"/>
                  <w:tcBorders>
                    <w:top w:val="nil"/>
                    <w:left w:val="single" w:color="000000" w:sz="8" w:space="0"/>
                    <w:bottom w:val="single" w:color="000000" w:sz="8" w:space="0"/>
                    <w:right w:val="single" w:color="000000" w:sz="8" w:space="0"/>
                  </w:tcBorders>
                  <w:shd w:val="clear" w:color="auto" w:fill="auto"/>
                  <w:vAlign w:val="center"/>
                </w:tcPr>
                <w:p w14:paraId="59E5B789">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生活污水</w:t>
                  </w:r>
                </w:p>
              </w:tc>
              <w:tc>
                <w:tcPr>
                  <w:tcW w:w="424" w:type="pct"/>
                  <w:tcBorders>
                    <w:top w:val="nil"/>
                    <w:left w:val="nil"/>
                    <w:bottom w:val="single" w:color="000000" w:sz="8" w:space="0"/>
                    <w:right w:val="single" w:color="000000" w:sz="8" w:space="0"/>
                  </w:tcBorders>
                  <w:shd w:val="clear" w:color="auto" w:fill="auto"/>
                  <w:vAlign w:val="center"/>
                </w:tcPr>
                <w:p w14:paraId="159DACBE">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COD</w:t>
                  </w:r>
                </w:p>
              </w:tc>
              <w:tc>
                <w:tcPr>
                  <w:tcW w:w="493" w:type="pct"/>
                  <w:vMerge w:val="restart"/>
                  <w:tcBorders>
                    <w:top w:val="nil"/>
                    <w:left w:val="nil"/>
                    <w:bottom w:val="single" w:color="000000" w:sz="8" w:space="0"/>
                    <w:right w:val="single" w:color="000000" w:sz="8" w:space="0"/>
                  </w:tcBorders>
                  <w:shd w:val="clear" w:color="auto" w:fill="auto"/>
                  <w:vAlign w:val="center"/>
                </w:tcPr>
                <w:p w14:paraId="1533698D">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排污系数法</w:t>
                  </w:r>
                </w:p>
              </w:tc>
              <w:tc>
                <w:tcPr>
                  <w:tcW w:w="535" w:type="pct"/>
                  <w:vMerge w:val="restart"/>
                  <w:tcBorders>
                    <w:top w:val="nil"/>
                    <w:left w:val="nil"/>
                    <w:bottom w:val="single" w:color="000000" w:sz="8" w:space="0"/>
                    <w:right w:val="single" w:color="000000" w:sz="8" w:space="0"/>
                  </w:tcBorders>
                  <w:shd w:val="clear" w:color="auto" w:fill="auto"/>
                  <w:vAlign w:val="center"/>
                </w:tcPr>
                <w:p w14:paraId="424D7462">
                  <w:pPr>
                    <w:widowControl/>
                    <w:spacing w:line="300" w:lineRule="exact"/>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kern w:val="0"/>
                      <w:szCs w:val="21"/>
                      <w:lang w:bidi="ar"/>
                    </w:rPr>
                    <w:t>1</w:t>
                  </w:r>
                  <w:r>
                    <w:rPr>
                      <w:rFonts w:hint="default" w:ascii="Times New Roman" w:hAnsi="Times New Roman" w:cs="Times New Roman"/>
                      <w:color w:val="auto"/>
                      <w:kern w:val="0"/>
                      <w:szCs w:val="21"/>
                      <w:lang w:val="en-US" w:eastAsia="zh-CN" w:bidi="ar"/>
                    </w:rPr>
                    <w:t>683</w:t>
                  </w:r>
                </w:p>
              </w:tc>
              <w:tc>
                <w:tcPr>
                  <w:tcW w:w="584" w:type="pct"/>
                  <w:tcBorders>
                    <w:top w:val="nil"/>
                    <w:left w:val="nil"/>
                    <w:bottom w:val="single" w:color="000000" w:sz="8" w:space="0"/>
                    <w:right w:val="single" w:color="000000" w:sz="8" w:space="0"/>
                  </w:tcBorders>
                  <w:shd w:val="clear" w:color="auto" w:fill="auto"/>
                  <w:vAlign w:val="center"/>
                </w:tcPr>
                <w:p w14:paraId="03E9DABD">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400</w:t>
                  </w:r>
                </w:p>
              </w:tc>
              <w:tc>
                <w:tcPr>
                  <w:tcW w:w="548" w:type="pct"/>
                  <w:tcBorders>
                    <w:top w:val="nil"/>
                    <w:left w:val="nil"/>
                    <w:bottom w:val="single" w:color="000000" w:sz="8" w:space="0"/>
                    <w:right w:val="single" w:color="000000" w:sz="8" w:space="0"/>
                  </w:tcBorders>
                  <w:shd w:val="clear" w:color="auto" w:fill="auto"/>
                  <w:noWrap/>
                  <w:vAlign w:val="center"/>
                </w:tcPr>
                <w:p w14:paraId="1DF24AC2">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0.673</w:t>
                  </w:r>
                </w:p>
              </w:tc>
              <w:tc>
                <w:tcPr>
                  <w:tcW w:w="435" w:type="pct"/>
                  <w:vMerge w:val="restart"/>
                  <w:tcBorders>
                    <w:top w:val="nil"/>
                    <w:left w:val="nil"/>
                    <w:bottom w:val="single" w:color="000000" w:sz="8" w:space="0"/>
                    <w:right w:val="single" w:color="000000" w:sz="8" w:space="0"/>
                  </w:tcBorders>
                  <w:shd w:val="clear" w:color="auto" w:fill="auto"/>
                  <w:noWrap/>
                  <w:vAlign w:val="center"/>
                </w:tcPr>
                <w:p w14:paraId="6024F93F">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化粪池</w:t>
                  </w:r>
                </w:p>
              </w:tc>
              <w:tc>
                <w:tcPr>
                  <w:tcW w:w="613" w:type="pct"/>
                  <w:tcBorders>
                    <w:top w:val="nil"/>
                    <w:left w:val="nil"/>
                    <w:bottom w:val="single" w:color="000000" w:sz="8" w:space="0"/>
                    <w:right w:val="single" w:color="000000" w:sz="8" w:space="0"/>
                  </w:tcBorders>
                  <w:shd w:val="clear" w:color="auto" w:fill="auto"/>
                  <w:noWrap/>
                  <w:vAlign w:val="center"/>
                </w:tcPr>
                <w:p w14:paraId="6A03A192">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280</w:t>
                  </w:r>
                </w:p>
              </w:tc>
              <w:tc>
                <w:tcPr>
                  <w:tcW w:w="491" w:type="pct"/>
                  <w:tcBorders>
                    <w:top w:val="nil"/>
                    <w:left w:val="nil"/>
                    <w:bottom w:val="single" w:color="000000" w:sz="8" w:space="0"/>
                    <w:right w:val="single" w:color="000000" w:sz="8" w:space="0"/>
                  </w:tcBorders>
                  <w:shd w:val="clear" w:color="auto" w:fill="auto"/>
                  <w:noWrap/>
                  <w:vAlign w:val="center"/>
                </w:tcPr>
                <w:p w14:paraId="537A9C5B">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0.471</w:t>
                  </w:r>
                </w:p>
              </w:tc>
              <w:tc>
                <w:tcPr>
                  <w:tcW w:w="617" w:type="pct"/>
                  <w:vMerge w:val="restart"/>
                  <w:tcBorders>
                    <w:top w:val="nil"/>
                    <w:left w:val="nil"/>
                    <w:bottom w:val="single" w:color="000000" w:sz="8" w:space="0"/>
                    <w:right w:val="single" w:color="000000" w:sz="8" w:space="0"/>
                  </w:tcBorders>
                  <w:shd w:val="clear" w:color="auto" w:fill="auto"/>
                  <w:vAlign w:val="center"/>
                </w:tcPr>
                <w:p w14:paraId="262A7017">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生活污水排放口</w:t>
                  </w:r>
                </w:p>
              </w:tc>
            </w:tr>
            <w:tr w14:paraId="27FC5AF0">
              <w:tblPrEx>
                <w:tblCellMar>
                  <w:top w:w="0" w:type="dxa"/>
                  <w:left w:w="108" w:type="dxa"/>
                  <w:bottom w:w="0" w:type="dxa"/>
                  <w:right w:w="108" w:type="dxa"/>
                </w:tblCellMar>
              </w:tblPrEx>
              <w:trPr>
                <w:trHeight w:val="372" w:hRule="atLeast"/>
                <w:jc w:val="center"/>
              </w:trPr>
              <w:tc>
                <w:tcPr>
                  <w:tcW w:w="254" w:type="pct"/>
                  <w:vMerge w:val="continue"/>
                  <w:tcBorders>
                    <w:top w:val="nil"/>
                    <w:left w:val="single" w:color="000000" w:sz="8" w:space="0"/>
                    <w:bottom w:val="single" w:color="000000" w:sz="8" w:space="0"/>
                    <w:right w:val="single" w:color="000000" w:sz="8" w:space="0"/>
                  </w:tcBorders>
                  <w:shd w:val="clear" w:color="auto" w:fill="auto"/>
                  <w:vAlign w:val="center"/>
                </w:tcPr>
                <w:p w14:paraId="369320C9">
                  <w:pPr>
                    <w:widowControl/>
                    <w:spacing w:line="300" w:lineRule="exact"/>
                    <w:jc w:val="center"/>
                    <w:rPr>
                      <w:rFonts w:hint="default" w:ascii="Times New Roman" w:hAnsi="Times New Roman" w:cs="Times New Roman"/>
                      <w:color w:val="auto"/>
                      <w:szCs w:val="21"/>
                    </w:rPr>
                  </w:pPr>
                </w:p>
              </w:tc>
              <w:tc>
                <w:tcPr>
                  <w:tcW w:w="424" w:type="pct"/>
                  <w:tcBorders>
                    <w:top w:val="nil"/>
                    <w:left w:val="nil"/>
                    <w:bottom w:val="single" w:color="000000" w:sz="8" w:space="0"/>
                    <w:right w:val="single" w:color="000000" w:sz="8" w:space="0"/>
                  </w:tcBorders>
                  <w:shd w:val="clear" w:color="auto" w:fill="auto"/>
                  <w:vAlign w:val="center"/>
                </w:tcPr>
                <w:p w14:paraId="07FF0B25">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BOD</w:t>
                  </w:r>
                  <w:r>
                    <w:rPr>
                      <w:rFonts w:hint="default" w:ascii="Times New Roman" w:hAnsi="Times New Roman" w:cs="Times New Roman"/>
                      <w:color w:val="auto"/>
                      <w:kern w:val="0"/>
                      <w:szCs w:val="21"/>
                      <w:vertAlign w:val="subscript"/>
                      <w:lang w:bidi="ar"/>
                    </w:rPr>
                    <w:t>5</w:t>
                  </w:r>
                </w:p>
              </w:tc>
              <w:tc>
                <w:tcPr>
                  <w:tcW w:w="493" w:type="pct"/>
                  <w:vMerge w:val="continue"/>
                  <w:tcBorders>
                    <w:top w:val="nil"/>
                    <w:left w:val="nil"/>
                    <w:bottom w:val="single" w:color="000000" w:sz="8" w:space="0"/>
                    <w:right w:val="single" w:color="000000" w:sz="8" w:space="0"/>
                  </w:tcBorders>
                  <w:shd w:val="clear" w:color="auto" w:fill="auto"/>
                  <w:vAlign w:val="center"/>
                </w:tcPr>
                <w:p w14:paraId="324CD9F6">
                  <w:pPr>
                    <w:widowControl/>
                    <w:spacing w:line="300" w:lineRule="exact"/>
                    <w:jc w:val="center"/>
                    <w:rPr>
                      <w:rFonts w:hint="default" w:ascii="Times New Roman" w:hAnsi="Times New Roman" w:cs="Times New Roman"/>
                      <w:color w:val="auto"/>
                      <w:szCs w:val="21"/>
                    </w:rPr>
                  </w:pPr>
                </w:p>
              </w:tc>
              <w:tc>
                <w:tcPr>
                  <w:tcW w:w="535" w:type="pct"/>
                  <w:vMerge w:val="continue"/>
                  <w:tcBorders>
                    <w:top w:val="nil"/>
                    <w:left w:val="nil"/>
                    <w:bottom w:val="single" w:color="000000" w:sz="8" w:space="0"/>
                    <w:right w:val="single" w:color="000000" w:sz="8" w:space="0"/>
                  </w:tcBorders>
                  <w:shd w:val="clear" w:color="auto" w:fill="auto"/>
                  <w:vAlign w:val="center"/>
                </w:tcPr>
                <w:p w14:paraId="66B78E77">
                  <w:pPr>
                    <w:widowControl/>
                    <w:spacing w:line="300" w:lineRule="exact"/>
                    <w:jc w:val="center"/>
                    <w:rPr>
                      <w:rFonts w:hint="default" w:ascii="Times New Roman" w:hAnsi="Times New Roman" w:cs="Times New Roman"/>
                      <w:color w:val="auto"/>
                      <w:szCs w:val="21"/>
                    </w:rPr>
                  </w:pPr>
                </w:p>
              </w:tc>
              <w:tc>
                <w:tcPr>
                  <w:tcW w:w="584" w:type="pct"/>
                  <w:tcBorders>
                    <w:top w:val="nil"/>
                    <w:left w:val="nil"/>
                    <w:bottom w:val="single" w:color="000000" w:sz="8" w:space="0"/>
                    <w:right w:val="single" w:color="000000" w:sz="8" w:space="0"/>
                  </w:tcBorders>
                  <w:shd w:val="clear" w:color="auto" w:fill="auto"/>
                  <w:vAlign w:val="center"/>
                </w:tcPr>
                <w:p w14:paraId="61E40D4A">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250</w:t>
                  </w:r>
                </w:p>
              </w:tc>
              <w:tc>
                <w:tcPr>
                  <w:tcW w:w="548" w:type="pct"/>
                  <w:tcBorders>
                    <w:top w:val="nil"/>
                    <w:left w:val="nil"/>
                    <w:bottom w:val="single" w:color="000000" w:sz="8" w:space="0"/>
                    <w:right w:val="single" w:color="000000" w:sz="8" w:space="0"/>
                  </w:tcBorders>
                  <w:shd w:val="clear" w:color="auto" w:fill="auto"/>
                  <w:noWrap/>
                  <w:vAlign w:val="center"/>
                </w:tcPr>
                <w:p w14:paraId="2DA62C2E">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0.421</w:t>
                  </w:r>
                </w:p>
              </w:tc>
              <w:tc>
                <w:tcPr>
                  <w:tcW w:w="435" w:type="pct"/>
                  <w:vMerge w:val="continue"/>
                  <w:tcBorders>
                    <w:top w:val="nil"/>
                    <w:left w:val="nil"/>
                    <w:bottom w:val="single" w:color="000000" w:sz="8" w:space="0"/>
                    <w:right w:val="single" w:color="000000" w:sz="8" w:space="0"/>
                  </w:tcBorders>
                  <w:shd w:val="clear" w:color="auto" w:fill="auto"/>
                  <w:noWrap/>
                  <w:vAlign w:val="center"/>
                </w:tcPr>
                <w:p w14:paraId="567154EC">
                  <w:pPr>
                    <w:widowControl/>
                    <w:spacing w:line="300" w:lineRule="exact"/>
                    <w:jc w:val="center"/>
                    <w:rPr>
                      <w:rFonts w:hint="default" w:ascii="Times New Roman" w:hAnsi="Times New Roman" w:cs="Times New Roman"/>
                      <w:color w:val="auto"/>
                      <w:szCs w:val="21"/>
                    </w:rPr>
                  </w:pPr>
                </w:p>
              </w:tc>
              <w:tc>
                <w:tcPr>
                  <w:tcW w:w="613" w:type="pct"/>
                  <w:tcBorders>
                    <w:top w:val="nil"/>
                    <w:left w:val="nil"/>
                    <w:bottom w:val="single" w:color="000000" w:sz="8" w:space="0"/>
                    <w:right w:val="single" w:color="000000" w:sz="8" w:space="0"/>
                  </w:tcBorders>
                  <w:shd w:val="clear" w:color="auto" w:fill="auto"/>
                  <w:noWrap/>
                  <w:vAlign w:val="center"/>
                </w:tcPr>
                <w:p w14:paraId="343A5CEA">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150</w:t>
                  </w:r>
                </w:p>
              </w:tc>
              <w:tc>
                <w:tcPr>
                  <w:tcW w:w="491" w:type="pct"/>
                  <w:tcBorders>
                    <w:top w:val="nil"/>
                    <w:left w:val="nil"/>
                    <w:bottom w:val="single" w:color="000000" w:sz="8" w:space="0"/>
                    <w:right w:val="single" w:color="000000" w:sz="8" w:space="0"/>
                  </w:tcBorders>
                  <w:shd w:val="clear" w:color="auto" w:fill="auto"/>
                  <w:noWrap/>
                  <w:vAlign w:val="center"/>
                </w:tcPr>
                <w:p w14:paraId="641FFCDC">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0.252</w:t>
                  </w:r>
                </w:p>
              </w:tc>
              <w:tc>
                <w:tcPr>
                  <w:tcW w:w="617" w:type="pct"/>
                  <w:vMerge w:val="continue"/>
                  <w:tcBorders>
                    <w:top w:val="nil"/>
                    <w:left w:val="nil"/>
                    <w:bottom w:val="single" w:color="000000" w:sz="8" w:space="0"/>
                    <w:right w:val="single" w:color="000000" w:sz="8" w:space="0"/>
                  </w:tcBorders>
                  <w:shd w:val="clear" w:color="auto" w:fill="auto"/>
                  <w:vAlign w:val="center"/>
                </w:tcPr>
                <w:p w14:paraId="46D5CF95">
                  <w:pPr>
                    <w:widowControl/>
                    <w:spacing w:line="300" w:lineRule="exact"/>
                    <w:jc w:val="center"/>
                    <w:rPr>
                      <w:rFonts w:hint="default" w:ascii="Times New Roman" w:hAnsi="Times New Roman" w:cs="Times New Roman"/>
                      <w:color w:val="auto"/>
                      <w:szCs w:val="21"/>
                    </w:rPr>
                  </w:pPr>
                </w:p>
              </w:tc>
            </w:tr>
            <w:tr w14:paraId="4ECEDABC">
              <w:tblPrEx>
                <w:tblCellMar>
                  <w:top w:w="0" w:type="dxa"/>
                  <w:left w:w="108" w:type="dxa"/>
                  <w:bottom w:w="0" w:type="dxa"/>
                  <w:right w:w="108" w:type="dxa"/>
                </w:tblCellMar>
              </w:tblPrEx>
              <w:trPr>
                <w:trHeight w:val="300" w:hRule="atLeast"/>
                <w:jc w:val="center"/>
              </w:trPr>
              <w:tc>
                <w:tcPr>
                  <w:tcW w:w="254" w:type="pct"/>
                  <w:vMerge w:val="continue"/>
                  <w:tcBorders>
                    <w:top w:val="nil"/>
                    <w:left w:val="single" w:color="000000" w:sz="8" w:space="0"/>
                    <w:bottom w:val="single" w:color="000000" w:sz="8" w:space="0"/>
                    <w:right w:val="single" w:color="000000" w:sz="8" w:space="0"/>
                  </w:tcBorders>
                  <w:shd w:val="clear" w:color="auto" w:fill="auto"/>
                  <w:vAlign w:val="center"/>
                </w:tcPr>
                <w:p w14:paraId="47D6C52F">
                  <w:pPr>
                    <w:widowControl/>
                    <w:spacing w:line="300" w:lineRule="exact"/>
                    <w:jc w:val="center"/>
                    <w:rPr>
                      <w:rFonts w:hint="default" w:ascii="Times New Roman" w:hAnsi="Times New Roman" w:cs="Times New Roman"/>
                      <w:color w:val="auto"/>
                      <w:szCs w:val="21"/>
                    </w:rPr>
                  </w:pPr>
                </w:p>
              </w:tc>
              <w:tc>
                <w:tcPr>
                  <w:tcW w:w="424" w:type="pct"/>
                  <w:tcBorders>
                    <w:top w:val="nil"/>
                    <w:left w:val="nil"/>
                    <w:bottom w:val="single" w:color="000000" w:sz="8" w:space="0"/>
                    <w:right w:val="single" w:color="000000" w:sz="8" w:space="0"/>
                  </w:tcBorders>
                  <w:shd w:val="clear" w:color="auto" w:fill="auto"/>
                  <w:vAlign w:val="center"/>
                </w:tcPr>
                <w:p w14:paraId="07BEECD7">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氨氮</w:t>
                  </w:r>
                </w:p>
              </w:tc>
              <w:tc>
                <w:tcPr>
                  <w:tcW w:w="493" w:type="pct"/>
                  <w:vMerge w:val="continue"/>
                  <w:tcBorders>
                    <w:top w:val="nil"/>
                    <w:left w:val="nil"/>
                    <w:bottom w:val="single" w:color="000000" w:sz="8" w:space="0"/>
                    <w:right w:val="single" w:color="000000" w:sz="8" w:space="0"/>
                  </w:tcBorders>
                  <w:shd w:val="clear" w:color="auto" w:fill="auto"/>
                  <w:vAlign w:val="center"/>
                </w:tcPr>
                <w:p w14:paraId="5ED15A17">
                  <w:pPr>
                    <w:widowControl/>
                    <w:spacing w:line="300" w:lineRule="exact"/>
                    <w:jc w:val="center"/>
                    <w:rPr>
                      <w:rFonts w:hint="default" w:ascii="Times New Roman" w:hAnsi="Times New Roman" w:cs="Times New Roman"/>
                      <w:color w:val="auto"/>
                      <w:szCs w:val="21"/>
                    </w:rPr>
                  </w:pPr>
                </w:p>
              </w:tc>
              <w:tc>
                <w:tcPr>
                  <w:tcW w:w="535" w:type="pct"/>
                  <w:vMerge w:val="continue"/>
                  <w:tcBorders>
                    <w:top w:val="nil"/>
                    <w:left w:val="nil"/>
                    <w:bottom w:val="single" w:color="000000" w:sz="8" w:space="0"/>
                    <w:right w:val="single" w:color="000000" w:sz="8" w:space="0"/>
                  </w:tcBorders>
                  <w:shd w:val="clear" w:color="auto" w:fill="auto"/>
                  <w:vAlign w:val="center"/>
                </w:tcPr>
                <w:p w14:paraId="6236F8E0">
                  <w:pPr>
                    <w:widowControl/>
                    <w:spacing w:line="300" w:lineRule="exact"/>
                    <w:jc w:val="center"/>
                    <w:rPr>
                      <w:rFonts w:hint="default" w:ascii="Times New Roman" w:hAnsi="Times New Roman" w:cs="Times New Roman"/>
                      <w:color w:val="auto"/>
                      <w:szCs w:val="21"/>
                    </w:rPr>
                  </w:pPr>
                </w:p>
              </w:tc>
              <w:tc>
                <w:tcPr>
                  <w:tcW w:w="584" w:type="pct"/>
                  <w:tcBorders>
                    <w:top w:val="nil"/>
                    <w:left w:val="nil"/>
                    <w:bottom w:val="single" w:color="000000" w:sz="8" w:space="0"/>
                    <w:right w:val="single" w:color="000000" w:sz="8" w:space="0"/>
                  </w:tcBorders>
                  <w:shd w:val="clear" w:color="auto" w:fill="auto"/>
                  <w:vAlign w:val="center"/>
                </w:tcPr>
                <w:p w14:paraId="7296278F">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20</w:t>
                  </w:r>
                </w:p>
              </w:tc>
              <w:tc>
                <w:tcPr>
                  <w:tcW w:w="548" w:type="pct"/>
                  <w:tcBorders>
                    <w:top w:val="nil"/>
                    <w:left w:val="nil"/>
                    <w:bottom w:val="single" w:color="000000" w:sz="8" w:space="0"/>
                    <w:right w:val="single" w:color="000000" w:sz="8" w:space="0"/>
                  </w:tcBorders>
                  <w:shd w:val="clear" w:color="auto" w:fill="auto"/>
                  <w:noWrap/>
                  <w:vAlign w:val="center"/>
                </w:tcPr>
                <w:p w14:paraId="1D997E16">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0.034</w:t>
                  </w:r>
                </w:p>
              </w:tc>
              <w:tc>
                <w:tcPr>
                  <w:tcW w:w="435" w:type="pct"/>
                  <w:vMerge w:val="continue"/>
                  <w:tcBorders>
                    <w:top w:val="nil"/>
                    <w:left w:val="nil"/>
                    <w:bottom w:val="single" w:color="000000" w:sz="8" w:space="0"/>
                    <w:right w:val="single" w:color="000000" w:sz="8" w:space="0"/>
                  </w:tcBorders>
                  <w:shd w:val="clear" w:color="auto" w:fill="auto"/>
                  <w:noWrap/>
                  <w:vAlign w:val="center"/>
                </w:tcPr>
                <w:p w14:paraId="797A7150">
                  <w:pPr>
                    <w:widowControl/>
                    <w:spacing w:line="300" w:lineRule="exact"/>
                    <w:jc w:val="center"/>
                    <w:rPr>
                      <w:rFonts w:hint="default" w:ascii="Times New Roman" w:hAnsi="Times New Roman" w:cs="Times New Roman"/>
                      <w:color w:val="auto"/>
                      <w:szCs w:val="21"/>
                    </w:rPr>
                  </w:pPr>
                </w:p>
              </w:tc>
              <w:tc>
                <w:tcPr>
                  <w:tcW w:w="613" w:type="pct"/>
                  <w:tcBorders>
                    <w:top w:val="nil"/>
                    <w:left w:val="nil"/>
                    <w:bottom w:val="single" w:color="000000" w:sz="8" w:space="0"/>
                    <w:right w:val="single" w:color="000000" w:sz="8" w:space="0"/>
                  </w:tcBorders>
                  <w:shd w:val="clear" w:color="auto" w:fill="auto"/>
                  <w:noWrap/>
                  <w:vAlign w:val="center"/>
                </w:tcPr>
                <w:p w14:paraId="3E3D1A0C">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20</w:t>
                  </w:r>
                </w:p>
              </w:tc>
              <w:tc>
                <w:tcPr>
                  <w:tcW w:w="491" w:type="pct"/>
                  <w:tcBorders>
                    <w:top w:val="nil"/>
                    <w:left w:val="nil"/>
                    <w:bottom w:val="single" w:color="000000" w:sz="8" w:space="0"/>
                    <w:right w:val="single" w:color="000000" w:sz="8" w:space="0"/>
                  </w:tcBorders>
                  <w:shd w:val="clear" w:color="auto" w:fill="auto"/>
                  <w:noWrap/>
                  <w:vAlign w:val="center"/>
                </w:tcPr>
                <w:p w14:paraId="57F15477">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0.034</w:t>
                  </w:r>
                </w:p>
              </w:tc>
              <w:tc>
                <w:tcPr>
                  <w:tcW w:w="617" w:type="pct"/>
                  <w:vMerge w:val="continue"/>
                  <w:tcBorders>
                    <w:top w:val="nil"/>
                    <w:left w:val="nil"/>
                    <w:bottom w:val="single" w:color="000000" w:sz="8" w:space="0"/>
                    <w:right w:val="single" w:color="000000" w:sz="8" w:space="0"/>
                  </w:tcBorders>
                  <w:shd w:val="clear" w:color="auto" w:fill="auto"/>
                  <w:vAlign w:val="center"/>
                </w:tcPr>
                <w:p w14:paraId="13D49EF0">
                  <w:pPr>
                    <w:widowControl/>
                    <w:spacing w:line="300" w:lineRule="exact"/>
                    <w:jc w:val="center"/>
                    <w:rPr>
                      <w:rFonts w:hint="default" w:ascii="Times New Roman" w:hAnsi="Times New Roman" w:cs="Times New Roman"/>
                      <w:color w:val="auto"/>
                      <w:szCs w:val="21"/>
                    </w:rPr>
                  </w:pPr>
                </w:p>
              </w:tc>
            </w:tr>
            <w:tr w14:paraId="14C48F44">
              <w:tblPrEx>
                <w:tblCellMar>
                  <w:top w:w="0" w:type="dxa"/>
                  <w:left w:w="108" w:type="dxa"/>
                  <w:bottom w:w="0" w:type="dxa"/>
                  <w:right w:w="108" w:type="dxa"/>
                </w:tblCellMar>
              </w:tblPrEx>
              <w:trPr>
                <w:trHeight w:val="300" w:hRule="atLeast"/>
                <w:jc w:val="center"/>
              </w:trPr>
              <w:tc>
                <w:tcPr>
                  <w:tcW w:w="254" w:type="pct"/>
                  <w:vMerge w:val="continue"/>
                  <w:tcBorders>
                    <w:top w:val="nil"/>
                    <w:left w:val="single" w:color="000000" w:sz="8" w:space="0"/>
                    <w:bottom w:val="single" w:color="000000" w:sz="8" w:space="0"/>
                    <w:right w:val="single" w:color="000000" w:sz="8" w:space="0"/>
                  </w:tcBorders>
                  <w:shd w:val="clear" w:color="auto" w:fill="auto"/>
                  <w:vAlign w:val="center"/>
                </w:tcPr>
                <w:p w14:paraId="3BDB1613">
                  <w:pPr>
                    <w:widowControl/>
                    <w:spacing w:line="300" w:lineRule="exact"/>
                    <w:jc w:val="center"/>
                    <w:rPr>
                      <w:rFonts w:hint="default" w:ascii="Times New Roman" w:hAnsi="Times New Roman" w:cs="Times New Roman"/>
                      <w:color w:val="auto"/>
                      <w:szCs w:val="21"/>
                    </w:rPr>
                  </w:pPr>
                </w:p>
              </w:tc>
              <w:tc>
                <w:tcPr>
                  <w:tcW w:w="424" w:type="pct"/>
                  <w:tcBorders>
                    <w:top w:val="nil"/>
                    <w:left w:val="nil"/>
                    <w:bottom w:val="single" w:color="000000" w:sz="8" w:space="0"/>
                    <w:right w:val="single" w:color="000000" w:sz="8" w:space="0"/>
                  </w:tcBorders>
                  <w:shd w:val="clear" w:color="auto" w:fill="auto"/>
                  <w:vAlign w:val="center"/>
                </w:tcPr>
                <w:p w14:paraId="7D8CCEDE">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SS</w:t>
                  </w:r>
                </w:p>
              </w:tc>
              <w:tc>
                <w:tcPr>
                  <w:tcW w:w="493" w:type="pct"/>
                  <w:vMerge w:val="continue"/>
                  <w:tcBorders>
                    <w:top w:val="nil"/>
                    <w:left w:val="nil"/>
                    <w:bottom w:val="single" w:color="000000" w:sz="8" w:space="0"/>
                    <w:right w:val="single" w:color="000000" w:sz="8" w:space="0"/>
                  </w:tcBorders>
                  <w:shd w:val="clear" w:color="auto" w:fill="auto"/>
                  <w:vAlign w:val="center"/>
                </w:tcPr>
                <w:p w14:paraId="2E366A36">
                  <w:pPr>
                    <w:widowControl/>
                    <w:spacing w:line="300" w:lineRule="exact"/>
                    <w:jc w:val="center"/>
                    <w:rPr>
                      <w:rFonts w:hint="default" w:ascii="Times New Roman" w:hAnsi="Times New Roman" w:cs="Times New Roman"/>
                      <w:color w:val="auto"/>
                      <w:szCs w:val="21"/>
                    </w:rPr>
                  </w:pPr>
                </w:p>
              </w:tc>
              <w:tc>
                <w:tcPr>
                  <w:tcW w:w="535" w:type="pct"/>
                  <w:vMerge w:val="continue"/>
                  <w:tcBorders>
                    <w:top w:val="nil"/>
                    <w:left w:val="nil"/>
                    <w:bottom w:val="single" w:color="000000" w:sz="8" w:space="0"/>
                    <w:right w:val="single" w:color="000000" w:sz="8" w:space="0"/>
                  </w:tcBorders>
                  <w:shd w:val="clear" w:color="auto" w:fill="auto"/>
                  <w:vAlign w:val="center"/>
                </w:tcPr>
                <w:p w14:paraId="5819763A">
                  <w:pPr>
                    <w:widowControl/>
                    <w:spacing w:line="300" w:lineRule="exact"/>
                    <w:jc w:val="center"/>
                    <w:rPr>
                      <w:rFonts w:hint="default" w:ascii="Times New Roman" w:hAnsi="Times New Roman" w:cs="Times New Roman"/>
                      <w:color w:val="auto"/>
                      <w:szCs w:val="21"/>
                    </w:rPr>
                  </w:pPr>
                </w:p>
              </w:tc>
              <w:tc>
                <w:tcPr>
                  <w:tcW w:w="584" w:type="pct"/>
                  <w:tcBorders>
                    <w:top w:val="nil"/>
                    <w:left w:val="nil"/>
                    <w:bottom w:val="single" w:color="000000" w:sz="8" w:space="0"/>
                    <w:right w:val="single" w:color="000000" w:sz="8" w:space="0"/>
                  </w:tcBorders>
                  <w:shd w:val="clear" w:color="auto" w:fill="auto"/>
                  <w:vAlign w:val="center"/>
                </w:tcPr>
                <w:p w14:paraId="117385D6">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220</w:t>
                  </w:r>
                </w:p>
              </w:tc>
              <w:tc>
                <w:tcPr>
                  <w:tcW w:w="548" w:type="pct"/>
                  <w:tcBorders>
                    <w:top w:val="nil"/>
                    <w:left w:val="nil"/>
                    <w:bottom w:val="single" w:color="000000" w:sz="8" w:space="0"/>
                    <w:right w:val="single" w:color="000000" w:sz="8" w:space="0"/>
                  </w:tcBorders>
                  <w:shd w:val="clear" w:color="auto" w:fill="auto"/>
                  <w:noWrap/>
                  <w:vAlign w:val="center"/>
                </w:tcPr>
                <w:p w14:paraId="76F00930">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0.370</w:t>
                  </w:r>
                </w:p>
              </w:tc>
              <w:tc>
                <w:tcPr>
                  <w:tcW w:w="435" w:type="pct"/>
                  <w:vMerge w:val="continue"/>
                  <w:tcBorders>
                    <w:top w:val="nil"/>
                    <w:left w:val="nil"/>
                    <w:bottom w:val="single" w:color="000000" w:sz="8" w:space="0"/>
                    <w:right w:val="single" w:color="000000" w:sz="8" w:space="0"/>
                  </w:tcBorders>
                  <w:shd w:val="clear" w:color="auto" w:fill="auto"/>
                  <w:noWrap/>
                  <w:vAlign w:val="center"/>
                </w:tcPr>
                <w:p w14:paraId="3E1DCC61">
                  <w:pPr>
                    <w:widowControl/>
                    <w:spacing w:line="300" w:lineRule="exact"/>
                    <w:jc w:val="center"/>
                    <w:rPr>
                      <w:rFonts w:hint="default" w:ascii="Times New Roman" w:hAnsi="Times New Roman" w:cs="Times New Roman"/>
                      <w:color w:val="auto"/>
                      <w:szCs w:val="21"/>
                    </w:rPr>
                  </w:pPr>
                </w:p>
              </w:tc>
              <w:tc>
                <w:tcPr>
                  <w:tcW w:w="613" w:type="pct"/>
                  <w:tcBorders>
                    <w:top w:val="nil"/>
                    <w:left w:val="nil"/>
                    <w:bottom w:val="single" w:color="000000" w:sz="8" w:space="0"/>
                    <w:right w:val="single" w:color="000000" w:sz="8" w:space="0"/>
                  </w:tcBorders>
                  <w:shd w:val="clear" w:color="auto" w:fill="auto"/>
                  <w:noWrap/>
                  <w:vAlign w:val="center"/>
                </w:tcPr>
                <w:p w14:paraId="460AA2E3">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150</w:t>
                  </w:r>
                </w:p>
              </w:tc>
              <w:tc>
                <w:tcPr>
                  <w:tcW w:w="491" w:type="pct"/>
                  <w:tcBorders>
                    <w:top w:val="nil"/>
                    <w:left w:val="nil"/>
                    <w:bottom w:val="single" w:color="000000" w:sz="8" w:space="0"/>
                    <w:right w:val="single" w:color="000000" w:sz="8" w:space="0"/>
                  </w:tcBorders>
                  <w:shd w:val="clear" w:color="auto" w:fill="auto"/>
                  <w:noWrap/>
                  <w:vAlign w:val="center"/>
                </w:tcPr>
                <w:p w14:paraId="218069B0">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0.252</w:t>
                  </w:r>
                </w:p>
              </w:tc>
              <w:tc>
                <w:tcPr>
                  <w:tcW w:w="617" w:type="pct"/>
                  <w:vMerge w:val="continue"/>
                  <w:tcBorders>
                    <w:top w:val="nil"/>
                    <w:left w:val="nil"/>
                    <w:bottom w:val="single" w:color="000000" w:sz="8" w:space="0"/>
                    <w:right w:val="single" w:color="000000" w:sz="8" w:space="0"/>
                  </w:tcBorders>
                  <w:shd w:val="clear" w:color="auto" w:fill="auto"/>
                  <w:vAlign w:val="center"/>
                </w:tcPr>
                <w:p w14:paraId="2F3D9C32">
                  <w:pPr>
                    <w:widowControl/>
                    <w:spacing w:line="300" w:lineRule="exact"/>
                    <w:jc w:val="center"/>
                    <w:rPr>
                      <w:rFonts w:hint="default" w:ascii="Times New Roman" w:hAnsi="Times New Roman" w:cs="Times New Roman"/>
                      <w:color w:val="auto"/>
                      <w:szCs w:val="21"/>
                    </w:rPr>
                  </w:pPr>
                </w:p>
              </w:tc>
            </w:tr>
            <w:tr w14:paraId="6F2DEF5B">
              <w:tblPrEx>
                <w:tblCellMar>
                  <w:top w:w="0" w:type="dxa"/>
                  <w:left w:w="108" w:type="dxa"/>
                  <w:bottom w:w="0" w:type="dxa"/>
                  <w:right w:w="108" w:type="dxa"/>
                </w:tblCellMar>
              </w:tblPrEx>
              <w:trPr>
                <w:trHeight w:val="300" w:hRule="atLeast"/>
                <w:jc w:val="center"/>
              </w:trPr>
              <w:tc>
                <w:tcPr>
                  <w:tcW w:w="254" w:type="pct"/>
                  <w:vMerge w:val="continue"/>
                  <w:tcBorders>
                    <w:top w:val="nil"/>
                    <w:left w:val="single" w:color="000000" w:sz="8" w:space="0"/>
                    <w:bottom w:val="single" w:color="000000" w:sz="8" w:space="0"/>
                    <w:right w:val="single" w:color="000000" w:sz="8" w:space="0"/>
                  </w:tcBorders>
                  <w:shd w:val="clear" w:color="auto" w:fill="auto"/>
                  <w:vAlign w:val="center"/>
                </w:tcPr>
                <w:p w14:paraId="6522A2D5">
                  <w:pPr>
                    <w:widowControl/>
                    <w:spacing w:line="300" w:lineRule="exact"/>
                    <w:jc w:val="center"/>
                    <w:rPr>
                      <w:rFonts w:hint="default" w:ascii="Times New Roman" w:hAnsi="Times New Roman" w:cs="Times New Roman"/>
                      <w:color w:val="auto"/>
                      <w:szCs w:val="21"/>
                    </w:rPr>
                  </w:pPr>
                </w:p>
              </w:tc>
              <w:tc>
                <w:tcPr>
                  <w:tcW w:w="424" w:type="pct"/>
                  <w:tcBorders>
                    <w:top w:val="nil"/>
                    <w:left w:val="nil"/>
                    <w:bottom w:val="single" w:color="000000" w:sz="8" w:space="0"/>
                    <w:right w:val="single" w:color="000000" w:sz="8" w:space="0"/>
                  </w:tcBorders>
                  <w:shd w:val="clear" w:color="auto" w:fill="auto"/>
                  <w:vAlign w:val="center"/>
                </w:tcPr>
                <w:p w14:paraId="66D4A32F">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总氮</w:t>
                  </w:r>
                </w:p>
              </w:tc>
              <w:tc>
                <w:tcPr>
                  <w:tcW w:w="493" w:type="pct"/>
                  <w:vMerge w:val="continue"/>
                  <w:tcBorders>
                    <w:top w:val="nil"/>
                    <w:left w:val="nil"/>
                    <w:bottom w:val="single" w:color="000000" w:sz="8" w:space="0"/>
                    <w:right w:val="single" w:color="000000" w:sz="8" w:space="0"/>
                  </w:tcBorders>
                  <w:shd w:val="clear" w:color="auto" w:fill="auto"/>
                  <w:vAlign w:val="center"/>
                </w:tcPr>
                <w:p w14:paraId="0FE3707C">
                  <w:pPr>
                    <w:widowControl/>
                    <w:spacing w:line="300" w:lineRule="exact"/>
                    <w:jc w:val="center"/>
                    <w:rPr>
                      <w:rFonts w:hint="default" w:ascii="Times New Roman" w:hAnsi="Times New Roman" w:cs="Times New Roman"/>
                      <w:color w:val="auto"/>
                      <w:szCs w:val="21"/>
                    </w:rPr>
                  </w:pPr>
                </w:p>
              </w:tc>
              <w:tc>
                <w:tcPr>
                  <w:tcW w:w="535" w:type="pct"/>
                  <w:vMerge w:val="continue"/>
                  <w:tcBorders>
                    <w:top w:val="nil"/>
                    <w:left w:val="nil"/>
                    <w:bottom w:val="single" w:color="000000" w:sz="8" w:space="0"/>
                    <w:right w:val="single" w:color="000000" w:sz="8" w:space="0"/>
                  </w:tcBorders>
                  <w:shd w:val="clear" w:color="auto" w:fill="auto"/>
                  <w:vAlign w:val="center"/>
                </w:tcPr>
                <w:p w14:paraId="1C375145">
                  <w:pPr>
                    <w:widowControl/>
                    <w:spacing w:line="300" w:lineRule="exact"/>
                    <w:jc w:val="center"/>
                    <w:rPr>
                      <w:rFonts w:hint="default" w:ascii="Times New Roman" w:hAnsi="Times New Roman" w:cs="Times New Roman"/>
                      <w:color w:val="auto"/>
                      <w:szCs w:val="21"/>
                    </w:rPr>
                  </w:pPr>
                </w:p>
              </w:tc>
              <w:tc>
                <w:tcPr>
                  <w:tcW w:w="584" w:type="pct"/>
                  <w:tcBorders>
                    <w:top w:val="nil"/>
                    <w:left w:val="nil"/>
                    <w:bottom w:val="single" w:color="000000" w:sz="8" w:space="0"/>
                    <w:right w:val="single" w:color="000000" w:sz="8" w:space="0"/>
                  </w:tcBorders>
                  <w:shd w:val="clear" w:color="auto" w:fill="auto"/>
                  <w:vAlign w:val="center"/>
                </w:tcPr>
                <w:p w14:paraId="175251EE">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30</w:t>
                  </w:r>
                </w:p>
              </w:tc>
              <w:tc>
                <w:tcPr>
                  <w:tcW w:w="548" w:type="pct"/>
                  <w:tcBorders>
                    <w:top w:val="nil"/>
                    <w:left w:val="nil"/>
                    <w:bottom w:val="single" w:color="000000" w:sz="8" w:space="0"/>
                    <w:right w:val="single" w:color="000000" w:sz="8" w:space="0"/>
                  </w:tcBorders>
                  <w:shd w:val="clear" w:color="auto" w:fill="auto"/>
                  <w:noWrap/>
                  <w:vAlign w:val="center"/>
                </w:tcPr>
                <w:p w14:paraId="0E216A5A">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0.050</w:t>
                  </w:r>
                </w:p>
              </w:tc>
              <w:tc>
                <w:tcPr>
                  <w:tcW w:w="435" w:type="pct"/>
                  <w:vMerge w:val="continue"/>
                  <w:tcBorders>
                    <w:top w:val="nil"/>
                    <w:left w:val="nil"/>
                    <w:bottom w:val="single" w:color="000000" w:sz="8" w:space="0"/>
                    <w:right w:val="single" w:color="000000" w:sz="8" w:space="0"/>
                  </w:tcBorders>
                  <w:shd w:val="clear" w:color="auto" w:fill="auto"/>
                  <w:noWrap/>
                  <w:vAlign w:val="center"/>
                </w:tcPr>
                <w:p w14:paraId="720C695C">
                  <w:pPr>
                    <w:widowControl/>
                    <w:spacing w:line="300" w:lineRule="exact"/>
                    <w:jc w:val="center"/>
                    <w:rPr>
                      <w:rFonts w:hint="default" w:ascii="Times New Roman" w:hAnsi="Times New Roman" w:cs="Times New Roman"/>
                      <w:color w:val="auto"/>
                      <w:szCs w:val="21"/>
                    </w:rPr>
                  </w:pPr>
                </w:p>
              </w:tc>
              <w:tc>
                <w:tcPr>
                  <w:tcW w:w="613" w:type="pct"/>
                  <w:tcBorders>
                    <w:top w:val="nil"/>
                    <w:left w:val="nil"/>
                    <w:bottom w:val="single" w:color="000000" w:sz="8" w:space="0"/>
                    <w:right w:val="single" w:color="000000" w:sz="8" w:space="0"/>
                  </w:tcBorders>
                  <w:shd w:val="clear" w:color="auto" w:fill="auto"/>
                  <w:noWrap/>
                  <w:vAlign w:val="center"/>
                </w:tcPr>
                <w:p w14:paraId="6D853EB9">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30</w:t>
                  </w:r>
                </w:p>
              </w:tc>
              <w:tc>
                <w:tcPr>
                  <w:tcW w:w="491" w:type="pct"/>
                  <w:tcBorders>
                    <w:top w:val="nil"/>
                    <w:left w:val="nil"/>
                    <w:bottom w:val="single" w:color="000000" w:sz="8" w:space="0"/>
                    <w:right w:val="single" w:color="000000" w:sz="8" w:space="0"/>
                  </w:tcBorders>
                  <w:shd w:val="clear" w:color="auto" w:fill="auto"/>
                  <w:noWrap/>
                  <w:vAlign w:val="center"/>
                </w:tcPr>
                <w:p w14:paraId="1C46663C">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0.050</w:t>
                  </w:r>
                </w:p>
              </w:tc>
              <w:tc>
                <w:tcPr>
                  <w:tcW w:w="617" w:type="pct"/>
                  <w:vMerge w:val="continue"/>
                  <w:tcBorders>
                    <w:top w:val="nil"/>
                    <w:left w:val="nil"/>
                    <w:bottom w:val="single" w:color="000000" w:sz="8" w:space="0"/>
                    <w:right w:val="single" w:color="000000" w:sz="8" w:space="0"/>
                  </w:tcBorders>
                  <w:shd w:val="clear" w:color="auto" w:fill="auto"/>
                  <w:vAlign w:val="center"/>
                </w:tcPr>
                <w:p w14:paraId="725B66D1">
                  <w:pPr>
                    <w:widowControl/>
                    <w:spacing w:line="300" w:lineRule="exact"/>
                    <w:jc w:val="center"/>
                    <w:rPr>
                      <w:rFonts w:hint="default" w:ascii="Times New Roman" w:hAnsi="Times New Roman" w:cs="Times New Roman"/>
                      <w:color w:val="auto"/>
                      <w:szCs w:val="21"/>
                    </w:rPr>
                  </w:pPr>
                </w:p>
              </w:tc>
            </w:tr>
            <w:tr w14:paraId="7985CAE5">
              <w:tblPrEx>
                <w:tblCellMar>
                  <w:top w:w="0" w:type="dxa"/>
                  <w:left w:w="108" w:type="dxa"/>
                  <w:bottom w:w="0" w:type="dxa"/>
                  <w:right w:w="108" w:type="dxa"/>
                </w:tblCellMar>
              </w:tblPrEx>
              <w:trPr>
                <w:trHeight w:val="300" w:hRule="atLeast"/>
                <w:jc w:val="center"/>
              </w:trPr>
              <w:tc>
                <w:tcPr>
                  <w:tcW w:w="254" w:type="pct"/>
                  <w:vMerge w:val="continue"/>
                  <w:tcBorders>
                    <w:top w:val="nil"/>
                    <w:left w:val="single" w:color="000000" w:sz="8" w:space="0"/>
                    <w:bottom w:val="single" w:color="000000" w:sz="8" w:space="0"/>
                    <w:right w:val="single" w:color="000000" w:sz="8" w:space="0"/>
                  </w:tcBorders>
                  <w:shd w:val="clear" w:color="auto" w:fill="auto"/>
                  <w:vAlign w:val="center"/>
                </w:tcPr>
                <w:p w14:paraId="7B7A2BA4">
                  <w:pPr>
                    <w:widowControl/>
                    <w:spacing w:line="300" w:lineRule="exact"/>
                    <w:jc w:val="center"/>
                    <w:rPr>
                      <w:rFonts w:hint="default" w:ascii="Times New Roman" w:hAnsi="Times New Roman" w:cs="Times New Roman"/>
                      <w:color w:val="auto"/>
                      <w:szCs w:val="21"/>
                    </w:rPr>
                  </w:pPr>
                </w:p>
              </w:tc>
              <w:tc>
                <w:tcPr>
                  <w:tcW w:w="424" w:type="pct"/>
                  <w:tcBorders>
                    <w:top w:val="nil"/>
                    <w:left w:val="nil"/>
                    <w:bottom w:val="single" w:color="000000" w:sz="8" w:space="0"/>
                    <w:right w:val="single" w:color="000000" w:sz="8" w:space="0"/>
                  </w:tcBorders>
                  <w:shd w:val="clear" w:color="auto" w:fill="auto"/>
                  <w:vAlign w:val="center"/>
                </w:tcPr>
                <w:p w14:paraId="1546FCC8">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总磷</w:t>
                  </w:r>
                </w:p>
              </w:tc>
              <w:tc>
                <w:tcPr>
                  <w:tcW w:w="493" w:type="pct"/>
                  <w:vMerge w:val="continue"/>
                  <w:tcBorders>
                    <w:top w:val="nil"/>
                    <w:left w:val="nil"/>
                    <w:bottom w:val="single" w:color="000000" w:sz="8" w:space="0"/>
                    <w:right w:val="single" w:color="000000" w:sz="8" w:space="0"/>
                  </w:tcBorders>
                  <w:shd w:val="clear" w:color="auto" w:fill="auto"/>
                  <w:vAlign w:val="center"/>
                </w:tcPr>
                <w:p w14:paraId="7480D316">
                  <w:pPr>
                    <w:widowControl/>
                    <w:spacing w:line="300" w:lineRule="exact"/>
                    <w:jc w:val="center"/>
                    <w:rPr>
                      <w:rFonts w:hint="default" w:ascii="Times New Roman" w:hAnsi="Times New Roman" w:cs="Times New Roman"/>
                      <w:color w:val="auto"/>
                      <w:szCs w:val="21"/>
                    </w:rPr>
                  </w:pPr>
                </w:p>
              </w:tc>
              <w:tc>
                <w:tcPr>
                  <w:tcW w:w="535" w:type="pct"/>
                  <w:vMerge w:val="continue"/>
                  <w:tcBorders>
                    <w:top w:val="nil"/>
                    <w:left w:val="nil"/>
                    <w:bottom w:val="single" w:color="000000" w:sz="8" w:space="0"/>
                    <w:right w:val="single" w:color="000000" w:sz="8" w:space="0"/>
                  </w:tcBorders>
                  <w:shd w:val="clear" w:color="auto" w:fill="auto"/>
                  <w:vAlign w:val="center"/>
                </w:tcPr>
                <w:p w14:paraId="292724B3">
                  <w:pPr>
                    <w:widowControl/>
                    <w:spacing w:line="300" w:lineRule="exact"/>
                    <w:jc w:val="center"/>
                    <w:rPr>
                      <w:rFonts w:hint="default" w:ascii="Times New Roman" w:hAnsi="Times New Roman" w:cs="Times New Roman"/>
                      <w:color w:val="auto"/>
                      <w:szCs w:val="21"/>
                    </w:rPr>
                  </w:pPr>
                </w:p>
              </w:tc>
              <w:tc>
                <w:tcPr>
                  <w:tcW w:w="584" w:type="pct"/>
                  <w:tcBorders>
                    <w:top w:val="nil"/>
                    <w:left w:val="nil"/>
                    <w:bottom w:val="single" w:color="000000" w:sz="8" w:space="0"/>
                    <w:right w:val="single" w:color="000000" w:sz="8" w:space="0"/>
                  </w:tcBorders>
                  <w:shd w:val="clear" w:color="auto" w:fill="auto"/>
                  <w:noWrap/>
                  <w:vAlign w:val="center"/>
                </w:tcPr>
                <w:p w14:paraId="6078602A">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w:t>
                  </w:r>
                </w:p>
              </w:tc>
              <w:tc>
                <w:tcPr>
                  <w:tcW w:w="548" w:type="pct"/>
                  <w:tcBorders>
                    <w:top w:val="nil"/>
                    <w:left w:val="nil"/>
                    <w:bottom w:val="single" w:color="000000" w:sz="8" w:space="0"/>
                    <w:right w:val="single" w:color="000000" w:sz="8" w:space="0"/>
                  </w:tcBorders>
                  <w:shd w:val="clear" w:color="auto" w:fill="auto"/>
                  <w:noWrap/>
                  <w:vAlign w:val="center"/>
                </w:tcPr>
                <w:p w14:paraId="45954184">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0.005</w:t>
                  </w:r>
                </w:p>
              </w:tc>
              <w:tc>
                <w:tcPr>
                  <w:tcW w:w="435" w:type="pct"/>
                  <w:vMerge w:val="continue"/>
                  <w:tcBorders>
                    <w:top w:val="nil"/>
                    <w:left w:val="nil"/>
                    <w:bottom w:val="single" w:color="000000" w:sz="8" w:space="0"/>
                    <w:right w:val="single" w:color="000000" w:sz="8" w:space="0"/>
                  </w:tcBorders>
                  <w:shd w:val="clear" w:color="auto" w:fill="auto"/>
                  <w:noWrap/>
                  <w:vAlign w:val="center"/>
                </w:tcPr>
                <w:p w14:paraId="7E2FD568">
                  <w:pPr>
                    <w:widowControl/>
                    <w:spacing w:line="300" w:lineRule="exact"/>
                    <w:jc w:val="center"/>
                    <w:rPr>
                      <w:rFonts w:hint="default" w:ascii="Times New Roman" w:hAnsi="Times New Roman" w:cs="Times New Roman"/>
                      <w:color w:val="auto"/>
                      <w:szCs w:val="21"/>
                    </w:rPr>
                  </w:pPr>
                </w:p>
              </w:tc>
              <w:tc>
                <w:tcPr>
                  <w:tcW w:w="613" w:type="pct"/>
                  <w:tcBorders>
                    <w:top w:val="nil"/>
                    <w:left w:val="nil"/>
                    <w:bottom w:val="single" w:color="000000" w:sz="8" w:space="0"/>
                    <w:right w:val="single" w:color="000000" w:sz="8" w:space="0"/>
                  </w:tcBorders>
                  <w:shd w:val="clear" w:color="auto" w:fill="auto"/>
                  <w:noWrap/>
                  <w:vAlign w:val="center"/>
                </w:tcPr>
                <w:p w14:paraId="07466A3E">
                  <w:pPr>
                    <w:widowControl/>
                    <w:spacing w:line="30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w:t>
                  </w:r>
                </w:p>
              </w:tc>
              <w:tc>
                <w:tcPr>
                  <w:tcW w:w="491" w:type="pct"/>
                  <w:tcBorders>
                    <w:top w:val="nil"/>
                    <w:left w:val="nil"/>
                    <w:bottom w:val="single" w:color="000000" w:sz="8" w:space="0"/>
                    <w:right w:val="single" w:color="000000" w:sz="8" w:space="0"/>
                  </w:tcBorders>
                  <w:shd w:val="clear" w:color="auto" w:fill="auto"/>
                  <w:noWrap/>
                  <w:vAlign w:val="center"/>
                </w:tcPr>
                <w:p w14:paraId="3F08C12B">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0.005</w:t>
                  </w:r>
                </w:p>
              </w:tc>
              <w:tc>
                <w:tcPr>
                  <w:tcW w:w="617" w:type="pct"/>
                  <w:vMerge w:val="continue"/>
                  <w:tcBorders>
                    <w:top w:val="nil"/>
                    <w:left w:val="nil"/>
                    <w:bottom w:val="single" w:color="000000" w:sz="8" w:space="0"/>
                    <w:right w:val="single" w:color="000000" w:sz="8" w:space="0"/>
                  </w:tcBorders>
                  <w:shd w:val="clear" w:color="auto" w:fill="auto"/>
                  <w:vAlign w:val="center"/>
                </w:tcPr>
                <w:p w14:paraId="68F7AC23">
                  <w:pPr>
                    <w:widowControl/>
                    <w:spacing w:line="300" w:lineRule="exact"/>
                    <w:jc w:val="center"/>
                    <w:rPr>
                      <w:rFonts w:hint="default" w:ascii="Times New Roman" w:hAnsi="Times New Roman" w:cs="Times New Roman"/>
                      <w:color w:val="auto"/>
                      <w:szCs w:val="21"/>
                    </w:rPr>
                  </w:pPr>
                </w:p>
              </w:tc>
            </w:tr>
          </w:tbl>
          <w:p w14:paraId="356694DC">
            <w:pPr>
              <w:rPr>
                <w:rFonts w:hint="default" w:ascii="Times New Roman" w:hAnsi="Times New Roman" w:cs="Times New Roman"/>
                <w:color w:val="auto"/>
              </w:rPr>
            </w:pPr>
          </w:p>
        </w:tc>
      </w:tr>
    </w:tbl>
    <w:p w14:paraId="5AE917FA">
      <w:pPr>
        <w:rPr>
          <w:rFonts w:hint="default" w:ascii="Times New Roman" w:hAnsi="Times New Roman" w:cs="Times New Roman"/>
          <w:color w:val="auto"/>
        </w:rPr>
        <w:sectPr>
          <w:pgSz w:w="11905" w:h="16838"/>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p w14:paraId="0C431334">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lang w:val="en-US" w:eastAsia="zh-CN"/>
        </w:rPr>
      </w:pPr>
      <w:r>
        <w:rPr>
          <w:rFonts w:hint="default" w:ascii="Times New Roman" w:hAnsi="Times New Roman" w:eastAsia="黑体" w:cs="Times New Roman"/>
          <w:b w:val="0"/>
          <w:bCs/>
          <w:color w:val="auto"/>
          <w:lang w:val="en-US" w:eastAsia="zh-CN"/>
        </w:rPr>
        <w:t xml:space="preserve">表4.2-14 </w:t>
      </w:r>
      <w:r>
        <w:rPr>
          <w:rFonts w:hint="eastAsia" w:eastAsia="黑体" w:cs="Times New Roman"/>
          <w:b w:val="0"/>
          <w:bCs/>
          <w:color w:val="auto"/>
          <w:lang w:val="en-US" w:eastAsia="zh-CN"/>
        </w:rPr>
        <w:t xml:space="preserve"> </w:t>
      </w:r>
      <w:r>
        <w:rPr>
          <w:rFonts w:hint="default" w:ascii="Times New Roman" w:hAnsi="Times New Roman" w:eastAsia="黑体" w:cs="Times New Roman"/>
          <w:b w:val="0"/>
          <w:bCs/>
          <w:color w:val="auto"/>
          <w:lang w:val="en-US" w:eastAsia="zh-CN"/>
        </w:rPr>
        <w:t>本项目废水产生源强</w:t>
      </w:r>
    </w:p>
    <w:tbl>
      <w:tblPr>
        <w:tblStyle w:val="34"/>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544"/>
        <w:gridCol w:w="855"/>
        <w:gridCol w:w="1035"/>
        <w:gridCol w:w="1050"/>
        <w:gridCol w:w="1065"/>
        <w:gridCol w:w="915"/>
        <w:gridCol w:w="960"/>
        <w:gridCol w:w="810"/>
        <w:gridCol w:w="840"/>
        <w:gridCol w:w="1005"/>
        <w:gridCol w:w="960"/>
        <w:gridCol w:w="1125"/>
        <w:gridCol w:w="2049"/>
      </w:tblGrid>
      <w:tr w14:paraId="2FB2FA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trPr>
        <w:tc>
          <w:tcPr>
            <w:tcW w:w="54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B21F04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污染源</w:t>
            </w:r>
          </w:p>
        </w:tc>
        <w:tc>
          <w:tcPr>
            <w:tcW w:w="66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63FBD4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废水量</w:t>
            </w:r>
          </w:p>
        </w:tc>
        <w:tc>
          <w:tcPr>
            <w:tcW w:w="3791" w:type="pct"/>
            <w:gridSpan w:val="10"/>
            <w:tcBorders>
              <w:top w:val="single" w:color="000000" w:sz="4" w:space="0"/>
              <w:left w:val="single" w:color="000000" w:sz="4" w:space="0"/>
              <w:bottom w:val="single" w:color="000000" w:sz="4" w:space="0"/>
              <w:right w:val="single" w:color="auto" w:sz="4" w:space="0"/>
            </w:tcBorders>
            <w:shd w:val="clear" w:color="auto" w:fill="auto"/>
            <w:vAlign w:val="center"/>
          </w:tcPr>
          <w:p w14:paraId="26EB4E8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污染物</w:t>
            </w:r>
          </w:p>
        </w:tc>
      </w:tr>
      <w:tr w14:paraId="5BB704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trPr>
        <w:tc>
          <w:tcPr>
            <w:tcW w:w="54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4A720D">
            <w:pPr>
              <w:jc w:val="center"/>
              <w:rPr>
                <w:rFonts w:hint="default" w:ascii="Times New Roman" w:hAnsi="Times New Roman" w:eastAsia="宋体" w:cs="Times New Roman"/>
                <w:i w:val="0"/>
                <w:iCs w:val="0"/>
                <w:color w:val="auto"/>
                <w:sz w:val="21"/>
                <w:szCs w:val="21"/>
                <w:u w:val="none"/>
              </w:rPr>
            </w:pPr>
          </w:p>
        </w:tc>
        <w:tc>
          <w:tcPr>
            <w:tcW w:w="30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EB5D4D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/d</w:t>
            </w:r>
          </w:p>
        </w:tc>
        <w:tc>
          <w:tcPr>
            <w:tcW w:w="36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9A2C0A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/a</w:t>
            </w:r>
          </w:p>
        </w:tc>
        <w:tc>
          <w:tcPr>
            <w:tcW w:w="369" w:type="pct"/>
            <w:tcBorders>
              <w:top w:val="single" w:color="000000" w:sz="4" w:space="0"/>
              <w:left w:val="single" w:color="000000" w:sz="4" w:space="0"/>
              <w:bottom w:val="single" w:color="000000" w:sz="4" w:space="0"/>
              <w:right w:val="single" w:color="auto" w:sz="4" w:space="0"/>
            </w:tcBorders>
            <w:shd w:val="clear" w:color="auto" w:fill="auto"/>
            <w:vAlign w:val="center"/>
          </w:tcPr>
          <w:p w14:paraId="4F29E1E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pH</w:t>
            </w:r>
          </w:p>
        </w:tc>
        <w:tc>
          <w:tcPr>
            <w:tcW w:w="374" w:type="pct"/>
            <w:tcBorders>
              <w:top w:val="single" w:color="000000" w:sz="4" w:space="0"/>
              <w:left w:val="single" w:color="auto" w:sz="4" w:space="0"/>
              <w:bottom w:val="single" w:color="000000" w:sz="4" w:space="0"/>
              <w:right w:val="single" w:color="auto" w:sz="4" w:space="0"/>
            </w:tcBorders>
            <w:shd w:val="clear" w:color="auto" w:fill="auto"/>
            <w:vAlign w:val="center"/>
          </w:tcPr>
          <w:p w14:paraId="7493291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COD</w:t>
            </w:r>
            <w:r>
              <w:rPr>
                <w:rFonts w:hint="default" w:ascii="Times New Roman" w:hAnsi="Times New Roman" w:eastAsia="宋体" w:cs="Times New Roman"/>
                <w:i w:val="0"/>
                <w:iCs w:val="0"/>
                <w:color w:val="auto"/>
                <w:kern w:val="0"/>
                <w:sz w:val="21"/>
                <w:szCs w:val="21"/>
                <w:u w:val="none"/>
                <w:vertAlign w:val="subscript"/>
                <w:lang w:val="en-US" w:eastAsia="zh-CN" w:bidi="ar"/>
              </w:rPr>
              <w:t>Cr</w:t>
            </w:r>
          </w:p>
        </w:tc>
        <w:tc>
          <w:tcPr>
            <w:tcW w:w="321" w:type="pct"/>
            <w:tcBorders>
              <w:top w:val="single" w:color="000000" w:sz="4" w:space="0"/>
              <w:left w:val="single" w:color="auto" w:sz="4" w:space="0"/>
              <w:bottom w:val="single" w:color="000000" w:sz="4" w:space="0"/>
              <w:right w:val="single" w:color="auto" w:sz="4" w:space="0"/>
            </w:tcBorders>
            <w:shd w:val="clear" w:color="auto" w:fill="auto"/>
            <w:vAlign w:val="center"/>
          </w:tcPr>
          <w:p w14:paraId="3234A53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氨氮</w:t>
            </w:r>
          </w:p>
        </w:tc>
        <w:tc>
          <w:tcPr>
            <w:tcW w:w="337" w:type="pct"/>
            <w:tcBorders>
              <w:top w:val="single" w:color="000000" w:sz="4" w:space="0"/>
              <w:left w:val="single" w:color="auto" w:sz="4" w:space="0"/>
              <w:bottom w:val="single" w:color="000000" w:sz="4" w:space="0"/>
              <w:right w:val="single" w:color="auto" w:sz="4" w:space="0"/>
            </w:tcBorders>
            <w:shd w:val="clear" w:color="auto" w:fill="auto"/>
            <w:vAlign w:val="center"/>
          </w:tcPr>
          <w:p w14:paraId="5AA408D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SS</w:t>
            </w:r>
          </w:p>
        </w:tc>
        <w:tc>
          <w:tcPr>
            <w:tcW w:w="284" w:type="pct"/>
            <w:tcBorders>
              <w:top w:val="single" w:color="000000" w:sz="4" w:space="0"/>
              <w:left w:val="single" w:color="auto" w:sz="4" w:space="0"/>
              <w:bottom w:val="single" w:color="000000" w:sz="4" w:space="0"/>
              <w:right w:val="single" w:color="auto" w:sz="4" w:space="0"/>
            </w:tcBorders>
            <w:shd w:val="clear" w:color="auto" w:fill="auto"/>
            <w:vAlign w:val="center"/>
          </w:tcPr>
          <w:p w14:paraId="082610F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铁</w:t>
            </w:r>
          </w:p>
        </w:tc>
        <w:tc>
          <w:tcPr>
            <w:tcW w:w="295" w:type="pct"/>
            <w:tcBorders>
              <w:top w:val="single" w:color="000000" w:sz="4" w:space="0"/>
              <w:left w:val="single" w:color="auto" w:sz="4" w:space="0"/>
              <w:bottom w:val="single" w:color="000000" w:sz="4" w:space="0"/>
              <w:right w:val="single" w:color="auto" w:sz="4" w:space="0"/>
            </w:tcBorders>
            <w:shd w:val="clear" w:color="auto" w:fill="auto"/>
            <w:vAlign w:val="center"/>
          </w:tcPr>
          <w:p w14:paraId="5C5CB68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总磷</w:t>
            </w:r>
          </w:p>
        </w:tc>
        <w:tc>
          <w:tcPr>
            <w:tcW w:w="353" w:type="pct"/>
            <w:tcBorders>
              <w:top w:val="single" w:color="000000" w:sz="4" w:space="0"/>
              <w:left w:val="single" w:color="auto" w:sz="4" w:space="0"/>
              <w:bottom w:val="single" w:color="000000" w:sz="4" w:space="0"/>
              <w:right w:val="single" w:color="auto" w:sz="4" w:space="0"/>
            </w:tcBorders>
            <w:shd w:val="clear" w:color="auto" w:fill="auto"/>
            <w:noWrap/>
            <w:vAlign w:val="center"/>
          </w:tcPr>
          <w:p w14:paraId="46CA62D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总锌</w:t>
            </w:r>
          </w:p>
        </w:tc>
        <w:tc>
          <w:tcPr>
            <w:tcW w:w="337" w:type="pct"/>
            <w:tcBorders>
              <w:top w:val="single" w:color="000000" w:sz="4" w:space="0"/>
              <w:left w:val="single" w:color="auto" w:sz="4" w:space="0"/>
              <w:bottom w:val="single" w:color="000000" w:sz="4" w:space="0"/>
              <w:right w:val="single" w:color="auto" w:sz="4" w:space="0"/>
            </w:tcBorders>
            <w:shd w:val="clear" w:color="auto" w:fill="auto"/>
            <w:vAlign w:val="center"/>
          </w:tcPr>
          <w:p w14:paraId="595E582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总氮</w:t>
            </w:r>
          </w:p>
        </w:tc>
        <w:tc>
          <w:tcPr>
            <w:tcW w:w="395" w:type="pct"/>
            <w:tcBorders>
              <w:top w:val="single" w:color="000000" w:sz="4" w:space="0"/>
              <w:left w:val="single" w:color="auto" w:sz="4" w:space="0"/>
              <w:bottom w:val="single" w:color="000000" w:sz="4" w:space="0"/>
              <w:right w:val="single" w:color="auto" w:sz="4" w:space="0"/>
            </w:tcBorders>
            <w:shd w:val="clear" w:color="auto" w:fill="auto"/>
            <w:vAlign w:val="center"/>
          </w:tcPr>
          <w:p w14:paraId="20F519F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氯离子</w:t>
            </w:r>
          </w:p>
        </w:tc>
        <w:tc>
          <w:tcPr>
            <w:tcW w:w="720" w:type="pct"/>
            <w:tcBorders>
              <w:top w:val="single" w:color="000000" w:sz="4" w:space="0"/>
              <w:left w:val="single" w:color="auto" w:sz="4" w:space="0"/>
              <w:bottom w:val="single" w:color="000000" w:sz="4" w:space="0"/>
              <w:right w:val="single" w:color="auto" w:sz="4" w:space="0"/>
            </w:tcBorders>
            <w:shd w:val="clear" w:color="auto" w:fill="auto"/>
            <w:vAlign w:val="center"/>
          </w:tcPr>
          <w:p w14:paraId="32AD139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阴离子表面活性剂</w:t>
            </w:r>
          </w:p>
        </w:tc>
      </w:tr>
      <w:tr w14:paraId="02A8F3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trPr>
        <w:tc>
          <w:tcPr>
            <w:tcW w:w="54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D9E103">
            <w:pPr>
              <w:jc w:val="center"/>
              <w:rPr>
                <w:rFonts w:hint="default" w:ascii="Times New Roman" w:hAnsi="Times New Roman" w:eastAsia="宋体" w:cs="Times New Roman"/>
                <w:i w:val="0"/>
                <w:iCs w:val="0"/>
                <w:color w:val="auto"/>
                <w:sz w:val="21"/>
                <w:szCs w:val="21"/>
                <w:u w:val="none"/>
              </w:rPr>
            </w:pPr>
          </w:p>
        </w:tc>
        <w:tc>
          <w:tcPr>
            <w:tcW w:w="30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4AB621">
            <w:pPr>
              <w:jc w:val="center"/>
              <w:rPr>
                <w:rFonts w:hint="default" w:ascii="Times New Roman" w:hAnsi="Times New Roman" w:eastAsia="宋体" w:cs="Times New Roman"/>
                <w:i w:val="0"/>
                <w:iCs w:val="0"/>
                <w:color w:val="auto"/>
                <w:sz w:val="21"/>
                <w:szCs w:val="21"/>
                <w:u w:val="none"/>
              </w:rPr>
            </w:pPr>
          </w:p>
        </w:tc>
        <w:tc>
          <w:tcPr>
            <w:tcW w:w="3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D8C842">
            <w:pPr>
              <w:jc w:val="center"/>
              <w:rPr>
                <w:rFonts w:hint="default" w:ascii="Times New Roman" w:hAnsi="Times New Roman" w:eastAsia="宋体" w:cs="Times New Roman"/>
                <w:i w:val="0"/>
                <w:iCs w:val="0"/>
                <w:color w:val="auto"/>
                <w:sz w:val="21"/>
                <w:szCs w:val="21"/>
                <w:u w:val="none"/>
              </w:rPr>
            </w:pP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864A5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无量纲</w:t>
            </w:r>
          </w:p>
        </w:tc>
        <w:tc>
          <w:tcPr>
            <w:tcW w:w="3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FF5FC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mg/L</w:t>
            </w:r>
          </w:p>
        </w:tc>
        <w:tc>
          <w:tcPr>
            <w:tcW w:w="3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30577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mg/L</w:t>
            </w: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9F75E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mg/L</w:t>
            </w:r>
          </w:p>
        </w:tc>
        <w:tc>
          <w:tcPr>
            <w:tcW w:w="2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33CCC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mg/L</w:t>
            </w:r>
          </w:p>
        </w:tc>
        <w:tc>
          <w:tcPr>
            <w:tcW w:w="2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3C63C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mg/L</w:t>
            </w:r>
          </w:p>
        </w:tc>
        <w:tc>
          <w:tcPr>
            <w:tcW w:w="3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94E55A">
            <w:pPr>
              <w:jc w:val="center"/>
              <w:rPr>
                <w:rFonts w:hint="default" w:ascii="Times New Roman" w:hAnsi="Times New Roman" w:eastAsia="宋体" w:cs="Times New Roman"/>
                <w:i w:val="0"/>
                <w:iCs w:val="0"/>
                <w:color w:val="auto"/>
                <w:sz w:val="21"/>
                <w:szCs w:val="21"/>
                <w:u w:val="none"/>
              </w:rPr>
            </w:pP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BC234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mg/L</w:t>
            </w: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B6C89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mg/L</w:t>
            </w:r>
          </w:p>
        </w:tc>
        <w:tc>
          <w:tcPr>
            <w:tcW w:w="7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6D09C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mg/L</w:t>
            </w:r>
          </w:p>
        </w:tc>
      </w:tr>
      <w:tr w14:paraId="28D1AD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trPr>
        <w:tc>
          <w:tcPr>
            <w:tcW w:w="5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72D1C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水密封清洗槽排水</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912F4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4.73</w:t>
            </w:r>
          </w:p>
        </w:tc>
        <w:tc>
          <w:tcPr>
            <w:tcW w:w="3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90776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1417.5</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C4652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9D53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7571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D0A5D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2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25515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2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A9568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7B63B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964D9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8F6CE">
            <w:pPr>
              <w:jc w:val="center"/>
              <w:rPr>
                <w:rFonts w:hint="default" w:ascii="Times New Roman" w:hAnsi="Times New Roman" w:eastAsia="宋体" w:cs="Times New Roman"/>
                <w:i w:val="0"/>
                <w:iCs w:val="0"/>
                <w:color w:val="auto"/>
                <w:sz w:val="21"/>
                <w:szCs w:val="21"/>
                <w:u w:val="none"/>
              </w:rPr>
            </w:pPr>
          </w:p>
        </w:tc>
        <w:tc>
          <w:tcPr>
            <w:tcW w:w="7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D45D5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r>
      <w:tr w14:paraId="34BAA0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trPr>
        <w:tc>
          <w:tcPr>
            <w:tcW w:w="5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196FD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冲洗、漂洗槽排水</w:t>
            </w:r>
          </w:p>
        </w:tc>
        <w:tc>
          <w:tcPr>
            <w:tcW w:w="3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02582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157.25</w:t>
            </w:r>
          </w:p>
        </w:tc>
        <w:tc>
          <w:tcPr>
            <w:tcW w:w="3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031AD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47175</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0D7EB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0C060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DC3D4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833F0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2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D885A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2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C3D67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74EB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A4551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2BFE3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7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C26C8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r>
      <w:tr w14:paraId="2E72AF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trPr>
        <w:tc>
          <w:tcPr>
            <w:tcW w:w="5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69D2D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中和槽废液</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5043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0.94</w:t>
            </w:r>
          </w:p>
        </w:tc>
        <w:tc>
          <w:tcPr>
            <w:tcW w:w="3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0688F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281.25</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A1672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6721C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3E8C9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E6D05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2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C2760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2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7EAEB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8828B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17E5A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1E8AC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7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89D1F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r>
      <w:tr w14:paraId="77B117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trPr>
        <w:tc>
          <w:tcPr>
            <w:tcW w:w="5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D668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碱液喷淋吸收塔排水</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6F3D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0.08</w:t>
            </w:r>
          </w:p>
        </w:tc>
        <w:tc>
          <w:tcPr>
            <w:tcW w:w="3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0323A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22.5</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37B47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F0BD2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29903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9A7CB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2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6DB01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2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87669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7BF89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DC79F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CE010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7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8B885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r>
      <w:tr w14:paraId="2EF3DAA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trPr>
        <w:tc>
          <w:tcPr>
            <w:tcW w:w="5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FEAFD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软水制备废水</w:t>
            </w:r>
          </w:p>
        </w:tc>
        <w:tc>
          <w:tcPr>
            <w:tcW w:w="3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D82E2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3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72F91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3600</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016DD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8AB76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EB082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C3B46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2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AD824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2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ECCEA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0B97A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C619B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B17D0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7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BB9A6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r>
      <w:tr w14:paraId="336402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trPr>
        <w:tc>
          <w:tcPr>
            <w:tcW w:w="5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165DC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净循环水</w:t>
            </w:r>
          </w:p>
        </w:tc>
        <w:tc>
          <w:tcPr>
            <w:tcW w:w="3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E94AB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3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644EF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CC650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EE479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13244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3CE4A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2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1A32A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2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25227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BC174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AFDA7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1D569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7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B06DB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r>
      <w:tr w14:paraId="0CEE95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trPr>
        <w:tc>
          <w:tcPr>
            <w:tcW w:w="5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7967F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产生合计</w:t>
            </w:r>
          </w:p>
        </w:tc>
        <w:tc>
          <w:tcPr>
            <w:tcW w:w="3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204ED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175</w:t>
            </w:r>
          </w:p>
        </w:tc>
        <w:tc>
          <w:tcPr>
            <w:tcW w:w="3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B06FA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52496.25</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BBCA8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604F2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F3565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1FC20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2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556FB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2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EFA81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D0ED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6595D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DCC3C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c>
          <w:tcPr>
            <w:tcW w:w="7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7A15A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p>
        </w:tc>
      </w:tr>
    </w:tbl>
    <w:p w14:paraId="69532362">
      <w:pPr>
        <w:bidi w:val="0"/>
        <w:rPr>
          <w:rFonts w:hint="default"/>
          <w:color w:val="auto"/>
        </w:rPr>
      </w:pPr>
    </w:p>
    <w:p w14:paraId="44AD9EC7">
      <w:pPr>
        <w:bidi w:val="0"/>
        <w:rPr>
          <w:rFonts w:hint="default"/>
          <w:color w:val="auto"/>
        </w:rPr>
        <w:sectPr>
          <w:pgSz w:w="16838" w:h="11905" w:orient="landscape"/>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p w14:paraId="223D2834">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lang w:val="en-US" w:eastAsia="zh-CN"/>
        </w:rPr>
      </w:pPr>
      <w:r>
        <w:rPr>
          <w:rFonts w:hint="default" w:ascii="Times New Roman" w:hAnsi="Times New Roman" w:eastAsia="黑体" w:cs="Times New Roman"/>
          <w:b w:val="0"/>
          <w:bCs/>
          <w:color w:val="auto"/>
          <w:lang w:val="en-US" w:eastAsia="zh-CN"/>
        </w:rPr>
        <w:t xml:space="preserve">表4.2-15 </w:t>
      </w:r>
      <w:r>
        <w:rPr>
          <w:rFonts w:hint="eastAsia" w:eastAsia="黑体" w:cs="Times New Roman"/>
          <w:b w:val="0"/>
          <w:bCs/>
          <w:color w:val="auto"/>
          <w:lang w:val="en-US" w:eastAsia="zh-CN"/>
        </w:rPr>
        <w:t xml:space="preserve"> </w:t>
      </w:r>
      <w:r>
        <w:rPr>
          <w:rFonts w:hint="default" w:ascii="Times New Roman" w:hAnsi="Times New Roman" w:eastAsia="黑体" w:cs="Times New Roman"/>
          <w:b w:val="0"/>
          <w:bCs/>
          <w:color w:val="auto"/>
          <w:lang w:val="en-US" w:eastAsia="zh-CN"/>
        </w:rPr>
        <w:t>本项目废水排放源强核算</w:t>
      </w:r>
    </w:p>
    <w:tbl>
      <w:tblPr>
        <w:tblStyle w:val="34"/>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637"/>
        <w:gridCol w:w="1138"/>
        <w:gridCol w:w="842"/>
        <w:gridCol w:w="1226"/>
        <w:gridCol w:w="1101"/>
        <w:gridCol w:w="1098"/>
        <w:gridCol w:w="1027"/>
        <w:gridCol w:w="1086"/>
        <w:gridCol w:w="1027"/>
        <w:gridCol w:w="1028"/>
        <w:gridCol w:w="1036"/>
        <w:gridCol w:w="971"/>
      </w:tblGrid>
      <w:tr w14:paraId="58755C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trPr>
        <w:tc>
          <w:tcPr>
            <w:tcW w:w="63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A1B306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污染源</w:t>
            </w:r>
          </w:p>
        </w:tc>
        <w:tc>
          <w:tcPr>
            <w:tcW w:w="4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7C44A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产生量</w:t>
            </w:r>
          </w:p>
        </w:tc>
        <w:tc>
          <w:tcPr>
            <w:tcW w:w="3940" w:type="pct"/>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5FEB5BE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污染物</w:t>
            </w:r>
            <w:r>
              <w:rPr>
                <w:rFonts w:hint="eastAsia" w:cs="Times New Roman"/>
                <w:b w:val="0"/>
                <w:bCs w:val="0"/>
                <w:i w:val="0"/>
                <w:iCs w:val="0"/>
                <w:color w:val="auto"/>
                <w:kern w:val="0"/>
                <w:sz w:val="21"/>
                <w:szCs w:val="21"/>
                <w:u w:val="none"/>
                <w:lang w:val="en-US" w:eastAsia="zh-CN" w:bidi="ar"/>
              </w:rPr>
              <w:t>（mg/L）</w:t>
            </w:r>
          </w:p>
        </w:tc>
      </w:tr>
      <w:tr w14:paraId="27502E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trPr>
        <w:tc>
          <w:tcPr>
            <w:tcW w:w="63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0674F3">
            <w:pPr>
              <w:jc w:val="center"/>
              <w:rPr>
                <w:rFonts w:hint="default" w:ascii="Times New Roman" w:hAnsi="Times New Roman" w:eastAsia="宋体" w:cs="Times New Roman"/>
                <w:b w:val="0"/>
                <w:bCs w:val="0"/>
                <w:i w:val="0"/>
                <w:iCs w:val="0"/>
                <w:color w:val="auto"/>
                <w:sz w:val="21"/>
                <w:szCs w:val="21"/>
                <w:u w:val="none"/>
              </w:rPr>
            </w:pPr>
          </w:p>
        </w:tc>
        <w:tc>
          <w:tcPr>
            <w:tcW w:w="4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F7E5D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m</w:t>
            </w:r>
            <w:r>
              <w:rPr>
                <w:rFonts w:hint="default" w:ascii="Times New Roman" w:hAnsi="Times New Roman" w:eastAsia="宋体" w:cs="Times New Roman"/>
                <w:b w:val="0"/>
                <w:bCs w:val="0"/>
                <w:i w:val="0"/>
                <w:iCs w:val="0"/>
                <w:color w:val="auto"/>
                <w:kern w:val="0"/>
                <w:sz w:val="21"/>
                <w:szCs w:val="21"/>
                <w:u w:val="none"/>
                <w:vertAlign w:val="superscript"/>
                <w:lang w:val="en-US" w:eastAsia="zh-CN" w:bidi="ar"/>
              </w:rPr>
              <w:t>3</w:t>
            </w:r>
            <w:r>
              <w:rPr>
                <w:rFonts w:hint="default" w:ascii="Times New Roman" w:hAnsi="Times New Roman" w:eastAsia="宋体" w:cs="Times New Roman"/>
                <w:b w:val="0"/>
                <w:bCs w:val="0"/>
                <w:i w:val="0"/>
                <w:iCs w:val="0"/>
                <w:color w:val="auto"/>
                <w:kern w:val="0"/>
                <w:sz w:val="21"/>
                <w:szCs w:val="21"/>
                <w:u w:val="none"/>
                <w:lang w:val="en-US" w:eastAsia="zh-CN" w:bidi="ar"/>
              </w:rPr>
              <w:t>/d</w:t>
            </w:r>
          </w:p>
        </w:tc>
        <w:tc>
          <w:tcPr>
            <w:tcW w:w="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331D2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pH</w:t>
            </w: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C64F5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COD</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EECDC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氨氮</w:t>
            </w:r>
          </w:p>
        </w:tc>
        <w:tc>
          <w:tcPr>
            <w:tcW w:w="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3A98B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SS</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93E5A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铁</w:t>
            </w: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B5406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总磷</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713ED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总锌</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33A2A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总氮</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7F3B9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氯离子</w:t>
            </w:r>
          </w:p>
        </w:tc>
        <w:tc>
          <w:tcPr>
            <w:tcW w:w="3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8EDF1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LAS</w:t>
            </w:r>
          </w:p>
        </w:tc>
      </w:tr>
      <w:tr w14:paraId="327FFA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trPr>
        <w:tc>
          <w:tcPr>
            <w:tcW w:w="6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68FDC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进水水质</w:t>
            </w:r>
          </w:p>
        </w:tc>
        <w:tc>
          <w:tcPr>
            <w:tcW w:w="4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C6493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CEA67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5C337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8536F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F197A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0F4B2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849A9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29D61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52CFC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A0CF6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8E89B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r>
      <w:tr w14:paraId="51CF64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trPr>
        <w:tc>
          <w:tcPr>
            <w:tcW w:w="6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065BD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产生量（t/a）</w:t>
            </w:r>
          </w:p>
        </w:tc>
        <w:tc>
          <w:tcPr>
            <w:tcW w:w="4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1FCBE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1365C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BD94D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7CD52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0C386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4257C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DAB67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698B7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3D28C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4353F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A921A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r>
      <w:tr w14:paraId="28380E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trPr>
        <w:tc>
          <w:tcPr>
            <w:tcW w:w="6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97C88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处理效率</w:t>
            </w:r>
          </w:p>
        </w:tc>
        <w:tc>
          <w:tcPr>
            <w:tcW w:w="4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85AF3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DC872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3F5C2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E0D88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B4515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535E4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23555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138CE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90854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BA4E8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B27D9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r>
      <w:tr w14:paraId="41890E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trPr>
        <w:tc>
          <w:tcPr>
            <w:tcW w:w="631" w:type="pct"/>
            <w:tcBorders>
              <w:top w:val="single" w:color="000000" w:sz="4" w:space="0"/>
              <w:left w:val="single" w:color="000000" w:sz="4" w:space="0"/>
              <w:bottom w:val="single" w:color="000000" w:sz="4" w:space="0"/>
              <w:right w:val="single" w:color="000000" w:sz="4" w:space="0"/>
            </w:tcBorders>
            <w:shd w:val="clear" w:color="auto" w:fill="BCE1C0" w:themeFill="background1" w:themeFillShade="F2"/>
            <w:vAlign w:val="center"/>
          </w:tcPr>
          <w:p w14:paraId="20AD528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shd w:val="clear" w:color="auto" w:fill="auto"/>
              </w:rPr>
            </w:pPr>
            <w:r>
              <w:rPr>
                <w:rFonts w:hint="default" w:ascii="Times New Roman" w:hAnsi="Times New Roman" w:eastAsia="宋体" w:cs="Times New Roman"/>
                <w:b w:val="0"/>
                <w:bCs w:val="0"/>
                <w:i w:val="0"/>
                <w:iCs w:val="0"/>
                <w:color w:val="auto"/>
                <w:kern w:val="0"/>
                <w:sz w:val="21"/>
                <w:szCs w:val="21"/>
                <w:u w:val="none"/>
                <w:shd w:val="clear" w:color="auto" w:fill="auto"/>
                <w:lang w:val="en-US" w:eastAsia="zh-CN" w:bidi="ar"/>
              </w:rPr>
              <w:t>出水水质</w:t>
            </w:r>
          </w:p>
        </w:tc>
        <w:tc>
          <w:tcPr>
            <w:tcW w:w="427" w:type="pct"/>
            <w:tcBorders>
              <w:top w:val="single" w:color="000000" w:sz="4" w:space="0"/>
              <w:left w:val="single" w:color="000000" w:sz="4" w:space="0"/>
              <w:bottom w:val="single" w:color="000000" w:sz="4" w:space="0"/>
              <w:right w:val="single" w:color="000000" w:sz="4" w:space="0"/>
            </w:tcBorders>
            <w:shd w:val="clear" w:color="auto" w:fill="BCE1C0" w:themeFill="background1" w:themeFillShade="F2"/>
            <w:vAlign w:val="center"/>
          </w:tcPr>
          <w:p w14:paraId="2DF4A61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shd w:val="clear" w:color="auto" w:fill="auto"/>
              </w:rPr>
            </w:pPr>
          </w:p>
        </w:tc>
        <w:tc>
          <w:tcPr>
            <w:tcW w:w="323" w:type="pct"/>
            <w:tcBorders>
              <w:top w:val="single" w:color="000000" w:sz="4" w:space="0"/>
              <w:left w:val="single" w:color="000000" w:sz="4" w:space="0"/>
              <w:bottom w:val="single" w:color="000000" w:sz="4" w:space="0"/>
              <w:right w:val="single" w:color="000000" w:sz="4" w:space="0"/>
            </w:tcBorders>
            <w:shd w:val="clear" w:color="auto" w:fill="BCE1C0" w:themeFill="background1" w:themeFillShade="F2"/>
            <w:vAlign w:val="center"/>
          </w:tcPr>
          <w:p w14:paraId="424DFDD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shd w:val="clear" w:color="auto" w:fill="auto"/>
              </w:rPr>
            </w:pPr>
          </w:p>
        </w:tc>
        <w:tc>
          <w:tcPr>
            <w:tcW w:w="458" w:type="pct"/>
            <w:tcBorders>
              <w:top w:val="single" w:color="000000" w:sz="4" w:space="0"/>
              <w:left w:val="single" w:color="000000" w:sz="4" w:space="0"/>
              <w:bottom w:val="single" w:color="000000" w:sz="4" w:space="0"/>
              <w:right w:val="single" w:color="000000" w:sz="4" w:space="0"/>
            </w:tcBorders>
            <w:shd w:val="clear" w:color="auto" w:fill="BCE1C0" w:themeFill="background1" w:themeFillShade="F2"/>
            <w:vAlign w:val="center"/>
          </w:tcPr>
          <w:p w14:paraId="11AE473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shd w:val="clear" w:color="auto" w:fill="auto"/>
              </w:rPr>
            </w:pPr>
          </w:p>
        </w:tc>
        <w:tc>
          <w:tcPr>
            <w:tcW w:w="414" w:type="pct"/>
            <w:tcBorders>
              <w:top w:val="single" w:color="000000" w:sz="4" w:space="0"/>
              <w:left w:val="single" w:color="000000" w:sz="4" w:space="0"/>
              <w:bottom w:val="single" w:color="000000" w:sz="4" w:space="0"/>
              <w:right w:val="single" w:color="000000" w:sz="4" w:space="0"/>
            </w:tcBorders>
            <w:shd w:val="clear" w:color="auto" w:fill="BCE1C0" w:themeFill="background1" w:themeFillShade="F2"/>
            <w:vAlign w:val="center"/>
          </w:tcPr>
          <w:p w14:paraId="5B3ECEC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shd w:val="clear" w:color="auto" w:fill="auto"/>
              </w:rPr>
            </w:pPr>
          </w:p>
        </w:tc>
        <w:tc>
          <w:tcPr>
            <w:tcW w:w="413" w:type="pct"/>
            <w:tcBorders>
              <w:top w:val="single" w:color="000000" w:sz="4" w:space="0"/>
              <w:left w:val="single" w:color="000000" w:sz="4" w:space="0"/>
              <w:bottom w:val="single" w:color="000000" w:sz="4" w:space="0"/>
              <w:right w:val="single" w:color="000000" w:sz="4" w:space="0"/>
            </w:tcBorders>
            <w:shd w:val="clear" w:color="auto" w:fill="BCE1C0" w:themeFill="background1" w:themeFillShade="F2"/>
            <w:vAlign w:val="center"/>
          </w:tcPr>
          <w:p w14:paraId="06FB9AA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shd w:val="clear" w:color="auto" w:fill="auto"/>
              </w:rPr>
            </w:pPr>
          </w:p>
        </w:tc>
        <w:tc>
          <w:tcPr>
            <w:tcW w:w="388" w:type="pct"/>
            <w:tcBorders>
              <w:top w:val="single" w:color="000000" w:sz="4" w:space="0"/>
              <w:left w:val="single" w:color="000000" w:sz="4" w:space="0"/>
              <w:bottom w:val="single" w:color="000000" w:sz="4" w:space="0"/>
              <w:right w:val="single" w:color="000000" w:sz="4" w:space="0"/>
            </w:tcBorders>
            <w:shd w:val="clear" w:color="auto" w:fill="BCE1C0" w:themeFill="background1" w:themeFillShade="F2"/>
            <w:vAlign w:val="center"/>
          </w:tcPr>
          <w:p w14:paraId="452D810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shd w:val="clear" w:color="auto" w:fill="auto"/>
              </w:rPr>
            </w:pPr>
          </w:p>
        </w:tc>
        <w:tc>
          <w:tcPr>
            <w:tcW w:w="409" w:type="pct"/>
            <w:tcBorders>
              <w:top w:val="single" w:color="000000" w:sz="4" w:space="0"/>
              <w:left w:val="single" w:color="000000" w:sz="4" w:space="0"/>
              <w:bottom w:val="single" w:color="000000" w:sz="4" w:space="0"/>
              <w:right w:val="single" w:color="000000" w:sz="4" w:space="0"/>
            </w:tcBorders>
            <w:shd w:val="clear" w:color="auto" w:fill="BCE1C0" w:themeFill="background1" w:themeFillShade="F2"/>
            <w:vAlign w:val="center"/>
          </w:tcPr>
          <w:p w14:paraId="4D79E03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shd w:val="clear" w:color="auto" w:fill="auto"/>
              </w:rPr>
            </w:pPr>
          </w:p>
        </w:tc>
        <w:tc>
          <w:tcPr>
            <w:tcW w:w="388" w:type="pct"/>
            <w:tcBorders>
              <w:top w:val="single" w:color="000000" w:sz="4" w:space="0"/>
              <w:left w:val="single" w:color="000000" w:sz="4" w:space="0"/>
              <w:bottom w:val="single" w:color="000000" w:sz="4" w:space="0"/>
              <w:right w:val="single" w:color="000000" w:sz="4" w:space="0"/>
            </w:tcBorders>
            <w:shd w:val="clear" w:color="auto" w:fill="BCE1C0" w:themeFill="background1" w:themeFillShade="F2"/>
            <w:vAlign w:val="center"/>
          </w:tcPr>
          <w:p w14:paraId="6BCA47A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shd w:val="clear" w:color="auto" w:fill="auto"/>
              </w:rPr>
            </w:pPr>
          </w:p>
        </w:tc>
        <w:tc>
          <w:tcPr>
            <w:tcW w:w="388" w:type="pct"/>
            <w:tcBorders>
              <w:top w:val="single" w:color="000000" w:sz="4" w:space="0"/>
              <w:left w:val="single" w:color="000000" w:sz="4" w:space="0"/>
              <w:bottom w:val="single" w:color="000000" w:sz="4" w:space="0"/>
              <w:right w:val="single" w:color="000000" w:sz="4" w:space="0"/>
            </w:tcBorders>
            <w:shd w:val="clear" w:color="auto" w:fill="BCE1C0" w:themeFill="background1" w:themeFillShade="F2"/>
            <w:vAlign w:val="center"/>
          </w:tcPr>
          <w:p w14:paraId="05AD642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shd w:val="clear" w:color="auto" w:fill="auto"/>
              </w:rPr>
            </w:pPr>
          </w:p>
        </w:tc>
        <w:tc>
          <w:tcPr>
            <w:tcW w:w="391" w:type="pct"/>
            <w:tcBorders>
              <w:top w:val="single" w:color="000000" w:sz="4" w:space="0"/>
              <w:left w:val="single" w:color="000000" w:sz="4" w:space="0"/>
              <w:bottom w:val="single" w:color="000000" w:sz="4" w:space="0"/>
              <w:right w:val="single" w:color="000000" w:sz="4" w:space="0"/>
            </w:tcBorders>
            <w:shd w:val="clear" w:color="auto" w:fill="BCE1C0" w:themeFill="background1" w:themeFillShade="F2"/>
            <w:vAlign w:val="center"/>
          </w:tcPr>
          <w:p w14:paraId="7BED993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shd w:val="clear" w:color="auto" w:fill="auto"/>
              </w:rPr>
            </w:pPr>
          </w:p>
        </w:tc>
        <w:tc>
          <w:tcPr>
            <w:tcW w:w="365" w:type="pct"/>
            <w:tcBorders>
              <w:top w:val="single" w:color="000000" w:sz="4" w:space="0"/>
              <w:left w:val="single" w:color="000000" w:sz="4" w:space="0"/>
              <w:bottom w:val="single" w:color="000000" w:sz="4" w:space="0"/>
              <w:right w:val="single" w:color="000000" w:sz="4" w:space="0"/>
            </w:tcBorders>
            <w:shd w:val="clear" w:color="auto" w:fill="BCE1C0" w:themeFill="background1" w:themeFillShade="F2"/>
            <w:vAlign w:val="center"/>
          </w:tcPr>
          <w:p w14:paraId="764DF33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shd w:val="clear" w:color="auto" w:fill="auto"/>
              </w:rPr>
            </w:pPr>
          </w:p>
        </w:tc>
      </w:tr>
      <w:tr w14:paraId="1D976E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trPr>
        <w:tc>
          <w:tcPr>
            <w:tcW w:w="6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42CAF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排放量（t/a）</w:t>
            </w:r>
          </w:p>
        </w:tc>
        <w:tc>
          <w:tcPr>
            <w:tcW w:w="4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2832B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2664F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8D84A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44B30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B98F6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F197F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A14AF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09405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234C5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1B5FC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c>
          <w:tcPr>
            <w:tcW w:w="3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E39A8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p>
        </w:tc>
      </w:tr>
      <w:tr w14:paraId="5900FF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trPr>
        <w:tc>
          <w:tcPr>
            <w:tcW w:w="6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5292D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GB8978-1996标准</w:t>
            </w:r>
          </w:p>
        </w:tc>
        <w:tc>
          <w:tcPr>
            <w:tcW w:w="4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DC764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w:t>
            </w:r>
          </w:p>
        </w:tc>
        <w:tc>
          <w:tcPr>
            <w:tcW w:w="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30023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6~9</w:t>
            </w: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8E36E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500</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F42B46">
            <w:pPr>
              <w:jc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sz w:val="21"/>
                <w:szCs w:val="21"/>
                <w:u w:val="none"/>
                <w:lang w:val="en-US" w:eastAsia="zh-CN"/>
              </w:rPr>
              <w:t>/</w:t>
            </w:r>
          </w:p>
        </w:tc>
        <w:tc>
          <w:tcPr>
            <w:tcW w:w="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8789C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400</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C69FA">
            <w:pPr>
              <w:jc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sz w:val="21"/>
                <w:szCs w:val="21"/>
                <w:u w:val="none"/>
                <w:lang w:val="en-US" w:eastAsia="zh-CN"/>
              </w:rPr>
              <w:t>/</w:t>
            </w: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F3C796">
            <w:pPr>
              <w:jc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sz w:val="21"/>
                <w:szCs w:val="21"/>
                <w:u w:val="none"/>
                <w:lang w:val="en-US" w:eastAsia="zh-CN"/>
              </w:rPr>
              <w:t>/</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6821F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5</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EA6AE3">
            <w:pPr>
              <w:jc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sz w:val="21"/>
                <w:szCs w:val="21"/>
                <w:u w:val="none"/>
                <w:lang w:val="en-US" w:eastAsia="zh-CN"/>
              </w:rPr>
              <w:t>/</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41D935">
            <w:pPr>
              <w:jc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sz w:val="21"/>
                <w:szCs w:val="21"/>
                <w:u w:val="none"/>
                <w:lang w:val="en-US" w:eastAsia="zh-CN"/>
              </w:rPr>
              <w:t>/</w:t>
            </w:r>
          </w:p>
        </w:tc>
        <w:tc>
          <w:tcPr>
            <w:tcW w:w="3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4643A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20</w:t>
            </w:r>
          </w:p>
        </w:tc>
      </w:tr>
      <w:tr w14:paraId="5A97CC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trPr>
        <w:tc>
          <w:tcPr>
            <w:tcW w:w="6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507B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GB/T 31962-2015 B级标准</w:t>
            </w:r>
          </w:p>
        </w:tc>
        <w:tc>
          <w:tcPr>
            <w:tcW w:w="4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DFA07F">
            <w:pPr>
              <w:jc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w:t>
            </w:r>
          </w:p>
        </w:tc>
        <w:tc>
          <w:tcPr>
            <w:tcW w:w="3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4E59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6.5-9.5</w:t>
            </w: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93F04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500</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3513A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45</w:t>
            </w:r>
          </w:p>
        </w:tc>
        <w:tc>
          <w:tcPr>
            <w:tcW w:w="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36D06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400</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61C29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10</w:t>
            </w: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34AEF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8</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F260E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5</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29632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70</w:t>
            </w:r>
          </w:p>
        </w:tc>
        <w:tc>
          <w:tcPr>
            <w:tcW w:w="391" w:type="pct"/>
            <w:tcBorders>
              <w:top w:val="nil"/>
              <w:left w:val="nil"/>
              <w:bottom w:val="nil"/>
              <w:right w:val="nil"/>
            </w:tcBorders>
            <w:shd w:val="clear" w:color="auto" w:fill="auto"/>
            <w:noWrap/>
            <w:vAlign w:val="center"/>
          </w:tcPr>
          <w:p w14:paraId="102B48B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800</w:t>
            </w:r>
          </w:p>
        </w:tc>
        <w:tc>
          <w:tcPr>
            <w:tcW w:w="3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85EDD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20</w:t>
            </w:r>
          </w:p>
        </w:tc>
      </w:tr>
      <w:tr w14:paraId="483D81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trPr>
        <w:tc>
          <w:tcPr>
            <w:tcW w:w="6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7F42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GB18918-2002标准</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F7213">
            <w:pPr>
              <w:jc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w:t>
            </w:r>
          </w:p>
        </w:tc>
        <w:tc>
          <w:tcPr>
            <w:tcW w:w="3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2E6AC2">
            <w:pPr>
              <w:jc w:val="center"/>
              <w:rPr>
                <w:rFonts w:hint="default" w:ascii="Times New Roman" w:hAnsi="Times New Roman" w:eastAsia="宋体" w:cs="Times New Roman"/>
                <w:b w:val="0"/>
                <w:bCs w:val="0"/>
                <w:i w:val="0"/>
                <w:iCs w:val="0"/>
                <w:color w:val="auto"/>
                <w:sz w:val="21"/>
                <w:szCs w:val="21"/>
                <w:u w:val="none"/>
                <w:lang w:val="en-US" w:eastAsia="zh-CN"/>
              </w:rPr>
            </w:pPr>
            <w:r>
              <w:rPr>
                <w:rFonts w:hint="default" w:ascii="Times New Roman" w:hAnsi="Times New Roman" w:eastAsia="宋体" w:cs="Times New Roman"/>
                <w:b w:val="0"/>
                <w:bCs w:val="0"/>
                <w:i w:val="0"/>
                <w:iCs w:val="0"/>
                <w:color w:val="auto"/>
                <w:sz w:val="21"/>
                <w:szCs w:val="21"/>
                <w:u w:val="none"/>
                <w:lang w:val="en-US" w:eastAsia="zh-CN"/>
              </w:rPr>
              <w:t>/</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C6A8CC">
            <w:pPr>
              <w:jc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sz w:val="21"/>
                <w:szCs w:val="21"/>
                <w:u w:val="none"/>
                <w:lang w:val="en-US" w:eastAsia="zh-CN"/>
              </w:rPr>
              <w:t>/</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99A7C">
            <w:pPr>
              <w:jc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sz w:val="21"/>
                <w:szCs w:val="21"/>
                <w:u w:val="none"/>
                <w:lang w:val="en-US" w:eastAsia="zh-CN"/>
              </w:rPr>
              <w:t>/</w:t>
            </w:r>
          </w:p>
        </w:tc>
        <w:tc>
          <w:tcPr>
            <w:tcW w:w="4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D68B6D">
            <w:pPr>
              <w:jc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sz w:val="21"/>
                <w:szCs w:val="21"/>
                <w:u w:val="none"/>
                <w:lang w:val="en-US" w:eastAsia="zh-CN"/>
              </w:rPr>
              <w:t>/</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4A320">
            <w:pPr>
              <w:jc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sz w:val="21"/>
                <w:szCs w:val="21"/>
                <w:u w:val="none"/>
                <w:lang w:val="en-US" w:eastAsia="zh-CN"/>
              </w:rPr>
              <w:t>/</w:t>
            </w:r>
          </w:p>
        </w:tc>
        <w:tc>
          <w:tcPr>
            <w:tcW w:w="4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FEE6C">
            <w:pPr>
              <w:jc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sz w:val="21"/>
                <w:szCs w:val="21"/>
                <w:u w:val="none"/>
                <w:lang w:val="en-US" w:eastAsia="zh-CN"/>
              </w:rPr>
              <w:t>/</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B7ED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1</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DDE178">
            <w:pPr>
              <w:jc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sz w:val="21"/>
                <w:szCs w:val="21"/>
                <w:u w:val="none"/>
                <w:lang w:val="en-US" w:eastAsia="zh-CN"/>
              </w:rPr>
              <w:t>/</w:t>
            </w:r>
          </w:p>
        </w:tc>
        <w:tc>
          <w:tcPr>
            <w:tcW w:w="3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B535A">
            <w:pPr>
              <w:jc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sz w:val="21"/>
                <w:szCs w:val="21"/>
                <w:u w:val="none"/>
                <w:lang w:val="en-US" w:eastAsia="zh-CN"/>
              </w:rPr>
              <w:t>/</w:t>
            </w:r>
          </w:p>
        </w:tc>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2D0846">
            <w:pPr>
              <w:jc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sz w:val="21"/>
                <w:szCs w:val="21"/>
                <w:u w:val="none"/>
                <w:lang w:val="en-US" w:eastAsia="zh-CN"/>
              </w:rPr>
              <w:t>/</w:t>
            </w:r>
          </w:p>
        </w:tc>
      </w:tr>
      <w:tr w14:paraId="1C2D52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trPr>
        <w:tc>
          <w:tcPr>
            <w:tcW w:w="6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A5EB5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污水处理厂纳管标准</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50C7D">
            <w:pPr>
              <w:jc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w:t>
            </w:r>
          </w:p>
        </w:tc>
        <w:tc>
          <w:tcPr>
            <w:tcW w:w="3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5596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6.5-9.5</w:t>
            </w: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C04A2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500</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A35C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35</w:t>
            </w:r>
          </w:p>
        </w:tc>
        <w:tc>
          <w:tcPr>
            <w:tcW w:w="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D986A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400</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3A2F3C">
            <w:pPr>
              <w:jc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sz w:val="21"/>
                <w:szCs w:val="21"/>
                <w:u w:val="none"/>
                <w:lang w:val="en-US" w:eastAsia="zh-CN"/>
              </w:rPr>
              <w:t>/</w:t>
            </w:r>
          </w:p>
        </w:tc>
        <w:tc>
          <w:tcPr>
            <w:tcW w:w="4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054C9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5</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6A1C0B">
            <w:pPr>
              <w:jc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sz w:val="21"/>
                <w:szCs w:val="21"/>
                <w:u w:val="none"/>
                <w:lang w:val="en-US" w:eastAsia="zh-CN"/>
              </w:rPr>
              <w:t>/</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64D1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50</w:t>
            </w:r>
          </w:p>
        </w:tc>
        <w:tc>
          <w:tcPr>
            <w:tcW w:w="3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C92D7">
            <w:pPr>
              <w:jc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sz w:val="21"/>
                <w:szCs w:val="21"/>
                <w:u w:val="none"/>
                <w:lang w:val="en-US" w:eastAsia="zh-CN"/>
              </w:rPr>
              <w:t>/</w:t>
            </w:r>
          </w:p>
        </w:tc>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5BD2A">
            <w:pPr>
              <w:jc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sz w:val="21"/>
                <w:szCs w:val="21"/>
                <w:u w:val="none"/>
                <w:lang w:val="en-US" w:eastAsia="zh-CN"/>
              </w:rPr>
              <w:t>/</w:t>
            </w:r>
          </w:p>
        </w:tc>
      </w:tr>
      <w:tr w14:paraId="1B4119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trPr>
        <w:tc>
          <w:tcPr>
            <w:tcW w:w="631" w:type="pct"/>
            <w:tcBorders>
              <w:top w:val="single" w:color="000000" w:sz="4" w:space="0"/>
              <w:left w:val="single" w:color="000000" w:sz="4" w:space="0"/>
              <w:bottom w:val="single" w:color="000000" w:sz="4" w:space="0"/>
              <w:right w:val="single" w:color="000000" w:sz="4" w:space="0"/>
            </w:tcBorders>
            <w:shd w:val="clear" w:color="auto" w:fill="BCE1C0" w:themeFill="background1" w:themeFillShade="F2"/>
            <w:noWrap/>
            <w:vAlign w:val="center"/>
          </w:tcPr>
          <w:p w14:paraId="736BBBB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u w:val="none"/>
                <w:shd w:val="clear" w:color="auto" w:fill="auto"/>
                <w:lang w:val="en-US" w:eastAsia="zh-CN" w:bidi="ar"/>
              </w:rPr>
            </w:pPr>
            <w:r>
              <w:rPr>
                <w:rFonts w:hint="default" w:ascii="Times New Roman" w:hAnsi="Times New Roman" w:eastAsia="宋体" w:cs="Times New Roman"/>
                <w:b w:val="0"/>
                <w:bCs w:val="0"/>
                <w:i w:val="0"/>
                <w:iCs w:val="0"/>
                <w:color w:val="auto"/>
                <w:kern w:val="0"/>
                <w:sz w:val="21"/>
                <w:szCs w:val="21"/>
                <w:u w:val="none"/>
                <w:shd w:val="clear" w:color="auto" w:fill="auto"/>
                <w:lang w:val="en-US" w:eastAsia="zh-CN" w:bidi="ar"/>
              </w:rPr>
              <w:t>执行标准</w:t>
            </w:r>
          </w:p>
        </w:tc>
        <w:tc>
          <w:tcPr>
            <w:tcW w:w="427" w:type="pct"/>
            <w:tcBorders>
              <w:top w:val="single" w:color="000000" w:sz="4" w:space="0"/>
              <w:left w:val="single" w:color="000000" w:sz="4" w:space="0"/>
              <w:bottom w:val="single" w:color="000000" w:sz="4" w:space="0"/>
              <w:right w:val="single" w:color="000000" w:sz="4" w:space="0"/>
            </w:tcBorders>
            <w:shd w:val="clear" w:color="auto" w:fill="BCE1C0" w:themeFill="background1" w:themeFillShade="F2"/>
            <w:noWrap/>
            <w:vAlign w:val="center"/>
          </w:tcPr>
          <w:p w14:paraId="6A5CA80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u w:val="none"/>
                <w:shd w:val="clear" w:color="auto" w:fill="auto"/>
                <w:lang w:val="en-US" w:eastAsia="zh-CN" w:bidi="ar"/>
              </w:rPr>
            </w:pPr>
            <w:r>
              <w:rPr>
                <w:rFonts w:hint="default" w:ascii="Times New Roman" w:hAnsi="Times New Roman" w:eastAsia="宋体" w:cs="Times New Roman"/>
                <w:b w:val="0"/>
                <w:bCs w:val="0"/>
                <w:i w:val="0"/>
                <w:iCs w:val="0"/>
                <w:color w:val="auto"/>
                <w:kern w:val="0"/>
                <w:sz w:val="21"/>
                <w:szCs w:val="21"/>
                <w:u w:val="none"/>
                <w:lang w:val="en-US" w:eastAsia="zh-CN" w:bidi="ar"/>
              </w:rPr>
              <w:t>--</w:t>
            </w:r>
          </w:p>
        </w:tc>
        <w:tc>
          <w:tcPr>
            <w:tcW w:w="323" w:type="pct"/>
            <w:tcBorders>
              <w:top w:val="single" w:color="000000" w:sz="4" w:space="0"/>
              <w:left w:val="single" w:color="000000" w:sz="4" w:space="0"/>
              <w:bottom w:val="single" w:color="000000" w:sz="4" w:space="0"/>
              <w:right w:val="single" w:color="000000" w:sz="4" w:space="0"/>
            </w:tcBorders>
            <w:shd w:val="clear" w:color="auto" w:fill="BCE1C0" w:themeFill="background1" w:themeFillShade="F2"/>
            <w:vAlign w:val="center"/>
          </w:tcPr>
          <w:p w14:paraId="4E335A3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u w:val="none"/>
                <w:shd w:val="clear" w:color="auto" w:fill="auto"/>
                <w:lang w:val="en-US" w:eastAsia="zh-CN" w:bidi="ar"/>
              </w:rPr>
            </w:pPr>
            <w:r>
              <w:rPr>
                <w:rFonts w:hint="default" w:ascii="Times New Roman" w:hAnsi="Times New Roman" w:eastAsia="宋体" w:cs="Times New Roman"/>
                <w:b w:val="0"/>
                <w:bCs w:val="0"/>
                <w:i w:val="0"/>
                <w:iCs w:val="0"/>
                <w:color w:val="auto"/>
                <w:kern w:val="0"/>
                <w:sz w:val="21"/>
                <w:szCs w:val="21"/>
                <w:u w:val="none"/>
                <w:shd w:val="clear" w:color="auto" w:fill="auto"/>
                <w:lang w:val="en-US" w:eastAsia="zh-CN" w:bidi="ar"/>
              </w:rPr>
              <w:t>6~9</w:t>
            </w:r>
          </w:p>
        </w:tc>
        <w:tc>
          <w:tcPr>
            <w:tcW w:w="458" w:type="pct"/>
            <w:tcBorders>
              <w:top w:val="single" w:color="000000" w:sz="4" w:space="0"/>
              <w:left w:val="single" w:color="000000" w:sz="4" w:space="0"/>
              <w:bottom w:val="single" w:color="000000" w:sz="4" w:space="0"/>
              <w:right w:val="single" w:color="000000" w:sz="4" w:space="0"/>
            </w:tcBorders>
            <w:shd w:val="clear" w:color="auto" w:fill="BCE1C0" w:themeFill="background1" w:themeFillShade="F2"/>
            <w:vAlign w:val="center"/>
          </w:tcPr>
          <w:p w14:paraId="20D2A6C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u w:val="none"/>
                <w:shd w:val="clear" w:color="auto" w:fill="auto"/>
                <w:lang w:val="en-US" w:eastAsia="zh-CN" w:bidi="ar"/>
              </w:rPr>
            </w:pPr>
            <w:r>
              <w:rPr>
                <w:rFonts w:hint="default" w:ascii="Times New Roman" w:hAnsi="Times New Roman" w:eastAsia="宋体" w:cs="Times New Roman"/>
                <w:b w:val="0"/>
                <w:bCs w:val="0"/>
                <w:i w:val="0"/>
                <w:iCs w:val="0"/>
                <w:color w:val="auto"/>
                <w:kern w:val="0"/>
                <w:sz w:val="21"/>
                <w:szCs w:val="21"/>
                <w:u w:val="none"/>
                <w:shd w:val="clear" w:color="auto" w:fill="auto"/>
                <w:lang w:val="en-US" w:eastAsia="zh-CN" w:bidi="ar"/>
              </w:rPr>
              <w:t>500</w:t>
            </w:r>
          </w:p>
        </w:tc>
        <w:tc>
          <w:tcPr>
            <w:tcW w:w="414" w:type="pct"/>
            <w:tcBorders>
              <w:top w:val="single" w:color="000000" w:sz="4" w:space="0"/>
              <w:left w:val="single" w:color="000000" w:sz="4" w:space="0"/>
              <w:bottom w:val="single" w:color="000000" w:sz="4" w:space="0"/>
              <w:right w:val="single" w:color="000000" w:sz="4" w:space="0"/>
            </w:tcBorders>
            <w:shd w:val="clear" w:color="auto" w:fill="BCE1C0" w:themeFill="background1" w:themeFillShade="F2"/>
            <w:noWrap/>
            <w:vAlign w:val="center"/>
          </w:tcPr>
          <w:p w14:paraId="5401F1A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u w:val="none"/>
                <w:shd w:val="clear" w:color="auto" w:fill="auto"/>
                <w:lang w:val="en-US" w:eastAsia="zh-CN" w:bidi="ar"/>
              </w:rPr>
            </w:pPr>
            <w:r>
              <w:rPr>
                <w:rFonts w:hint="default" w:ascii="Times New Roman" w:hAnsi="Times New Roman" w:eastAsia="宋体" w:cs="Times New Roman"/>
                <w:b w:val="0"/>
                <w:bCs w:val="0"/>
                <w:i w:val="0"/>
                <w:iCs w:val="0"/>
                <w:color w:val="auto"/>
                <w:kern w:val="0"/>
                <w:sz w:val="21"/>
                <w:szCs w:val="21"/>
                <w:u w:val="none"/>
                <w:shd w:val="clear" w:color="auto" w:fill="auto"/>
                <w:lang w:val="en-US" w:eastAsia="zh-CN" w:bidi="ar"/>
              </w:rPr>
              <w:t>35</w:t>
            </w:r>
          </w:p>
        </w:tc>
        <w:tc>
          <w:tcPr>
            <w:tcW w:w="413" w:type="pct"/>
            <w:tcBorders>
              <w:top w:val="single" w:color="000000" w:sz="4" w:space="0"/>
              <w:left w:val="single" w:color="000000" w:sz="4" w:space="0"/>
              <w:bottom w:val="single" w:color="000000" w:sz="4" w:space="0"/>
              <w:right w:val="single" w:color="000000" w:sz="4" w:space="0"/>
            </w:tcBorders>
            <w:shd w:val="clear" w:color="auto" w:fill="BCE1C0" w:themeFill="background1" w:themeFillShade="F2"/>
            <w:vAlign w:val="center"/>
          </w:tcPr>
          <w:p w14:paraId="3EFD2BF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u w:val="none"/>
                <w:shd w:val="clear" w:color="auto" w:fill="auto"/>
                <w:lang w:val="en-US" w:eastAsia="zh-CN" w:bidi="ar"/>
              </w:rPr>
            </w:pPr>
            <w:r>
              <w:rPr>
                <w:rFonts w:hint="default" w:ascii="Times New Roman" w:hAnsi="Times New Roman" w:eastAsia="宋体" w:cs="Times New Roman"/>
                <w:b w:val="0"/>
                <w:bCs w:val="0"/>
                <w:i w:val="0"/>
                <w:iCs w:val="0"/>
                <w:color w:val="auto"/>
                <w:kern w:val="0"/>
                <w:sz w:val="21"/>
                <w:szCs w:val="21"/>
                <w:u w:val="none"/>
                <w:shd w:val="clear" w:color="auto" w:fill="auto"/>
                <w:lang w:val="en-US" w:eastAsia="zh-CN" w:bidi="ar"/>
              </w:rPr>
              <w:t>400</w:t>
            </w:r>
          </w:p>
        </w:tc>
        <w:tc>
          <w:tcPr>
            <w:tcW w:w="388" w:type="pct"/>
            <w:tcBorders>
              <w:top w:val="single" w:color="000000" w:sz="4" w:space="0"/>
              <w:left w:val="single" w:color="000000" w:sz="4" w:space="0"/>
              <w:bottom w:val="single" w:color="000000" w:sz="4" w:space="0"/>
              <w:right w:val="single" w:color="000000" w:sz="4" w:space="0"/>
            </w:tcBorders>
            <w:shd w:val="clear" w:color="auto" w:fill="BCE1C0" w:themeFill="background1" w:themeFillShade="F2"/>
            <w:vAlign w:val="center"/>
          </w:tcPr>
          <w:p w14:paraId="68C3FBD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u w:val="none"/>
                <w:shd w:val="clear" w:color="auto" w:fill="auto"/>
                <w:lang w:val="en-US" w:eastAsia="zh-CN" w:bidi="ar"/>
              </w:rPr>
            </w:pPr>
            <w:r>
              <w:rPr>
                <w:rFonts w:hint="default" w:ascii="Times New Roman" w:hAnsi="Times New Roman" w:eastAsia="宋体" w:cs="Times New Roman"/>
                <w:b w:val="0"/>
                <w:bCs w:val="0"/>
                <w:i w:val="0"/>
                <w:iCs w:val="0"/>
                <w:color w:val="auto"/>
                <w:kern w:val="0"/>
                <w:sz w:val="21"/>
                <w:szCs w:val="21"/>
                <w:u w:val="none"/>
                <w:shd w:val="clear" w:color="auto" w:fill="auto"/>
                <w:lang w:val="en-US" w:eastAsia="zh-CN" w:bidi="ar"/>
              </w:rPr>
              <w:t>10</w:t>
            </w:r>
          </w:p>
        </w:tc>
        <w:tc>
          <w:tcPr>
            <w:tcW w:w="409" w:type="pct"/>
            <w:tcBorders>
              <w:top w:val="single" w:color="000000" w:sz="4" w:space="0"/>
              <w:left w:val="single" w:color="000000" w:sz="4" w:space="0"/>
              <w:bottom w:val="single" w:color="000000" w:sz="4" w:space="0"/>
              <w:right w:val="single" w:color="000000" w:sz="4" w:space="0"/>
            </w:tcBorders>
            <w:shd w:val="clear" w:color="auto" w:fill="BCE1C0" w:themeFill="background1" w:themeFillShade="F2"/>
            <w:noWrap/>
            <w:vAlign w:val="center"/>
          </w:tcPr>
          <w:p w14:paraId="35018A7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u w:val="none"/>
                <w:shd w:val="clear" w:color="auto" w:fill="auto"/>
                <w:lang w:val="en-US" w:eastAsia="zh-CN" w:bidi="ar"/>
              </w:rPr>
            </w:pPr>
            <w:r>
              <w:rPr>
                <w:rFonts w:hint="default" w:ascii="Times New Roman" w:hAnsi="Times New Roman" w:cs="Times New Roman"/>
                <w:b w:val="0"/>
                <w:bCs w:val="0"/>
                <w:i w:val="0"/>
                <w:iCs w:val="0"/>
                <w:color w:val="auto"/>
                <w:kern w:val="0"/>
                <w:sz w:val="21"/>
                <w:szCs w:val="21"/>
                <w:u w:val="none"/>
                <w:shd w:val="clear" w:color="auto" w:fill="auto"/>
                <w:lang w:val="en-US" w:eastAsia="zh-CN" w:bidi="ar"/>
              </w:rPr>
              <w:t>5</w:t>
            </w:r>
          </w:p>
        </w:tc>
        <w:tc>
          <w:tcPr>
            <w:tcW w:w="388" w:type="pct"/>
            <w:tcBorders>
              <w:top w:val="single" w:color="000000" w:sz="4" w:space="0"/>
              <w:left w:val="single" w:color="000000" w:sz="4" w:space="0"/>
              <w:bottom w:val="single" w:color="000000" w:sz="4" w:space="0"/>
              <w:right w:val="single" w:color="000000" w:sz="4" w:space="0"/>
            </w:tcBorders>
            <w:shd w:val="clear" w:color="auto" w:fill="BCE1C0" w:themeFill="background1" w:themeFillShade="F2"/>
            <w:noWrap/>
            <w:vAlign w:val="center"/>
          </w:tcPr>
          <w:p w14:paraId="35DA7C3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u w:val="none"/>
                <w:shd w:val="clear" w:color="auto" w:fill="auto"/>
                <w:lang w:val="en-US" w:eastAsia="zh-CN" w:bidi="ar"/>
              </w:rPr>
            </w:pPr>
            <w:r>
              <w:rPr>
                <w:rFonts w:hint="default" w:ascii="Times New Roman" w:hAnsi="Times New Roman" w:eastAsia="宋体" w:cs="Times New Roman"/>
                <w:b w:val="0"/>
                <w:bCs w:val="0"/>
                <w:i w:val="0"/>
                <w:iCs w:val="0"/>
                <w:color w:val="auto"/>
                <w:kern w:val="0"/>
                <w:sz w:val="21"/>
                <w:szCs w:val="21"/>
                <w:u w:val="none"/>
                <w:shd w:val="clear" w:color="auto" w:fill="auto"/>
                <w:lang w:val="en-US" w:eastAsia="zh-CN" w:bidi="ar"/>
              </w:rPr>
              <w:t>1</w:t>
            </w:r>
          </w:p>
        </w:tc>
        <w:tc>
          <w:tcPr>
            <w:tcW w:w="388" w:type="pct"/>
            <w:tcBorders>
              <w:top w:val="single" w:color="000000" w:sz="4" w:space="0"/>
              <w:left w:val="single" w:color="000000" w:sz="4" w:space="0"/>
              <w:bottom w:val="single" w:color="000000" w:sz="4" w:space="0"/>
              <w:right w:val="single" w:color="000000" w:sz="4" w:space="0"/>
            </w:tcBorders>
            <w:shd w:val="clear" w:color="auto" w:fill="BCE1C0" w:themeFill="background1" w:themeFillShade="F2"/>
            <w:noWrap/>
            <w:vAlign w:val="center"/>
          </w:tcPr>
          <w:p w14:paraId="1FA2C95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u w:val="none"/>
                <w:shd w:val="clear" w:color="auto" w:fill="auto"/>
                <w:lang w:val="en-US" w:eastAsia="zh-CN" w:bidi="ar"/>
              </w:rPr>
            </w:pPr>
            <w:r>
              <w:rPr>
                <w:rFonts w:hint="default" w:ascii="Times New Roman" w:hAnsi="Times New Roman" w:eastAsia="宋体" w:cs="Times New Roman"/>
                <w:b w:val="0"/>
                <w:bCs w:val="0"/>
                <w:i w:val="0"/>
                <w:iCs w:val="0"/>
                <w:color w:val="auto"/>
                <w:kern w:val="0"/>
                <w:sz w:val="21"/>
                <w:szCs w:val="21"/>
                <w:u w:val="none"/>
                <w:shd w:val="clear" w:color="auto" w:fill="auto"/>
                <w:lang w:val="en-US" w:eastAsia="zh-CN" w:bidi="ar"/>
              </w:rPr>
              <w:t>50</w:t>
            </w:r>
          </w:p>
        </w:tc>
        <w:tc>
          <w:tcPr>
            <w:tcW w:w="391" w:type="pct"/>
            <w:tcBorders>
              <w:top w:val="nil"/>
              <w:left w:val="nil"/>
              <w:bottom w:val="nil"/>
              <w:right w:val="nil"/>
            </w:tcBorders>
            <w:shd w:val="clear" w:color="auto" w:fill="BCE1C0" w:themeFill="background1" w:themeFillShade="F2"/>
            <w:noWrap/>
            <w:vAlign w:val="center"/>
          </w:tcPr>
          <w:p w14:paraId="69E39C4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u w:val="none"/>
                <w:shd w:val="clear" w:color="auto" w:fill="auto"/>
                <w:lang w:val="en-US" w:eastAsia="zh-CN" w:bidi="ar"/>
              </w:rPr>
            </w:pPr>
            <w:r>
              <w:rPr>
                <w:rFonts w:hint="default" w:ascii="Times New Roman" w:hAnsi="Times New Roman" w:eastAsia="宋体" w:cs="Times New Roman"/>
                <w:b w:val="0"/>
                <w:bCs w:val="0"/>
                <w:i w:val="0"/>
                <w:iCs w:val="0"/>
                <w:color w:val="auto"/>
                <w:kern w:val="0"/>
                <w:sz w:val="21"/>
                <w:szCs w:val="21"/>
                <w:u w:val="none"/>
                <w:shd w:val="clear" w:color="auto" w:fill="auto"/>
                <w:lang w:val="en-US" w:eastAsia="zh-CN" w:bidi="ar"/>
              </w:rPr>
              <w:t>800</w:t>
            </w:r>
          </w:p>
        </w:tc>
        <w:tc>
          <w:tcPr>
            <w:tcW w:w="365" w:type="pct"/>
            <w:tcBorders>
              <w:top w:val="single" w:color="000000" w:sz="4" w:space="0"/>
              <w:left w:val="single" w:color="000000" w:sz="4" w:space="0"/>
              <w:bottom w:val="single" w:color="000000" w:sz="4" w:space="0"/>
              <w:right w:val="single" w:color="000000" w:sz="4" w:space="0"/>
            </w:tcBorders>
            <w:shd w:val="clear" w:color="auto" w:fill="BCE1C0" w:themeFill="background1" w:themeFillShade="F2"/>
            <w:vAlign w:val="center"/>
          </w:tcPr>
          <w:p w14:paraId="5DB3582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u w:val="none"/>
                <w:shd w:val="clear" w:color="auto" w:fill="auto"/>
                <w:lang w:val="en-US" w:eastAsia="zh-CN" w:bidi="ar"/>
              </w:rPr>
            </w:pPr>
            <w:r>
              <w:rPr>
                <w:rFonts w:hint="default" w:ascii="Times New Roman" w:hAnsi="Times New Roman" w:eastAsia="宋体" w:cs="Times New Roman"/>
                <w:b w:val="0"/>
                <w:bCs w:val="0"/>
                <w:i w:val="0"/>
                <w:iCs w:val="0"/>
                <w:color w:val="auto"/>
                <w:kern w:val="0"/>
                <w:sz w:val="21"/>
                <w:szCs w:val="21"/>
                <w:u w:val="none"/>
                <w:shd w:val="clear" w:color="auto" w:fill="auto"/>
                <w:lang w:val="en-US" w:eastAsia="zh-CN" w:bidi="ar"/>
              </w:rPr>
              <w:t>20</w:t>
            </w:r>
          </w:p>
        </w:tc>
      </w:tr>
      <w:tr w14:paraId="09F971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trPr>
        <w:tc>
          <w:tcPr>
            <w:tcW w:w="6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CDB58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达标情况</w:t>
            </w:r>
          </w:p>
        </w:tc>
        <w:tc>
          <w:tcPr>
            <w:tcW w:w="4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66308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w:t>
            </w:r>
          </w:p>
        </w:tc>
        <w:tc>
          <w:tcPr>
            <w:tcW w:w="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B0187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达标</w:t>
            </w: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AA082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达标</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50EEE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达标</w:t>
            </w:r>
          </w:p>
        </w:tc>
        <w:tc>
          <w:tcPr>
            <w:tcW w:w="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57C3D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达标</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D376C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达标</w:t>
            </w: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60D99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达标</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3F37B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达标</w:t>
            </w:r>
          </w:p>
        </w:tc>
        <w:tc>
          <w:tcPr>
            <w:tcW w:w="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E3466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达标</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65E23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达标</w:t>
            </w:r>
          </w:p>
        </w:tc>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0BAEE2">
            <w:pPr>
              <w:jc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达标</w:t>
            </w:r>
          </w:p>
        </w:tc>
      </w:tr>
    </w:tbl>
    <w:p w14:paraId="4FBB1BDF">
      <w:pPr>
        <w:pStyle w:val="2"/>
        <w:ind w:firstLine="480"/>
        <w:jc w:val="center"/>
        <w:rPr>
          <w:rFonts w:hint="default" w:ascii="Times New Roman" w:hAnsi="Times New Roman" w:cs="Times New Roman"/>
          <w:color w:val="auto"/>
          <w:sz w:val="24"/>
        </w:rPr>
        <w:sectPr>
          <w:pgSz w:w="16838" w:h="11905" w:orient="landscape"/>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1"/>
        <w:gridCol w:w="8886"/>
      </w:tblGrid>
      <w:tr w14:paraId="45B22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2" w:type="dxa"/>
          </w:tcPr>
          <w:p w14:paraId="0D63B4AC">
            <w:pPr>
              <w:pStyle w:val="2"/>
              <w:ind w:firstLine="420"/>
              <w:rPr>
                <w:rFonts w:hint="default" w:ascii="Times New Roman" w:hAnsi="Times New Roman" w:cs="Times New Roman"/>
                <w:color w:val="auto"/>
              </w:rPr>
            </w:pPr>
          </w:p>
        </w:tc>
        <w:tc>
          <w:tcPr>
            <w:tcW w:w="8785" w:type="dxa"/>
          </w:tcPr>
          <w:p w14:paraId="215960E5">
            <w:pPr>
              <w:pStyle w:val="10"/>
              <w:keepNext w:val="0"/>
              <w:keepLines w:val="0"/>
              <w:pageBreakBefore w:val="0"/>
              <w:widowControl w:val="0"/>
              <w:numPr>
                <w:ilvl w:val="0"/>
                <w:numId w:val="16"/>
              </w:numPr>
              <w:kinsoku/>
              <w:wordWrap/>
              <w:overflowPunct/>
              <w:topLinePunct w:val="0"/>
              <w:autoSpaceDE/>
              <w:autoSpaceDN/>
              <w:bidi w:val="0"/>
              <w:adjustRightInd w:val="0"/>
              <w:snapToGrid w:val="0"/>
              <w:spacing w:before="115" w:beforeLines="30"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初期雨污水</w:t>
            </w:r>
          </w:p>
          <w:p w14:paraId="677FF536">
            <w:pPr>
              <w:pStyle w:val="72"/>
              <w:keepLines w:val="0"/>
              <w:pageBreakBefore w:val="0"/>
              <w:tabs>
                <w:tab w:val="left" w:pos="0"/>
                <w:tab w:val="clear" w:pos="3420"/>
              </w:tabs>
              <w:kinsoku/>
              <w:wordWrap/>
              <w:overflowPunct/>
              <w:topLinePunct w:val="0"/>
              <w:autoSpaceDE/>
              <w:autoSpaceDN/>
              <w:bidi w:val="0"/>
              <w:snapToGrid w:val="0"/>
              <w:spacing w:after="0" w:line="360" w:lineRule="auto"/>
              <w:ind w:left="0" w:leftChars="0" w:firstLine="480" w:firstLineChars="200"/>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本项目生产过程产生无组织粉尘和酸雾等，当遇到降雨时，车间的降尘会对环境产生影响，初期雨水中含有SS、pH等，本项目设计初期雨水池，初期雨水经沉淀处理达标后，通过雨水管网排放。</w:t>
            </w:r>
          </w:p>
          <w:p w14:paraId="1AA61C46">
            <w:pPr>
              <w:keepLines w:val="0"/>
              <w:pageBreakBefore w:val="0"/>
              <w:widowControl/>
              <w:kinsoku/>
              <w:wordWrap/>
              <w:overflowPunct/>
              <w:topLinePunct w:val="0"/>
              <w:autoSpaceDE/>
              <w:autoSpaceDN/>
              <w:bidi w:val="0"/>
              <w:adjustRightInd w:val="0"/>
              <w:snapToGrid w:val="0"/>
              <w:spacing w:line="360" w:lineRule="auto"/>
              <w:ind w:firstLine="480" w:firstLineChars="200"/>
              <w:jc w:val="left"/>
              <w:rPr>
                <w:rFonts w:hint="default" w:ascii="Times New Roman" w:hAnsi="Times New Roman" w:cs="Times New Roman"/>
                <w:color w:val="auto"/>
              </w:rPr>
            </w:pPr>
            <w:r>
              <w:rPr>
                <w:rFonts w:hint="default" w:ascii="Times New Roman" w:hAnsi="Times New Roman" w:cs="Times New Roman"/>
                <w:color w:val="auto"/>
                <w:sz w:val="24"/>
              </w:rPr>
              <w:t>初期雨水</w:t>
            </w:r>
            <w:r>
              <w:rPr>
                <w:rFonts w:hint="default" w:ascii="Times New Roman" w:hAnsi="Times New Roman" w:cs="Times New Roman"/>
                <w:color w:val="auto"/>
                <w:kern w:val="0"/>
                <w:sz w:val="24"/>
                <w:lang w:bidi="ar"/>
              </w:rPr>
              <w:t>主要考虑表面处理生产区及运输区进行初期雨水收集，生产区及运输区建成后面积约25000m</w:t>
            </w:r>
            <w:r>
              <w:rPr>
                <w:rFonts w:hint="default" w:ascii="Times New Roman" w:hAnsi="Times New Roman" w:cs="Times New Roman"/>
                <w:color w:val="auto"/>
                <w:kern w:val="0"/>
                <w:sz w:val="24"/>
                <w:vertAlign w:val="superscript"/>
                <w:lang w:bidi="ar"/>
              </w:rPr>
              <w:t>2</w:t>
            </w:r>
            <w:r>
              <w:rPr>
                <w:rFonts w:hint="default" w:ascii="Times New Roman" w:hAnsi="Times New Roman" w:cs="Times New Roman"/>
                <w:color w:val="auto"/>
                <w:kern w:val="0"/>
                <w:sz w:val="24"/>
                <w:lang w:bidi="ar"/>
              </w:rPr>
              <w:t>。</w:t>
            </w:r>
          </w:p>
          <w:p w14:paraId="08E44CA6">
            <w:pPr>
              <w:pStyle w:val="161"/>
              <w:keepLines w:val="0"/>
              <w:pageBreakBefore w:val="0"/>
              <w:kinsoku/>
              <w:wordWrap/>
              <w:overflowPunct/>
              <w:topLinePunct w:val="0"/>
              <w:autoSpaceDE/>
              <w:autoSpaceDN/>
              <w:bidi w:val="0"/>
              <w:snapToGrid w:val="0"/>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参照福建省城乡规划设计研究院编制的暴雨强度公式，取前15min的雨水量：</w:t>
            </w:r>
          </w:p>
          <w:p w14:paraId="68B96B1E">
            <w:pPr>
              <w:pStyle w:val="161"/>
              <w:keepLines w:val="0"/>
              <w:pageBreakBefore w:val="0"/>
              <w:kinsoku/>
              <w:wordWrap/>
              <w:overflowPunct/>
              <w:topLinePunct w:val="0"/>
              <w:autoSpaceDE/>
              <w:autoSpaceDN/>
              <w:bidi w:val="0"/>
              <w:snapToGrid w:val="0"/>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2714625" cy="599440"/>
                  <wp:effectExtent l="0" t="0" r="9525" b="10160"/>
                  <wp:docPr id="114" name="图片 114" descr="803be220-6762-4a9b-92c2-5550f50f5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803be220-6762-4a9b-92c2-5550f50f5333"/>
                          <pic:cNvPicPr>
                            <a:picLocks noChangeAspect="1"/>
                          </pic:cNvPicPr>
                        </pic:nvPicPr>
                        <pic:blipFill>
                          <a:blip r:embed="rId26"/>
                          <a:stretch>
                            <a:fillRect/>
                          </a:stretch>
                        </pic:blipFill>
                        <pic:spPr>
                          <a:xfrm>
                            <a:off x="0" y="0"/>
                            <a:ext cx="2714625" cy="599440"/>
                          </a:xfrm>
                          <a:prstGeom prst="rect">
                            <a:avLst/>
                          </a:prstGeom>
                        </pic:spPr>
                      </pic:pic>
                    </a:graphicData>
                  </a:graphic>
                </wp:inline>
              </w:drawing>
            </w:r>
            <w:r>
              <w:rPr>
                <w:rFonts w:hint="default" w:ascii="Times New Roman" w:hAnsi="Times New Roman" w:cs="Times New Roman"/>
                <w:color w:val="auto"/>
              </w:rPr>
              <w:t xml:space="preserve"> </w:t>
            </w:r>
          </w:p>
          <w:p w14:paraId="440B3DC8">
            <w:pPr>
              <w:keepLines w:val="0"/>
              <w:pageBreakBefore w:val="0"/>
              <w:widowControl/>
              <w:kinsoku/>
              <w:wordWrap/>
              <w:overflowPunct/>
              <w:topLinePunct w:val="0"/>
              <w:autoSpaceDE/>
              <w:autoSpaceDN/>
              <w:bidi w:val="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雨量公式：</w:t>
            </w:r>
            <w:r>
              <w:rPr>
                <w:rFonts w:hint="default" w:ascii="Times New Roman" w:hAnsi="Times New Roman" w:cs="Times New Roman"/>
                <w:color w:val="auto"/>
                <w:position w:val="-10"/>
                <w:sz w:val="24"/>
              </w:rPr>
              <w:drawing>
                <wp:inline distT="0" distB="0" distL="114300" distR="114300">
                  <wp:extent cx="913765" cy="200025"/>
                  <wp:effectExtent l="0" t="0" r="0" b="7620"/>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pic:cNvPicPr>
                        </pic:nvPicPr>
                        <pic:blipFill>
                          <a:blip r:embed="rId27"/>
                          <a:stretch>
                            <a:fillRect/>
                          </a:stretch>
                        </pic:blipFill>
                        <pic:spPr>
                          <a:xfrm>
                            <a:off x="0" y="0"/>
                            <a:ext cx="913765" cy="200025"/>
                          </a:xfrm>
                          <a:prstGeom prst="rect">
                            <a:avLst/>
                          </a:prstGeom>
                          <a:noFill/>
                          <a:ln>
                            <a:noFill/>
                          </a:ln>
                        </pic:spPr>
                      </pic:pic>
                    </a:graphicData>
                  </a:graphic>
                </wp:inline>
              </w:drawing>
            </w:r>
          </w:p>
          <w:p w14:paraId="7556FC18">
            <w:pPr>
              <w:keepLines w:val="0"/>
              <w:pageBreakBefore w:val="0"/>
              <w:widowControl/>
              <w:kinsoku/>
              <w:wordWrap/>
              <w:overflowPunct/>
              <w:topLinePunct w:val="0"/>
              <w:autoSpaceDE/>
              <w:autoSpaceDN/>
              <w:bidi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式中：Q——降雨量，L/s</w:t>
            </w:r>
          </w:p>
          <w:p w14:paraId="7C4E0542">
            <w:pPr>
              <w:keepLines w:val="0"/>
              <w:pageBreakBefore w:val="0"/>
              <w:widowControl/>
              <w:kinsoku/>
              <w:wordWrap/>
              <w:overflowPunct/>
              <w:topLinePunct w:val="0"/>
              <w:autoSpaceDE/>
              <w:autoSpaceDN/>
              <w:bidi w:val="0"/>
              <w:snapToGrid w:val="0"/>
              <w:spacing w:line="360" w:lineRule="auto"/>
              <w:ind w:firstLine="1200" w:firstLineChars="500"/>
              <w:rPr>
                <w:rFonts w:hint="default" w:ascii="Times New Roman" w:hAnsi="Times New Roman" w:cs="Times New Roman"/>
                <w:color w:val="auto"/>
                <w:sz w:val="24"/>
                <w:lang w:val="pt-BR"/>
              </w:rPr>
            </w:pPr>
            <w:r>
              <w:rPr>
                <w:rFonts w:hint="default" w:ascii="Times New Roman" w:hAnsi="Times New Roman" w:cs="Times New Roman"/>
                <w:color w:val="auto"/>
                <w:sz w:val="24"/>
                <w:lang w:val="pt-BR"/>
              </w:rPr>
              <w:t>q——</w:t>
            </w:r>
            <w:r>
              <w:rPr>
                <w:rFonts w:hint="default" w:ascii="Times New Roman" w:hAnsi="Times New Roman" w:cs="Times New Roman"/>
                <w:color w:val="auto"/>
                <w:sz w:val="24"/>
              </w:rPr>
              <w:t>采用</w:t>
            </w:r>
            <w:r>
              <w:rPr>
                <w:rFonts w:hint="default" w:ascii="Times New Roman" w:hAnsi="Times New Roman" w:cs="Times New Roman"/>
                <w:color w:val="auto"/>
                <w:sz w:val="24"/>
                <w:lang w:val="pt-BR"/>
              </w:rPr>
              <w:t>q</w:t>
            </w:r>
            <w:r>
              <w:rPr>
                <w:rFonts w:hint="default" w:ascii="Times New Roman" w:hAnsi="Times New Roman" w:cs="Times New Roman"/>
                <w:color w:val="auto"/>
                <w:sz w:val="24"/>
                <w:vertAlign w:val="subscript"/>
                <w:lang w:val="pt-BR"/>
              </w:rPr>
              <w:t>20</w:t>
            </w:r>
            <w:r>
              <w:rPr>
                <w:rFonts w:hint="default" w:ascii="Times New Roman" w:hAnsi="Times New Roman" w:cs="Times New Roman"/>
                <w:color w:val="auto"/>
                <w:sz w:val="24"/>
              </w:rPr>
              <w:t>值201.9</w:t>
            </w:r>
            <w:r>
              <w:rPr>
                <w:rFonts w:hint="default" w:ascii="Times New Roman" w:hAnsi="Times New Roman" w:cs="Times New Roman"/>
                <w:color w:val="auto"/>
                <w:sz w:val="24"/>
                <w:lang w:val="pt-BR"/>
              </w:rPr>
              <w:t>L/(s·ha)；</w:t>
            </w:r>
          </w:p>
          <w:p w14:paraId="1C34AFF5">
            <w:pPr>
              <w:keepLines w:val="0"/>
              <w:pageBreakBefore w:val="0"/>
              <w:widowControl/>
              <w:kinsoku/>
              <w:wordWrap/>
              <w:overflowPunct/>
              <w:topLinePunct w:val="0"/>
              <w:autoSpaceDE/>
              <w:autoSpaceDN/>
              <w:bidi w:val="0"/>
              <w:snapToGrid w:val="0"/>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Ψ——径流系数，硬化地面取0.9；</w:t>
            </w:r>
          </w:p>
          <w:p w14:paraId="7E25C113">
            <w:pPr>
              <w:keepLines w:val="0"/>
              <w:pageBreakBefore w:val="0"/>
              <w:widowControl/>
              <w:kinsoku/>
              <w:wordWrap/>
              <w:overflowPunct/>
              <w:topLinePunct w:val="0"/>
              <w:autoSpaceDE/>
              <w:autoSpaceDN/>
              <w:bidi w:val="0"/>
              <w:snapToGrid w:val="0"/>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F——汇水面积。</w:t>
            </w:r>
          </w:p>
          <w:p w14:paraId="61BD2677">
            <w:pPr>
              <w:pStyle w:val="14"/>
              <w:keepLines w:val="0"/>
              <w:pageBreakBefore w:val="0"/>
              <w:widowControl w:val="0"/>
              <w:kinsoku/>
              <w:wordWrap/>
              <w:overflowPunct/>
              <w:topLinePunct w:val="0"/>
              <w:autoSpaceDE/>
              <w:autoSpaceDN/>
              <w:bidi w:val="0"/>
              <w:adjustRightInd w:val="0"/>
              <w:snapToGrid w:val="0"/>
              <w:spacing w:before="0" w:after="0" w:line="360" w:lineRule="auto"/>
              <w:ind w:right="0" w:firstLine="480" w:firstLineChars="200"/>
              <w:rPr>
                <w:rFonts w:hint="default" w:ascii="Times New Roman" w:hAnsi="Times New Roman" w:cs="Times New Roman"/>
                <w:color w:val="auto"/>
                <w:sz w:val="24"/>
                <w:szCs w:val="24"/>
                <w:vertAlign w:val="superscript"/>
              </w:rPr>
            </w:pPr>
            <w:r>
              <w:rPr>
                <w:rFonts w:hint="default" w:ascii="Times New Roman" w:hAnsi="Times New Roman" w:cs="Times New Roman"/>
                <w:color w:val="auto"/>
                <w:sz w:val="24"/>
                <w:szCs w:val="24"/>
              </w:rPr>
              <w:t>经计算，在15min内的初期雨水量为408.8m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w:t>
            </w:r>
          </w:p>
          <w:p w14:paraId="6F8ECB33">
            <w:pPr>
              <w:pStyle w:val="4"/>
              <w:keepLines w:val="0"/>
              <w:pageBreakBefore w:val="0"/>
              <w:kinsoku/>
              <w:wordWrap/>
              <w:overflowPunct/>
              <w:topLinePunct w:val="0"/>
              <w:autoSpaceDE/>
              <w:autoSpaceDN/>
              <w:bidi w:val="0"/>
              <w:snapToGrid w:val="0"/>
              <w:spacing w:beforeLines="0" w:afterLines="0" w:line="360" w:lineRule="auto"/>
              <w:ind w:firstLine="480" w:firstLineChars="200"/>
              <w:outlineLvl w:val="1"/>
              <w:rPr>
                <w:rFonts w:hint="default" w:ascii="Times New Roman" w:hAnsi="Times New Roman" w:cs="Times New Roman"/>
                <w:color w:val="auto"/>
              </w:rPr>
            </w:pPr>
            <w:bookmarkStart w:id="224" w:name="_Toc27181"/>
            <w:bookmarkStart w:id="225" w:name="_Toc13808"/>
            <w:bookmarkStart w:id="226" w:name="_Toc15759"/>
            <w:bookmarkStart w:id="227" w:name="_Toc20355"/>
            <w:bookmarkStart w:id="228" w:name="_Toc26953"/>
            <w:bookmarkStart w:id="229" w:name="_Toc15435"/>
            <w:r>
              <w:rPr>
                <w:rFonts w:hint="default" w:ascii="Times New Roman" w:hAnsi="Times New Roman" w:eastAsia="宋体" w:cs="Times New Roman"/>
                <w:bCs/>
                <w:color w:val="auto"/>
                <w:sz w:val="24"/>
              </w:rPr>
              <w:t>项目在厂区低洼处设计1座409m</w:t>
            </w:r>
            <w:r>
              <w:rPr>
                <w:rFonts w:hint="default" w:ascii="Times New Roman" w:hAnsi="Times New Roman" w:eastAsia="宋体" w:cs="Times New Roman"/>
                <w:bCs/>
                <w:color w:val="auto"/>
                <w:sz w:val="24"/>
                <w:vertAlign w:val="superscript"/>
              </w:rPr>
              <w:t>3</w:t>
            </w:r>
            <w:r>
              <w:rPr>
                <w:rFonts w:hint="default" w:ascii="Times New Roman" w:hAnsi="Times New Roman" w:eastAsia="宋体" w:cs="Times New Roman"/>
                <w:bCs/>
                <w:color w:val="auto"/>
                <w:sz w:val="24"/>
              </w:rPr>
              <w:t>初期雨水池</w:t>
            </w:r>
            <w:bookmarkStart w:id="230" w:name="_Toc31685"/>
            <w:bookmarkStart w:id="231" w:name="_Toc13174"/>
            <w:bookmarkStart w:id="232" w:name="_Toc23234"/>
            <w:bookmarkStart w:id="233" w:name="_Toc29782"/>
            <w:bookmarkStart w:id="234" w:name="_Toc9814"/>
            <w:r>
              <w:rPr>
                <w:rFonts w:hint="default" w:ascii="Times New Roman" w:hAnsi="Times New Roman" w:eastAsia="宋体" w:cs="Times New Roman"/>
                <w:bCs/>
                <w:color w:val="auto"/>
                <w:sz w:val="24"/>
              </w:rPr>
              <w:t>，</w:t>
            </w:r>
            <w:r>
              <w:rPr>
                <w:rFonts w:hint="default" w:ascii="Times New Roman" w:hAnsi="Times New Roman" w:eastAsia="宋体" w:cs="Times New Roman"/>
                <w:color w:val="auto"/>
                <w:sz w:val="24"/>
              </w:rPr>
              <w:t>初期雨水池设置切换阀门，初期雨污水收集后经沉淀处理排放</w:t>
            </w:r>
            <w:r>
              <w:rPr>
                <w:rFonts w:hint="default" w:ascii="Times New Roman" w:hAnsi="Times New Roman" w:eastAsia="宋体" w:cs="Times New Roman"/>
                <w:bCs/>
                <w:color w:val="auto"/>
                <w:sz w:val="24"/>
              </w:rPr>
              <w:t>市政雨水管网</w:t>
            </w:r>
            <w:r>
              <w:rPr>
                <w:rFonts w:hint="default" w:ascii="Times New Roman" w:hAnsi="Times New Roman" w:eastAsia="宋体" w:cs="Times New Roman"/>
                <w:color w:val="auto"/>
                <w:sz w:val="24"/>
              </w:rPr>
              <w:t>。正常情况下应保证初期雨污水池处于排空状态</w:t>
            </w:r>
            <w:bookmarkEnd w:id="230"/>
            <w:bookmarkEnd w:id="231"/>
            <w:bookmarkEnd w:id="232"/>
            <w:r>
              <w:rPr>
                <w:rFonts w:hint="default" w:ascii="Times New Roman" w:hAnsi="Times New Roman" w:eastAsia="宋体" w:cs="Times New Roman"/>
                <w:color w:val="auto"/>
                <w:sz w:val="24"/>
              </w:rPr>
              <w:t>。</w:t>
            </w:r>
            <w:bookmarkEnd w:id="224"/>
            <w:bookmarkEnd w:id="225"/>
            <w:bookmarkEnd w:id="226"/>
            <w:bookmarkEnd w:id="227"/>
            <w:bookmarkEnd w:id="228"/>
            <w:bookmarkEnd w:id="229"/>
            <w:bookmarkEnd w:id="233"/>
            <w:bookmarkEnd w:id="234"/>
          </w:p>
          <w:p w14:paraId="48232FE9">
            <w:pPr>
              <w:pStyle w:val="6"/>
              <w:spacing w:before="113" w:beforeLines="30" w:after="189" w:afterLines="50" w:line="240" w:lineRule="auto"/>
              <w:outlineLvl w:val="3"/>
              <w:rPr>
                <w:rFonts w:hint="default" w:ascii="Times New Roman" w:hAnsi="Times New Roman" w:cs="Times New Roman"/>
                <w:color w:val="auto"/>
              </w:rPr>
            </w:pPr>
            <w:r>
              <w:rPr>
                <w:rFonts w:hint="default" w:ascii="Times New Roman" w:hAnsi="Times New Roman" w:cs="Times New Roman"/>
                <w:color w:val="auto"/>
              </w:rPr>
              <w:t>4.2.2.2废水环保措施</w:t>
            </w:r>
          </w:p>
          <w:p w14:paraId="32725543">
            <w:pPr>
              <w:pStyle w:val="1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（1）生产废水</w:t>
            </w:r>
          </w:p>
          <w:p w14:paraId="145839F2">
            <w:pPr>
              <w:pStyle w:val="1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①循环水处理系统</w:t>
            </w:r>
          </w:p>
          <w:p w14:paraId="7BC78B94">
            <w:pPr>
              <w:pStyle w:val="1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本项目净环水使用后只是水温略有升高，基本未受污染，废水经冷却后循环使用，不外排。</w:t>
            </w:r>
          </w:p>
          <w:p w14:paraId="452CD737">
            <w:pPr>
              <w:pStyle w:val="1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②表面处理生产线废水</w:t>
            </w:r>
          </w:p>
          <w:p w14:paraId="18912D2E">
            <w:pPr>
              <w:pStyle w:val="1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表面处理生产线主要废水包括酸洗后冲洗、漂洗产生的含酸废水，中和废液，以及喷淋塔废水，废水主要含悬浮物、COD、磷酸盐、铁、锌、酸碱等，建设单位拟建设处理量为200m³/d的污水处理站，采用“调节池+一级pH调节池+混合池+絮凝池+沉淀池+二级pH调节池+混合池+絮凝池+沉淀池+回调池+砂滤系统+清水池+巴歇尔槽”处理工艺。</w:t>
            </w:r>
          </w:p>
          <w:p w14:paraId="32E8FA1D">
            <w:pPr>
              <w:pStyle w:val="6"/>
              <w:ind w:firstLine="482" w:firstLineChars="200"/>
              <w:outlineLvl w:val="3"/>
              <w:rPr>
                <w:rFonts w:hint="default" w:ascii="Times New Roman" w:hAnsi="Times New Roman" w:eastAsia="宋体" w:cs="Times New Roman"/>
                <w:b/>
                <w:bCs w:val="0"/>
                <w:color w:val="auto"/>
                <w:szCs w:val="24"/>
              </w:rPr>
            </w:pPr>
            <w:r>
              <w:rPr>
                <w:rFonts w:hint="default" w:ascii="Times New Roman" w:hAnsi="Times New Roman" w:eastAsia="宋体" w:cs="Times New Roman"/>
                <w:b/>
                <w:bCs w:val="0"/>
                <w:color w:val="auto"/>
                <w:szCs w:val="24"/>
              </w:rPr>
              <w:t>工艺说明</w:t>
            </w:r>
          </w:p>
          <w:p w14:paraId="353F25E2">
            <w:pPr>
              <w:numPr>
                <w:ilvl w:val="0"/>
                <w:numId w:val="17"/>
              </w:numPr>
              <w:adjustRightInd w:val="0"/>
              <w:snapToGrid w:val="0"/>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rPr>
              <w:t>综合调节池</w:t>
            </w:r>
          </w:p>
          <w:p w14:paraId="196B5B40">
            <w:pPr>
              <w:pStyle w:val="2"/>
              <w:ind w:firstLine="480"/>
              <w:rPr>
                <w:rFonts w:hint="default" w:ascii="Times New Roman" w:hAnsi="Times New Roman" w:cs="Times New Roman"/>
                <w:snapToGrid/>
                <w:color w:val="auto"/>
                <w:sz w:val="24"/>
              </w:rPr>
            </w:pPr>
            <w:r>
              <w:rPr>
                <w:rFonts w:hint="default" w:ascii="Times New Roman" w:hAnsi="Times New Roman" w:cs="Times New Roman"/>
                <w:snapToGrid/>
                <w:color w:val="auto"/>
                <w:sz w:val="24"/>
              </w:rPr>
              <w:t>收集各工序冲洗产生的全部含酸废水，避免瞬时高浓度、高水量废水对后续处理单元造成冲击；通过池内机械搅拌或空气搅拌，实现水质、水量的均质均量，稳定废水pH、铁离子、磷酸盐浓度的波动，为后续处理提供稳定的进水条件；废水中的部分机械杂质、氧化铁皮等在此初步沉降，减轻后续设备的处理负荷。</w:t>
            </w:r>
          </w:p>
          <w:p w14:paraId="4A7024BF">
            <w:pPr>
              <w:adjustRightInd w:val="0"/>
              <w:snapToGrid w:val="0"/>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bCs/>
                <w:color w:val="auto"/>
                <w:sz w:val="24"/>
              </w:rPr>
              <w:t>2、一级pH调节池</w:t>
            </w:r>
          </w:p>
          <w:p w14:paraId="293B2B1B">
            <w:pPr>
              <w:pStyle w:val="2"/>
              <w:ind w:firstLine="480"/>
              <w:rPr>
                <w:rFonts w:hint="default" w:ascii="Times New Roman" w:hAnsi="Times New Roman" w:cs="Times New Roman"/>
                <w:color w:val="auto"/>
                <w:sz w:val="24"/>
              </w:rPr>
            </w:pPr>
            <w:r>
              <w:rPr>
                <w:rFonts w:hint="default" w:ascii="Times New Roman" w:hAnsi="Times New Roman" w:cs="Times New Roman"/>
                <w:snapToGrid/>
                <w:color w:val="auto"/>
                <w:sz w:val="24"/>
              </w:rPr>
              <w:t>投加石灰（或氢氧化钠、碳酸钠等碱性药剂），将含酸废水的pH值从强酸性初步调节至弱碱性。此过程中，废水中的游离酸被中和，同时铁离子（Fe²⁺/Fe³⁺）与氢氧根反应，生成氢氧化铁/氢氧化亚铁沉淀，部分磷酸根与石灰中的钙离子反应，初步生成磷酸钙沉淀，为后续深度除磷、混凝反应奠定基础。</w:t>
            </w:r>
          </w:p>
          <w:p w14:paraId="5636D359">
            <w:pPr>
              <w:pStyle w:val="2"/>
              <w:ind w:firstLine="482"/>
              <w:rPr>
                <w:rFonts w:hint="default" w:ascii="Times New Roman" w:hAnsi="Times New Roman" w:cs="Times New Roman"/>
                <w:b/>
                <w:bCs/>
                <w:snapToGrid/>
                <w:color w:val="auto"/>
                <w:sz w:val="24"/>
              </w:rPr>
            </w:pPr>
            <w:r>
              <w:rPr>
                <w:rFonts w:hint="default" w:ascii="Times New Roman" w:hAnsi="Times New Roman" w:cs="Times New Roman"/>
                <w:b/>
                <w:bCs/>
                <w:snapToGrid/>
                <w:color w:val="auto"/>
                <w:sz w:val="24"/>
              </w:rPr>
              <w:t>3、一级混合池</w:t>
            </w:r>
          </w:p>
          <w:p w14:paraId="0AF4C224">
            <w:pPr>
              <w:pStyle w:val="2"/>
              <w:ind w:firstLine="480"/>
              <w:rPr>
                <w:rFonts w:hint="default" w:ascii="Times New Roman" w:hAnsi="Times New Roman" w:cs="Times New Roman"/>
                <w:snapToGrid/>
                <w:color w:val="auto"/>
                <w:sz w:val="24"/>
              </w:rPr>
            </w:pPr>
            <w:r>
              <w:rPr>
                <w:rFonts w:hint="default" w:ascii="Times New Roman" w:hAnsi="Times New Roman" w:cs="Times New Roman"/>
                <w:snapToGrid/>
                <w:color w:val="auto"/>
                <w:sz w:val="24"/>
              </w:rPr>
              <w:t>向调节pH后的废水中投加混凝剂（如聚合氯化铝PAC），通过池内机械搅拌或水力搅拌，使药剂与废水快速、均匀混合。混凝剂的水解产物会吸附废水中的细小悬浮物、胶体颗粒及初步形成的氢氧化物/磷酸盐微沉淀，使其脱稳并形成微小絮体，为后续絮凝反应创造条件。</w:t>
            </w:r>
          </w:p>
          <w:p w14:paraId="29213D0F">
            <w:pPr>
              <w:pStyle w:val="2"/>
              <w:ind w:firstLine="482"/>
              <w:rPr>
                <w:rFonts w:hint="default" w:ascii="Times New Roman" w:hAnsi="Times New Roman" w:cs="Times New Roman"/>
                <w:b/>
                <w:bCs/>
                <w:snapToGrid/>
                <w:color w:val="auto"/>
                <w:sz w:val="24"/>
              </w:rPr>
            </w:pPr>
            <w:r>
              <w:rPr>
                <w:rFonts w:hint="default" w:ascii="Times New Roman" w:hAnsi="Times New Roman" w:cs="Times New Roman"/>
                <w:b/>
                <w:bCs/>
                <w:snapToGrid/>
                <w:color w:val="auto"/>
                <w:sz w:val="24"/>
              </w:rPr>
              <w:t>4、一级絮凝池</w:t>
            </w:r>
          </w:p>
          <w:p w14:paraId="3C581387">
            <w:pPr>
              <w:pStyle w:val="2"/>
              <w:ind w:firstLine="480"/>
              <w:rPr>
                <w:rFonts w:hint="default" w:ascii="Times New Roman" w:hAnsi="Times New Roman" w:cs="Times New Roman"/>
                <w:color w:val="auto"/>
                <w:sz w:val="24"/>
              </w:rPr>
            </w:pPr>
            <w:r>
              <w:rPr>
                <w:rFonts w:hint="default" w:ascii="Times New Roman" w:hAnsi="Times New Roman" w:cs="Times New Roman"/>
                <w:color w:val="auto"/>
                <w:sz w:val="24"/>
              </w:rPr>
              <w:t>投加阴离子聚丙烯酰胺（PAM）作为助凝剂，通过缓慢搅拌使废水形成的微小絮体相互碰撞、吸附，逐渐长大为密实、易沉降的大颗粒絮体（矾花）。此过程需控制搅拌强度与停留时间，避免絮体破碎，确保絮体具有良好的沉降性能，可高效携带悬浮物与磷酸盐沉淀。</w:t>
            </w:r>
          </w:p>
          <w:p w14:paraId="508B9DB2">
            <w:pPr>
              <w:pStyle w:val="2"/>
              <w:ind w:firstLine="482"/>
              <w:rPr>
                <w:rFonts w:hint="default" w:ascii="Times New Roman" w:hAnsi="Times New Roman" w:cs="Times New Roman"/>
                <w:b/>
                <w:bCs/>
                <w:color w:val="auto"/>
                <w:sz w:val="24"/>
              </w:rPr>
            </w:pPr>
            <w:r>
              <w:rPr>
                <w:rFonts w:hint="default" w:ascii="Times New Roman" w:hAnsi="Times New Roman" w:cs="Times New Roman"/>
                <w:b/>
                <w:bCs/>
                <w:color w:val="auto"/>
                <w:sz w:val="24"/>
              </w:rPr>
              <w:t>5、一级沉淀池</w:t>
            </w:r>
          </w:p>
          <w:p w14:paraId="5BC22B04">
            <w:pPr>
              <w:pStyle w:val="2"/>
              <w:ind w:firstLine="480"/>
              <w:rPr>
                <w:rFonts w:hint="default" w:ascii="Times New Roman" w:hAnsi="Times New Roman" w:cs="Times New Roman"/>
                <w:color w:val="auto"/>
                <w:sz w:val="24"/>
              </w:rPr>
            </w:pPr>
            <w:r>
              <w:rPr>
                <w:rFonts w:hint="default" w:ascii="Times New Roman" w:hAnsi="Times New Roman" w:cs="Times New Roman"/>
                <w:color w:val="auto"/>
                <w:sz w:val="24"/>
              </w:rPr>
              <w:t>采用平流式或斜管式沉淀池，通过重力沉降将一级絮凝池形成的大絮体从废水中分离。大部分悬浮物、氢氧化铁沉淀及初步生成的磷酸钙沉淀在此被去除，废水浊度大幅降低，上清液进入后续二级处理单元，底部污泥排入污泥处理系统进行脱水处理。</w:t>
            </w:r>
          </w:p>
          <w:p w14:paraId="695A1FD6">
            <w:pPr>
              <w:pStyle w:val="2"/>
              <w:ind w:firstLine="482"/>
              <w:rPr>
                <w:rFonts w:hint="default" w:ascii="Times New Roman" w:hAnsi="Times New Roman" w:cs="Times New Roman"/>
                <w:b/>
                <w:bCs/>
                <w:color w:val="auto"/>
                <w:sz w:val="24"/>
              </w:rPr>
            </w:pPr>
            <w:r>
              <w:rPr>
                <w:rFonts w:hint="default" w:ascii="Times New Roman" w:hAnsi="Times New Roman" w:cs="Times New Roman"/>
                <w:b/>
                <w:bCs/>
                <w:color w:val="auto"/>
                <w:sz w:val="24"/>
              </w:rPr>
              <w:t>6、二级pH调节池</w:t>
            </w:r>
          </w:p>
          <w:p w14:paraId="753E35C5">
            <w:pPr>
              <w:pStyle w:val="2"/>
              <w:ind w:firstLine="480"/>
              <w:rPr>
                <w:rFonts w:hint="default" w:ascii="Times New Roman" w:hAnsi="Times New Roman" w:cs="Times New Roman"/>
                <w:color w:val="auto"/>
                <w:sz w:val="24"/>
              </w:rPr>
            </w:pPr>
            <w:r>
              <w:rPr>
                <w:rFonts w:hint="default" w:ascii="Times New Roman" w:hAnsi="Times New Roman" w:cs="Times New Roman"/>
                <w:color w:val="auto"/>
                <w:sz w:val="24"/>
              </w:rPr>
              <w:t>向一级沉淀池出水继续投加石灰，将废水pH值进一步调节至工艺最佳除磷范围（pH 10~11，此条件下磷酸钙沉淀溶解度最低，除磷效率最高）。同时，废水中残留的铁离子及少量其他重金属离子（如锌离子）会完全生成难溶氢氧化物沉淀，进一步降低重金属浓度。</w:t>
            </w:r>
          </w:p>
          <w:p w14:paraId="3FDAF46B">
            <w:pPr>
              <w:pStyle w:val="2"/>
              <w:ind w:firstLine="482"/>
              <w:rPr>
                <w:rFonts w:hint="default" w:ascii="Times New Roman" w:hAnsi="Times New Roman" w:cs="Times New Roman"/>
                <w:b/>
                <w:bCs/>
                <w:color w:val="auto"/>
                <w:sz w:val="24"/>
              </w:rPr>
            </w:pPr>
            <w:r>
              <w:rPr>
                <w:rFonts w:hint="default" w:ascii="Times New Roman" w:hAnsi="Times New Roman" w:cs="Times New Roman"/>
                <w:b/>
                <w:bCs/>
                <w:color w:val="auto"/>
                <w:sz w:val="24"/>
              </w:rPr>
              <w:t>7、二级混合池</w:t>
            </w:r>
          </w:p>
          <w:p w14:paraId="506882D4">
            <w:pPr>
              <w:pStyle w:val="2"/>
              <w:ind w:firstLine="480"/>
              <w:rPr>
                <w:rFonts w:hint="default" w:ascii="Times New Roman" w:hAnsi="Times New Roman" w:cs="Times New Roman"/>
                <w:color w:val="auto"/>
                <w:sz w:val="24"/>
              </w:rPr>
            </w:pPr>
            <w:r>
              <w:rPr>
                <w:rFonts w:hint="default" w:ascii="Times New Roman" w:hAnsi="Times New Roman" w:cs="Times New Roman"/>
                <w:color w:val="auto"/>
                <w:sz w:val="24"/>
              </w:rPr>
              <w:t>再次投加混凝剂，通过快速搅拌与废水充分混合，使废水中残留的细小胶体、未沉降的磷酸钙微沉淀颗粒进一步脱稳，为二级絮凝反应做准备。</w:t>
            </w:r>
          </w:p>
          <w:p w14:paraId="1BD3D108">
            <w:pPr>
              <w:pStyle w:val="2"/>
              <w:ind w:firstLine="482"/>
              <w:rPr>
                <w:rFonts w:hint="default" w:ascii="Times New Roman" w:hAnsi="Times New Roman" w:cs="Times New Roman"/>
                <w:b/>
                <w:bCs/>
                <w:color w:val="auto"/>
                <w:sz w:val="24"/>
              </w:rPr>
            </w:pPr>
            <w:r>
              <w:rPr>
                <w:rFonts w:hint="default" w:ascii="Times New Roman" w:hAnsi="Times New Roman" w:cs="Times New Roman"/>
                <w:b/>
                <w:bCs/>
                <w:color w:val="auto"/>
                <w:sz w:val="24"/>
              </w:rPr>
              <w:t>8、二级絮凝池</w:t>
            </w:r>
          </w:p>
          <w:p w14:paraId="64368280">
            <w:pPr>
              <w:pStyle w:val="2"/>
              <w:ind w:firstLine="480"/>
              <w:rPr>
                <w:rFonts w:hint="default" w:ascii="Times New Roman" w:hAnsi="Times New Roman" w:cs="Times New Roman"/>
                <w:color w:val="auto"/>
                <w:sz w:val="24"/>
              </w:rPr>
            </w:pPr>
            <w:r>
              <w:rPr>
                <w:rFonts w:hint="default" w:ascii="Times New Roman" w:hAnsi="Times New Roman" w:cs="Times New Roman"/>
                <w:color w:val="auto"/>
                <w:sz w:val="24"/>
              </w:rPr>
              <w:t>投加助凝剂PAM，通过缓慢搅拌使二级混合池形成的微小絮体进一步碰撞、吸附，长大为更密实、更易沉降的大絮体，确保废水中残留的磷酸盐、悬浮物及重金属沉淀被高效包裹，提升后续沉降效率。</w:t>
            </w:r>
          </w:p>
          <w:p w14:paraId="29CBA6D0">
            <w:pPr>
              <w:pStyle w:val="2"/>
              <w:ind w:firstLine="482"/>
              <w:rPr>
                <w:rFonts w:hint="default" w:ascii="Times New Roman" w:hAnsi="Times New Roman" w:cs="Times New Roman"/>
                <w:b/>
                <w:bCs/>
                <w:color w:val="auto"/>
                <w:sz w:val="24"/>
              </w:rPr>
            </w:pPr>
            <w:r>
              <w:rPr>
                <w:rFonts w:hint="default" w:ascii="Times New Roman" w:hAnsi="Times New Roman" w:cs="Times New Roman"/>
                <w:b/>
                <w:bCs/>
                <w:color w:val="auto"/>
                <w:sz w:val="24"/>
              </w:rPr>
              <w:t>9、二级斜管沉淀池</w:t>
            </w:r>
          </w:p>
          <w:p w14:paraId="5048F7A9">
            <w:pPr>
              <w:pStyle w:val="2"/>
              <w:ind w:firstLine="480"/>
              <w:rPr>
                <w:rFonts w:hint="default" w:ascii="Times New Roman" w:hAnsi="Times New Roman" w:cs="Times New Roman"/>
                <w:color w:val="auto"/>
                <w:sz w:val="24"/>
              </w:rPr>
            </w:pPr>
            <w:r>
              <w:rPr>
                <w:rFonts w:hint="default" w:ascii="Times New Roman" w:hAnsi="Times New Roman" w:cs="Times New Roman"/>
                <w:color w:val="auto"/>
                <w:sz w:val="24"/>
              </w:rPr>
              <w:t>通过重力沉降将二级絮凝池形成的大絮体彻底分离。此阶段可去除95%以上的悬浮物、磷酸盐沉淀及残留重金属氢氧化物，上清液浊度显著降低，为后续过滤处理减轻负荷，底部污泥同样排入污泥处理系统。</w:t>
            </w:r>
          </w:p>
          <w:p w14:paraId="6461E31A">
            <w:pPr>
              <w:pStyle w:val="2"/>
              <w:ind w:firstLine="482"/>
              <w:rPr>
                <w:rFonts w:hint="default" w:ascii="Times New Roman" w:hAnsi="Times New Roman" w:cs="Times New Roman"/>
                <w:b/>
                <w:bCs/>
                <w:color w:val="auto"/>
                <w:sz w:val="24"/>
              </w:rPr>
            </w:pPr>
            <w:r>
              <w:rPr>
                <w:rFonts w:hint="default" w:ascii="Times New Roman" w:hAnsi="Times New Roman" w:cs="Times New Roman"/>
                <w:b/>
                <w:bCs/>
                <w:color w:val="auto"/>
                <w:sz w:val="24"/>
              </w:rPr>
              <w:t>10、回调池</w:t>
            </w:r>
          </w:p>
          <w:p w14:paraId="228F7224">
            <w:pPr>
              <w:pStyle w:val="2"/>
              <w:ind w:firstLine="480"/>
              <w:rPr>
                <w:rFonts w:hint="default" w:ascii="Times New Roman" w:hAnsi="Times New Roman" w:cs="Times New Roman"/>
                <w:color w:val="auto"/>
                <w:sz w:val="24"/>
              </w:rPr>
            </w:pPr>
            <w:r>
              <w:rPr>
                <w:rFonts w:hint="default" w:ascii="Times New Roman" w:hAnsi="Times New Roman" w:cs="Times New Roman"/>
                <w:color w:val="auto"/>
                <w:sz w:val="24"/>
              </w:rPr>
              <w:t>向二级沉淀池出水投加稀盐酸，将废水pH值回调至排放标准范围（pH 6~9），避免碱性过高对后续过滤设备造成腐蚀，同时确保出水pH指标符合排放要求。</w:t>
            </w:r>
          </w:p>
          <w:p w14:paraId="0745436C">
            <w:pPr>
              <w:pStyle w:val="2"/>
              <w:ind w:firstLine="482"/>
              <w:rPr>
                <w:rFonts w:hint="default" w:ascii="Times New Roman" w:hAnsi="Times New Roman" w:cs="Times New Roman"/>
                <w:b/>
                <w:bCs/>
                <w:color w:val="auto"/>
                <w:sz w:val="24"/>
              </w:rPr>
            </w:pPr>
            <w:r>
              <w:rPr>
                <w:rFonts w:hint="default" w:ascii="Times New Roman" w:hAnsi="Times New Roman" w:cs="Times New Roman"/>
                <w:b/>
                <w:bCs/>
                <w:color w:val="auto"/>
                <w:sz w:val="24"/>
              </w:rPr>
              <w:t>11、中间池</w:t>
            </w:r>
          </w:p>
          <w:p w14:paraId="6C2AB784">
            <w:pPr>
              <w:pStyle w:val="2"/>
              <w:ind w:firstLine="480"/>
              <w:rPr>
                <w:rFonts w:hint="default" w:ascii="Times New Roman" w:hAnsi="Times New Roman" w:cs="Times New Roman"/>
                <w:color w:val="auto"/>
                <w:sz w:val="24"/>
              </w:rPr>
            </w:pPr>
            <w:r>
              <w:rPr>
                <w:rFonts w:hint="default" w:ascii="Times New Roman" w:hAnsi="Times New Roman" w:cs="Times New Roman"/>
                <w:color w:val="auto"/>
                <w:sz w:val="24"/>
              </w:rPr>
              <w:t>收集回调后的废水，通过池内缓冲与均质，稳定水质水量，为砂滤过滤器提供稳定的进水条件，避免瞬时水量波动对过滤效果造成影响，同时可在此设置液位控制，实现过滤单元的连续运行。</w:t>
            </w:r>
          </w:p>
          <w:p w14:paraId="75D309EF">
            <w:pPr>
              <w:pStyle w:val="2"/>
              <w:ind w:firstLine="482"/>
              <w:rPr>
                <w:rFonts w:hint="default" w:ascii="Times New Roman" w:hAnsi="Times New Roman" w:cs="Times New Roman"/>
                <w:b/>
                <w:bCs/>
                <w:color w:val="auto"/>
                <w:sz w:val="24"/>
              </w:rPr>
            </w:pPr>
            <w:r>
              <w:rPr>
                <w:rFonts w:hint="default" w:ascii="Times New Roman" w:hAnsi="Times New Roman" w:cs="Times New Roman"/>
                <w:b/>
                <w:bCs/>
                <w:color w:val="auto"/>
                <w:sz w:val="24"/>
              </w:rPr>
              <w:t>12、砂滤过滤器</w:t>
            </w:r>
          </w:p>
          <w:p w14:paraId="29D648D0">
            <w:pPr>
              <w:pStyle w:val="2"/>
              <w:ind w:firstLine="480"/>
              <w:rPr>
                <w:rFonts w:hint="default" w:ascii="Times New Roman" w:hAnsi="Times New Roman" w:cs="Times New Roman"/>
                <w:color w:val="auto"/>
                <w:sz w:val="24"/>
              </w:rPr>
            </w:pPr>
            <w:r>
              <w:rPr>
                <w:rFonts w:hint="default" w:ascii="Times New Roman" w:hAnsi="Times New Roman" w:cs="Times New Roman"/>
                <w:color w:val="auto"/>
                <w:sz w:val="24"/>
              </w:rPr>
              <w:t>采用石英砂过滤器，通过滤层的截留、吸附作用，去除废水中残留的细小絮体、悬浮物及微量磷酸钙沉淀颗粒，进一步降低出水浊度，保障出水水质稳定达标。过滤器需定期进行反冲洗，清除滤层截留的杂质，恢复过滤性能，反冲洗废水回流至综合调节池重新处理。</w:t>
            </w:r>
          </w:p>
          <w:p w14:paraId="59F8C69E">
            <w:pPr>
              <w:pStyle w:val="2"/>
              <w:ind w:firstLine="480"/>
              <w:rPr>
                <w:rFonts w:hint="default" w:ascii="Times New Roman" w:hAnsi="Times New Roman" w:cs="Times New Roman"/>
                <w:color w:val="auto"/>
                <w:sz w:val="24"/>
              </w:rPr>
            </w:pPr>
          </w:p>
          <w:p w14:paraId="457F7A07">
            <w:pPr>
              <w:pStyle w:val="2"/>
              <w:ind w:firstLine="480"/>
              <w:rPr>
                <w:rFonts w:hint="default" w:ascii="Times New Roman" w:hAnsi="Times New Roman" w:cs="Times New Roman"/>
                <w:color w:val="auto"/>
                <w:sz w:val="24"/>
              </w:rPr>
            </w:pPr>
          </w:p>
          <w:p w14:paraId="1E056B59">
            <w:pPr>
              <w:pStyle w:val="2"/>
              <w:ind w:firstLine="480"/>
              <w:rPr>
                <w:rFonts w:hint="default" w:ascii="Times New Roman" w:hAnsi="Times New Roman" w:cs="Times New Roman"/>
                <w:color w:val="auto"/>
                <w:sz w:val="24"/>
              </w:rPr>
            </w:pPr>
          </w:p>
          <w:p w14:paraId="77856F48">
            <w:pPr>
              <w:pStyle w:val="2"/>
              <w:ind w:firstLine="0" w:firstLineChars="0"/>
              <w:rPr>
                <w:rFonts w:hint="default" w:ascii="Times New Roman" w:hAnsi="Times New Roman" w:cs="Times New Roman"/>
                <w:color w:val="auto"/>
              </w:rPr>
            </w:pPr>
            <w:r>
              <w:rPr>
                <w:rFonts w:hint="default" w:ascii="Times New Roman" w:hAnsi="Times New Roman" w:cs="Times New Roman"/>
                <w:color w:val="auto"/>
              </w:rPr>
              <w:t> </w:t>
            </w:r>
            <w:r>
              <w:rPr>
                <w:rFonts w:hint="default" w:ascii="Times New Roman" w:hAnsi="Times New Roman" w:cs="Times New Roman"/>
                <w:color w:val="auto"/>
              </w:rPr>
              <w:drawing>
                <wp:inline distT="0" distB="0" distL="114300" distR="114300">
                  <wp:extent cx="5466080" cy="2146300"/>
                  <wp:effectExtent l="0" t="0" r="0" b="0"/>
                  <wp:docPr id="115" name="ECB019B1-382A-4266-B25C-5B523AA43C14-5" descr="C:/Users/Administrator/AppData/Local/Temp/wps.fTadMK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ECB019B1-382A-4266-B25C-5B523AA43C14-5" descr="C:/Users/Administrator/AppData/Local/Temp/wps.fTadMKwps"/>
                          <pic:cNvPicPr>
                            <a:picLocks noChangeAspect="1"/>
                          </pic:cNvPicPr>
                        </pic:nvPicPr>
                        <pic:blipFill>
                          <a:blip r:embed="rId28"/>
                          <a:srcRect t="5136"/>
                          <a:stretch>
                            <a:fillRect/>
                          </a:stretch>
                        </pic:blipFill>
                        <pic:spPr>
                          <a:xfrm>
                            <a:off x="0" y="0"/>
                            <a:ext cx="5466080" cy="2146300"/>
                          </a:xfrm>
                          <a:prstGeom prst="rect">
                            <a:avLst/>
                          </a:prstGeom>
                        </pic:spPr>
                      </pic:pic>
                    </a:graphicData>
                  </a:graphic>
                </wp:inline>
              </w:drawing>
            </w:r>
          </w:p>
          <w:p w14:paraId="5BA650A4">
            <w:pPr>
              <w:pStyle w:val="129"/>
              <w:keepNext w:val="0"/>
              <w:keepLines w:val="0"/>
              <w:pageBreakBefore w:val="0"/>
              <w:widowControl w:val="0"/>
              <w:kinsoku/>
              <w:wordWrap/>
              <w:overflowPunct/>
              <w:topLinePunct w:val="0"/>
              <w:autoSpaceDE/>
              <w:autoSpaceDN/>
              <w:bidi w:val="0"/>
              <w:adjustRightInd/>
              <w:snapToGrid w:val="0"/>
              <w:spacing w:before="115" w:beforeLines="30" w:after="304" w:afterLines="8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图4.2-3</w:t>
            </w:r>
            <w:r>
              <w:rPr>
                <w:rFonts w:hint="eastAsia" w:eastAsia="黑体" w:cs="Times New Roman"/>
                <w:b w:val="0"/>
                <w:bCs/>
                <w:color w:val="auto"/>
                <w:lang w:val="en-US" w:eastAsia="zh-CN"/>
              </w:rPr>
              <w:t xml:space="preserve"> </w:t>
            </w:r>
            <w:r>
              <w:rPr>
                <w:rFonts w:hint="default" w:ascii="Times New Roman" w:hAnsi="Times New Roman" w:eastAsia="黑体" w:cs="Times New Roman"/>
                <w:b w:val="0"/>
                <w:bCs/>
                <w:color w:val="auto"/>
              </w:rPr>
              <w:t xml:space="preserve"> 污水处理站工艺流程</w:t>
            </w:r>
          </w:p>
          <w:p w14:paraId="7C711AD0">
            <w:pPr>
              <w:pStyle w:val="10"/>
              <w:snapToGrid w:val="0"/>
              <w:spacing w:line="360" w:lineRule="auto"/>
              <w:ind w:left="420" w:firstLine="0"/>
              <w:rPr>
                <w:rFonts w:hint="default" w:ascii="Times New Roman" w:hAnsi="Times New Roman" w:cs="Times New Roman"/>
                <w:color w:val="auto"/>
                <w:sz w:val="24"/>
              </w:rPr>
            </w:pPr>
            <w:r>
              <w:rPr>
                <w:rFonts w:hint="default" w:ascii="Times New Roman" w:hAnsi="Times New Roman" w:cs="Times New Roman"/>
                <w:color w:val="auto"/>
                <w:sz w:val="24"/>
              </w:rPr>
              <w:t>（2）生活污水处理系统</w:t>
            </w:r>
          </w:p>
          <w:p w14:paraId="03D49168">
            <w:pPr>
              <w:pStyle w:val="1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生活污水经化粪池处理达到</w:t>
            </w:r>
            <w:r>
              <w:rPr>
                <w:rFonts w:hint="default" w:ascii="Times New Roman" w:hAnsi="Times New Roman" w:cs="Times New Roman"/>
                <w:color w:val="auto"/>
                <w:kern w:val="0"/>
                <w:sz w:val="24"/>
                <w:lang w:bidi="ar"/>
              </w:rPr>
              <w:t>《污水综合排放标准》（GB8978-1996）中的三级排放标准和</w:t>
            </w:r>
            <w:r>
              <w:rPr>
                <w:rFonts w:hint="default" w:ascii="Times New Roman" w:hAnsi="Times New Roman" w:cs="Times New Roman"/>
                <w:color w:val="auto"/>
                <w:sz w:val="24"/>
              </w:rPr>
              <w:t>金古北片区污水处理厂接管要求后，纳入市政污水管道。</w:t>
            </w:r>
          </w:p>
          <w:p w14:paraId="19D0CF70">
            <w:pPr>
              <w:pStyle w:val="10"/>
              <w:numPr>
                <w:ilvl w:val="0"/>
                <w:numId w:val="14"/>
              </w:numPr>
              <w:snapToGrid w:val="0"/>
              <w:spacing w:line="360" w:lineRule="auto"/>
              <w:ind w:firstLine="480"/>
              <w:rPr>
                <w:rFonts w:hint="default" w:ascii="Times New Roman" w:hAnsi="Times New Roman" w:cs="Times New Roman"/>
                <w:color w:val="auto"/>
                <w:sz w:val="24"/>
              </w:rPr>
            </w:pPr>
            <w:r>
              <w:rPr>
                <w:rFonts w:hint="default" w:ascii="Times New Roman" w:hAnsi="Times New Roman" w:cs="Times New Roman"/>
                <w:color w:val="auto"/>
                <w:sz w:val="24"/>
              </w:rPr>
              <w:t>初期雨污水排水系统</w:t>
            </w:r>
          </w:p>
          <w:p w14:paraId="12CED89C">
            <w:pPr>
              <w:pStyle w:val="1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初期雨污水主要污染物为pH、SS、COD，厂内拟建409m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的初期雨污水收集池，经沉淀后废水纳入市政雨水管网，</w:t>
            </w:r>
            <w:r>
              <w:rPr>
                <w:rFonts w:hint="default" w:ascii="Times New Roman" w:hAnsi="Times New Roman" w:cs="Times New Roman"/>
                <w:color w:val="auto"/>
                <w:sz w:val="24"/>
                <w:highlight w:val="none"/>
              </w:rPr>
              <w:t>园区</w:t>
            </w:r>
            <w:r>
              <w:rPr>
                <w:rFonts w:hint="default" w:ascii="Times New Roman" w:hAnsi="Times New Roman" w:cs="Times New Roman"/>
                <w:color w:val="auto"/>
                <w:sz w:val="24"/>
                <w:highlight w:val="none"/>
                <w:lang w:val="en-US" w:eastAsia="zh-CN"/>
              </w:rPr>
              <w:t>建有雨水管道，</w:t>
            </w:r>
            <w:r>
              <w:rPr>
                <w:rFonts w:hint="default" w:ascii="Times New Roman" w:hAnsi="Times New Roman" w:cs="Times New Roman"/>
                <w:color w:val="auto"/>
                <w:sz w:val="24"/>
                <w:highlight w:val="none"/>
              </w:rPr>
              <w:t>目前市政雨水管道正在修缮中</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项目建成后应落实新旧</w:t>
            </w:r>
            <w:r>
              <w:rPr>
                <w:rFonts w:hint="default" w:ascii="Times New Roman" w:hAnsi="Times New Roman" w:cs="Times New Roman"/>
                <w:color w:val="auto"/>
                <w:sz w:val="24"/>
                <w:highlight w:val="none"/>
              </w:rPr>
              <w:t>市政</w:t>
            </w:r>
            <w:r>
              <w:rPr>
                <w:rFonts w:hint="default" w:ascii="Times New Roman" w:hAnsi="Times New Roman" w:cs="Times New Roman"/>
                <w:color w:val="auto"/>
                <w:sz w:val="24"/>
                <w:highlight w:val="none"/>
                <w:lang w:val="en-US" w:eastAsia="zh-CN"/>
              </w:rPr>
              <w:t>雨水管网与厂区雨水排放口衔接</w:t>
            </w:r>
            <w:r>
              <w:rPr>
                <w:rFonts w:hint="default" w:ascii="Times New Roman" w:hAnsi="Times New Roman" w:cs="Times New Roman"/>
                <w:color w:val="auto"/>
                <w:sz w:val="24"/>
                <w:highlight w:val="none"/>
              </w:rPr>
              <w:t>。</w:t>
            </w:r>
          </w:p>
          <w:p w14:paraId="7A6A8D0E">
            <w:pPr>
              <w:pStyle w:val="6"/>
              <w:spacing w:before="113" w:beforeLines="30" w:after="189" w:afterLines="50" w:line="240" w:lineRule="auto"/>
              <w:outlineLvl w:val="3"/>
              <w:rPr>
                <w:rFonts w:hint="default" w:ascii="Times New Roman" w:hAnsi="Times New Roman" w:cs="Times New Roman"/>
                <w:color w:val="auto"/>
              </w:rPr>
            </w:pPr>
            <w:r>
              <w:rPr>
                <w:rFonts w:hint="default" w:ascii="Times New Roman" w:hAnsi="Times New Roman" w:cs="Times New Roman"/>
                <w:color w:val="auto"/>
              </w:rPr>
              <w:t>4.2.2.3水环境影响分析</w:t>
            </w:r>
          </w:p>
          <w:p w14:paraId="25026FE6">
            <w:pPr>
              <w:pStyle w:val="6"/>
              <w:numPr>
                <w:ilvl w:val="2"/>
                <w:numId w:val="0"/>
              </w:numPr>
              <w:adjustRightInd/>
              <w:snapToGrid/>
              <w:spacing w:before="130" w:after="130" w:line="240" w:lineRule="auto"/>
              <w:ind w:firstLine="480" w:firstLineChars="200"/>
              <w:outlineLvl w:val="3"/>
              <w:rPr>
                <w:rFonts w:hint="default" w:ascii="Times New Roman" w:hAnsi="Times New Roman" w:eastAsia="宋体" w:cs="Times New Roman"/>
                <w:color w:val="auto"/>
                <w:szCs w:val="24"/>
              </w:rPr>
            </w:pPr>
            <w:r>
              <w:rPr>
                <w:rFonts w:hint="default" w:ascii="Times New Roman" w:hAnsi="Times New Roman" w:cs="Times New Roman"/>
                <w:color w:val="auto"/>
                <w:szCs w:val="24"/>
              </w:rPr>
              <w:t>（1）</w:t>
            </w:r>
            <w:r>
              <w:rPr>
                <w:rFonts w:hint="default" w:ascii="Times New Roman" w:hAnsi="Times New Roman" w:eastAsia="宋体" w:cs="Times New Roman"/>
                <w:color w:val="auto"/>
                <w:szCs w:val="24"/>
              </w:rPr>
              <w:t>表面处理废水进入厂区废水处理站可行性分析</w:t>
            </w:r>
          </w:p>
          <w:p w14:paraId="05E6CC59">
            <w:pPr>
              <w:pStyle w:val="72"/>
              <w:tabs>
                <w:tab w:val="left" w:pos="0"/>
                <w:tab w:val="clear" w:pos="3420"/>
              </w:tabs>
              <w:snapToGrid w:val="0"/>
              <w:spacing w:after="0"/>
              <w:ind w:left="0" w:lef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①接管可行性</w:t>
            </w:r>
          </w:p>
          <w:p w14:paraId="70F2CA65">
            <w:pPr>
              <w:pStyle w:val="72"/>
              <w:tabs>
                <w:tab w:val="left" w:pos="0"/>
                <w:tab w:val="clear" w:pos="3420"/>
              </w:tabs>
              <w:snapToGrid w:val="0"/>
              <w:spacing w:after="0"/>
              <w:ind w:left="0" w:lef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本项目利用现有4#车间新建1条表面处理生产线，在车间边建设污水处理站并配套建设污水管网。</w:t>
            </w:r>
          </w:p>
          <w:p w14:paraId="0B5CA124">
            <w:pPr>
              <w:pStyle w:val="72"/>
              <w:tabs>
                <w:tab w:val="left" w:pos="0"/>
                <w:tab w:val="clear" w:pos="3420"/>
              </w:tabs>
              <w:snapToGrid w:val="0"/>
              <w:spacing w:after="0"/>
              <w:ind w:left="0" w:lef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②接纳水量分析</w:t>
            </w:r>
          </w:p>
          <w:p w14:paraId="1C4527FF">
            <w:pPr>
              <w:pStyle w:val="72"/>
              <w:tabs>
                <w:tab w:val="left" w:pos="0"/>
                <w:tab w:val="clear" w:pos="3420"/>
              </w:tabs>
              <w:snapToGrid w:val="0"/>
              <w:spacing w:after="0"/>
              <w:ind w:left="0" w:leftChars="0" w:firstLine="480" w:firstLineChars="200"/>
              <w:rPr>
                <w:rFonts w:hint="default" w:ascii="Times New Roman" w:hAnsi="Times New Roman" w:eastAsia="宋体" w:cs="Times New Roman"/>
                <w:color w:val="auto"/>
                <w:sz w:val="24"/>
                <w:highlight w:val="yellow"/>
              </w:rPr>
            </w:pPr>
            <w:r>
              <w:rPr>
                <w:rFonts w:hint="default" w:ascii="Times New Roman" w:hAnsi="Times New Roman" w:eastAsia="宋体" w:cs="Times New Roman"/>
                <w:color w:val="auto"/>
                <w:sz w:val="24"/>
                <w:szCs w:val="24"/>
              </w:rPr>
              <w:t>建设单位拟建设处理量为200m³/d的污水处理站</w:t>
            </w:r>
            <w:r>
              <w:rPr>
                <w:rFonts w:hint="default" w:ascii="Times New Roman" w:hAnsi="Times New Roman" w:cs="Times New Roman"/>
                <w:color w:val="auto"/>
              </w:rPr>
              <w:t>，</w:t>
            </w:r>
            <w:r>
              <w:rPr>
                <w:rFonts w:hint="default" w:ascii="Times New Roman" w:hAnsi="Times New Roman" w:eastAsia="宋体" w:cs="Times New Roman"/>
                <w:color w:val="auto"/>
                <w:sz w:val="24"/>
              </w:rPr>
              <w:t>根据水平衡，本项目生产废水量</w:t>
            </w:r>
            <w:r>
              <w:rPr>
                <w:rFonts w:hint="default" w:ascii="Times New Roman" w:hAnsi="Times New Roman" w:eastAsia="宋体" w:cs="Times New Roman"/>
                <w:color w:val="auto"/>
                <w:sz w:val="24"/>
                <w:highlight w:val="none"/>
              </w:rPr>
              <w:t>有17</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pacing w:val="-7"/>
                <w:sz w:val="24"/>
                <w:szCs w:val="24"/>
                <w:highlight w:val="none"/>
                <w:lang w:eastAsia="zh-CN"/>
              </w:rPr>
              <w:t>（</w:t>
            </w:r>
            <w:r>
              <w:rPr>
                <w:rFonts w:hint="default" w:ascii="Times New Roman" w:hAnsi="Times New Roman" w:eastAsia="宋体" w:cs="Times New Roman"/>
                <w:color w:val="auto"/>
                <w:spacing w:val="-7"/>
                <w:sz w:val="24"/>
                <w:szCs w:val="24"/>
                <w:highlight w:val="none"/>
                <w:lang w:val="en-US" w:eastAsia="zh-CN"/>
              </w:rPr>
              <w:t>其中表面处理废水水量163m</w:t>
            </w:r>
            <w:r>
              <w:rPr>
                <w:rFonts w:hint="default" w:ascii="Times New Roman" w:hAnsi="Times New Roman" w:eastAsia="宋体" w:cs="Times New Roman"/>
                <w:color w:val="auto"/>
                <w:spacing w:val="-7"/>
                <w:sz w:val="24"/>
                <w:szCs w:val="24"/>
                <w:highlight w:val="none"/>
                <w:vertAlign w:val="superscript"/>
                <w:lang w:val="en-US" w:eastAsia="zh-CN"/>
              </w:rPr>
              <w:t>3</w:t>
            </w:r>
            <w:r>
              <w:rPr>
                <w:rFonts w:hint="default" w:ascii="Times New Roman" w:hAnsi="Times New Roman" w:eastAsia="宋体" w:cs="Times New Roman"/>
                <w:color w:val="auto"/>
                <w:spacing w:val="-7"/>
                <w:sz w:val="24"/>
                <w:szCs w:val="24"/>
                <w:highlight w:val="none"/>
                <w:lang w:val="en-US" w:eastAsia="zh-CN"/>
              </w:rPr>
              <w:t>/d），</w:t>
            </w:r>
            <w:r>
              <w:rPr>
                <w:rFonts w:hint="default" w:ascii="Times New Roman" w:hAnsi="Times New Roman" w:eastAsia="宋体" w:cs="Times New Roman"/>
                <w:color w:val="auto"/>
                <w:spacing w:val="-7"/>
                <w:sz w:val="24"/>
                <w:szCs w:val="24"/>
                <w:highlight w:val="none"/>
              </w:rPr>
              <w:t>小于厂区污水处理站处理能力</w:t>
            </w:r>
            <w:r>
              <w:rPr>
                <w:rFonts w:hint="default" w:ascii="Times New Roman" w:hAnsi="Times New Roman" w:eastAsia="宋体" w:cs="Times New Roman"/>
                <w:color w:val="auto"/>
                <w:sz w:val="24"/>
                <w:highlight w:val="none"/>
              </w:rPr>
              <w:t>。</w:t>
            </w:r>
          </w:p>
          <w:p w14:paraId="378CED71">
            <w:pPr>
              <w:pStyle w:val="72"/>
              <w:tabs>
                <w:tab w:val="left" w:pos="0"/>
                <w:tab w:val="clear" w:pos="3420"/>
              </w:tabs>
              <w:snapToGrid w:val="0"/>
              <w:spacing w:after="0"/>
              <w:ind w:left="0" w:lef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③接纳水质分析</w:t>
            </w:r>
          </w:p>
          <w:p w14:paraId="1E680A13">
            <w:pPr>
              <w:pStyle w:val="17"/>
              <w:keepNext w:val="0"/>
              <w:keepLines w:val="0"/>
              <w:pageBreakBefore w:val="0"/>
              <w:widowControl/>
              <w:kinsoku/>
              <w:wordWrap/>
              <w:overflowPunct/>
              <w:topLinePunct w:val="0"/>
              <w:autoSpaceDE/>
              <w:autoSpaceDN/>
              <w:bidi w:val="0"/>
              <w:adjustRightInd w:val="0"/>
              <w:snapToGrid w:val="0"/>
              <w:spacing w:after="0" w:line="360" w:lineRule="auto"/>
              <w:ind w:left="0" w:leftChars="0" w:firstLine="56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拟建项目表面处理生产废水主要污染物为pH、COD、氨氮、SS、铁、锌、总氮、总磷、氯化物，采用“调节池+一级pH调节池+混合池+絮凝池+沉淀池+二级pH调节池+混合池+絮凝池+沉淀池+回调池+砂滤系统+清水池”处理工艺处理。参照《HJ984-2018污染源源强核算技术指南 电镀》《HJ1097-2020 污染源源强核算技术指南 汽车制造》可知，废水采用化学沉淀法重金属处理去除效率≥98%，混凝+沉淀组合技术磷酸盐除效率75~95%（本项目处理工艺磷去除率</w:t>
            </w:r>
            <w:r>
              <w:rPr>
                <w:rFonts w:hint="default" w:ascii="Times New Roman" w:hAnsi="Times New Roman" w:eastAsia="宋体" w:cs="Times New Roman"/>
                <w:color w:val="auto"/>
                <w:sz w:val="24"/>
                <w:lang w:val="en-US" w:eastAsia="zh-CN"/>
              </w:rPr>
              <w:t>取中间值8</w:t>
            </w:r>
            <w:r>
              <w:rPr>
                <w:rFonts w:hint="default" w:ascii="Times New Roman" w:hAnsi="Times New Roman" w:eastAsia="宋体" w:cs="Times New Roman"/>
                <w:color w:val="auto"/>
                <w:sz w:val="24"/>
              </w:rPr>
              <w:t>5%）。</w:t>
            </w:r>
            <w:r>
              <w:rPr>
                <w:rFonts w:hint="default" w:ascii="Times New Roman" w:hAnsi="Times New Roman" w:eastAsia="宋体" w:cs="Times New Roman"/>
                <w:color w:val="auto"/>
                <w:sz w:val="24"/>
                <w:lang w:val="en-US" w:eastAsia="zh-CN"/>
              </w:rPr>
              <w:t>同时</w:t>
            </w:r>
            <w:r>
              <w:rPr>
                <w:rFonts w:hint="default" w:ascii="Times New Roman" w:hAnsi="Times New Roman" w:eastAsia="宋体" w:cs="Times New Roman"/>
                <w:color w:val="auto"/>
                <w:sz w:val="24"/>
              </w:rPr>
              <w:t>检索福建省污染源监测信息综合发布平台，</w:t>
            </w:r>
            <w:r>
              <w:rPr>
                <w:rFonts w:hint="default" w:ascii="Times New Roman" w:hAnsi="Times New Roman" w:cs="Times New Roman"/>
                <w:color w:val="auto"/>
                <w:sz w:val="24"/>
                <w:lang w:val="en-US" w:eastAsia="zh-CN"/>
              </w:rPr>
              <w:t>位于</w:t>
            </w:r>
            <w:r>
              <w:rPr>
                <w:rFonts w:hint="default" w:ascii="Times New Roman" w:hAnsi="Times New Roman" w:cs="Times New Roman"/>
                <w:color w:val="auto"/>
                <w:sz w:val="24"/>
              </w:rPr>
              <w:t>沙县金古工业园区</w:t>
            </w:r>
            <w:r>
              <w:rPr>
                <w:rFonts w:hint="default" w:ascii="Times New Roman" w:hAnsi="Times New Roman" w:cs="Times New Roman"/>
                <w:color w:val="auto"/>
                <w:sz w:val="24"/>
                <w:lang w:val="en-US" w:eastAsia="zh-CN"/>
              </w:rPr>
              <w:t>的</w:t>
            </w:r>
            <w:r>
              <w:rPr>
                <w:rFonts w:hint="default" w:ascii="Times New Roman" w:hAnsi="Times New Roman" w:eastAsia="宋体" w:cs="Times New Roman"/>
                <w:color w:val="auto"/>
                <w:sz w:val="24"/>
              </w:rPr>
              <w:t>福建省闽耀金属制品有限公司（酸洗磷化工艺）2025年~2026年1月废水排放口总磷0.13~0.69 mg/L、SS 10~16 mg/L，总磷</w:t>
            </w:r>
            <w:r>
              <w:rPr>
                <w:rFonts w:hint="default" w:ascii="Times New Roman" w:hAnsi="Times New Roman" w:cs="Times New Roman"/>
                <w:color w:val="auto"/>
                <w:sz w:val="24"/>
                <w:lang w:val="en-US" w:eastAsia="zh-CN"/>
              </w:rPr>
              <w:t>排放浓度＜5</w:t>
            </w:r>
            <w:r>
              <w:rPr>
                <w:rFonts w:hint="default" w:ascii="Times New Roman" w:hAnsi="Times New Roman" w:eastAsia="宋体" w:cs="Times New Roman"/>
                <w:color w:val="auto"/>
                <w:sz w:val="24"/>
              </w:rPr>
              <w:t>mg/L可行。</w:t>
            </w:r>
          </w:p>
          <w:p w14:paraId="58937FF1">
            <w:pPr>
              <w:pStyle w:val="72"/>
              <w:tabs>
                <w:tab w:val="left" w:pos="0"/>
                <w:tab w:val="clear" w:pos="3420"/>
              </w:tabs>
              <w:snapToGrid w:val="0"/>
              <w:spacing w:after="0"/>
              <w:ind w:left="0" w:leftChars="0" w:firstLine="480" w:firstLineChars="200"/>
              <w:rPr>
                <w:rFonts w:hint="default" w:ascii="Times New Roman" w:hAnsi="Times New Roman" w:eastAsia="宋体" w:cs="Times New Roman"/>
                <w:color w:val="auto"/>
                <w:sz w:val="24"/>
                <w:highlight w:val="yellow"/>
              </w:rPr>
            </w:pPr>
            <w:r>
              <w:rPr>
                <w:rFonts w:hint="default" w:ascii="Times New Roman" w:hAnsi="Times New Roman" w:eastAsia="宋体" w:cs="Times New Roman"/>
                <w:color w:val="auto"/>
                <w:sz w:val="24"/>
              </w:rPr>
              <w:t>根据源强分析，处理后废水污染物</w:t>
            </w:r>
            <w:r>
              <w:rPr>
                <w:rFonts w:hint="default" w:ascii="Times New Roman" w:hAnsi="Times New Roman" w:eastAsia="宋体" w:cs="Times New Roman"/>
                <w:color w:val="auto"/>
                <w:sz w:val="24"/>
                <w:szCs w:val="24"/>
              </w:rPr>
              <w:t>可以达到</w:t>
            </w:r>
            <w:r>
              <w:rPr>
                <w:rFonts w:hint="default" w:ascii="Times New Roman" w:hAnsi="Times New Roman" w:eastAsia="宋体" w:cs="Times New Roman"/>
                <w:color w:val="auto"/>
                <w:sz w:val="24"/>
                <w:szCs w:val="24"/>
                <w:lang w:bidi="ar"/>
              </w:rPr>
              <w:t>《污水综合排放标准》（GB8978-1996）中的三级排放标准，其中氨氮执行《污水排入城镇下水道水质标准》（GB/T 31962-2015）表1中B等级标准、锌执行《城镇污水处理厂污染物排放标准》（GB18918-2002）表3以及金古北片区污水处理厂</w:t>
            </w:r>
            <w:r>
              <w:rPr>
                <w:rFonts w:hint="default" w:ascii="Times New Roman" w:hAnsi="Times New Roman" w:eastAsia="宋体" w:cs="Times New Roman"/>
                <w:color w:val="auto"/>
                <w:kern w:val="18"/>
                <w:sz w:val="24"/>
                <w:szCs w:val="24"/>
              </w:rPr>
              <w:t>进厂</w:t>
            </w:r>
            <w:r>
              <w:rPr>
                <w:rFonts w:hint="default" w:ascii="Times New Roman" w:hAnsi="Times New Roman" w:eastAsia="宋体" w:cs="Times New Roman"/>
                <w:color w:val="auto"/>
                <w:kern w:val="18"/>
                <w:sz w:val="24"/>
                <w:szCs w:val="24"/>
                <w:highlight w:val="none"/>
              </w:rPr>
              <w:t>（接管）污水水质要求</w:t>
            </w:r>
            <w:r>
              <w:rPr>
                <w:rFonts w:hint="default" w:ascii="Times New Roman" w:hAnsi="Times New Roman" w:eastAsia="宋体" w:cs="Times New Roman"/>
                <w:color w:val="auto"/>
                <w:spacing w:val="-1"/>
                <w:sz w:val="24"/>
                <w:szCs w:val="24"/>
                <w:highlight w:val="none"/>
              </w:rPr>
              <w:t>，</w:t>
            </w:r>
            <w:r>
              <w:rPr>
                <w:rFonts w:hint="default" w:ascii="Times New Roman" w:hAnsi="Times New Roman" w:eastAsia="宋体" w:cs="Times New Roman"/>
                <w:color w:val="auto"/>
                <w:sz w:val="24"/>
                <w:highlight w:val="none"/>
              </w:rPr>
              <w:t>不会对</w:t>
            </w:r>
            <w:r>
              <w:rPr>
                <w:rFonts w:hint="default" w:ascii="Times New Roman" w:hAnsi="Times New Roman" w:eastAsia="宋体" w:cs="Times New Roman"/>
                <w:color w:val="auto"/>
                <w:kern w:val="18"/>
                <w:sz w:val="24"/>
                <w:szCs w:val="24"/>
                <w:highlight w:val="none"/>
              </w:rPr>
              <w:t>金古北片区污水处理厂</w:t>
            </w:r>
            <w:r>
              <w:rPr>
                <w:rFonts w:hint="default" w:ascii="Times New Roman" w:hAnsi="Times New Roman" w:eastAsia="宋体" w:cs="Times New Roman"/>
                <w:color w:val="auto"/>
                <w:sz w:val="24"/>
                <w:highlight w:val="none"/>
              </w:rPr>
              <w:t>处理负荷产生冲击。</w:t>
            </w:r>
          </w:p>
          <w:p w14:paraId="0FD7DCB4">
            <w:pPr>
              <w:pStyle w:val="72"/>
              <w:tabs>
                <w:tab w:val="left" w:pos="0"/>
                <w:tab w:val="clear" w:pos="3420"/>
              </w:tabs>
              <w:snapToGrid w:val="0"/>
              <w:spacing w:after="0"/>
              <w:ind w:left="0" w:lef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综合以上分析，本项目污</w:t>
            </w:r>
            <w:r>
              <w:rPr>
                <w:rFonts w:hint="default" w:ascii="Times New Roman" w:hAnsi="Times New Roman" w:eastAsia="宋体" w:cs="Times New Roman"/>
                <w:color w:val="auto"/>
                <w:spacing w:val="-7"/>
                <w:sz w:val="24"/>
                <w:szCs w:val="24"/>
              </w:rPr>
              <w:t>水处理站治理措施</w:t>
            </w:r>
            <w:r>
              <w:rPr>
                <w:rFonts w:hint="default" w:ascii="Times New Roman" w:hAnsi="Times New Roman" w:eastAsia="宋体" w:cs="Times New Roman"/>
                <w:color w:val="auto"/>
                <w:sz w:val="24"/>
              </w:rPr>
              <w:t>是可行的。</w:t>
            </w:r>
          </w:p>
          <w:p w14:paraId="21C4CE9E">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（2）废水依托沙县金古工业园区集中污水处理厂可行性分析</w:t>
            </w:r>
          </w:p>
          <w:p w14:paraId="793409DB">
            <w:pPr>
              <w:pStyle w:val="162"/>
              <w:spacing w:line="360" w:lineRule="auto"/>
              <w:ind w:firstLine="480" w:firstLineChars="200"/>
              <w:rPr>
                <w:rFonts w:hint="default" w:ascii="Times New Roman" w:hAnsi="Times New Roman" w:cs="Times New Roman"/>
                <w:snapToGrid w:val="0"/>
                <w:color w:val="auto"/>
                <w:kern w:val="0"/>
                <w:sz w:val="24"/>
                <w:szCs w:val="24"/>
              </w:rPr>
            </w:pPr>
            <w:r>
              <w:rPr>
                <w:rFonts w:hint="default" w:ascii="Times New Roman" w:hAnsi="Times New Roman" w:eastAsia="宋体" w:cs="Times New Roman"/>
                <w:color w:val="auto"/>
                <w:kern w:val="2"/>
                <w:sz w:val="24"/>
                <w:szCs w:val="24"/>
                <w:lang w:val="en-US" w:eastAsia="zh-CN" w:bidi="ar-SA"/>
              </w:rPr>
              <w:t>①沙县金古北片区污水处理厂概</w:t>
            </w:r>
            <w:r>
              <w:rPr>
                <w:rFonts w:hint="default" w:ascii="Times New Roman" w:hAnsi="Times New Roman" w:cs="Times New Roman"/>
                <w:snapToGrid w:val="0"/>
                <w:color w:val="auto"/>
                <w:kern w:val="0"/>
                <w:sz w:val="24"/>
                <w:szCs w:val="24"/>
              </w:rPr>
              <w:t>况</w:t>
            </w:r>
          </w:p>
          <w:p w14:paraId="63438FB2">
            <w:pPr>
              <w:widowControl/>
              <w:adjustRightInd w:val="0"/>
              <w:snapToGrid w:val="0"/>
              <w:spacing w:line="360" w:lineRule="auto"/>
              <w:ind w:firstLine="480" w:firstLineChars="200"/>
              <w:jc w:val="left"/>
              <w:rPr>
                <w:rFonts w:hint="default" w:ascii="Times New Roman" w:hAnsi="Times New Roman" w:cs="Times New Roman"/>
                <w:snapToGrid w:val="0"/>
                <w:color w:val="auto"/>
                <w:kern w:val="0"/>
                <w:sz w:val="24"/>
              </w:rPr>
            </w:pPr>
            <w:r>
              <w:rPr>
                <w:rFonts w:hint="default" w:ascii="Times New Roman" w:hAnsi="Times New Roman" w:cs="Times New Roman"/>
                <w:snapToGrid w:val="0"/>
                <w:color w:val="auto"/>
                <w:kern w:val="0"/>
                <w:sz w:val="24"/>
              </w:rPr>
              <w:t>沙县金古北区污水处理厂位于园区西侧，</w:t>
            </w:r>
            <w:r>
              <w:rPr>
                <w:rFonts w:hint="default" w:ascii="Times New Roman" w:hAnsi="Times New Roman" w:cs="Times New Roman"/>
                <w:color w:val="auto"/>
                <w:kern w:val="0"/>
                <w:sz w:val="24"/>
                <w:lang w:bidi="ar"/>
              </w:rPr>
              <w:t>服务范围为</w:t>
            </w:r>
            <w:r>
              <w:rPr>
                <w:rFonts w:hint="default" w:ascii="Times New Roman" w:hAnsi="Times New Roman" w:cs="Times New Roman"/>
                <w:color w:val="auto"/>
                <w:sz w:val="24"/>
              </w:rPr>
              <w:t>沙县金古工业园区</w:t>
            </w:r>
            <w:r>
              <w:rPr>
                <w:rFonts w:hint="default" w:ascii="Times New Roman" w:hAnsi="Times New Roman" w:cs="Times New Roman"/>
                <w:color w:val="auto"/>
                <w:kern w:val="0"/>
                <w:sz w:val="24"/>
                <w:lang w:bidi="ar"/>
              </w:rPr>
              <w:t>及周边的古县村。</w:t>
            </w:r>
            <w:r>
              <w:rPr>
                <w:rFonts w:hint="default" w:ascii="Times New Roman" w:hAnsi="Times New Roman" w:cs="Times New Roman"/>
                <w:snapToGrid w:val="0"/>
                <w:color w:val="auto"/>
                <w:kern w:val="0"/>
                <w:sz w:val="24"/>
              </w:rPr>
              <w:t>污水处理厂处理规模为2000t/d，采用“采用格栅调节+厌氧+缺氧+好氧（A2/O）+沉淀工艺”，目前正在提标改造，改造后尾水排放执行《城镇污水处理厂污染物排放标准》（GB18918-2002）一级A标准，尾水排入沙溪。</w:t>
            </w:r>
          </w:p>
          <w:p w14:paraId="49A99539">
            <w:pPr>
              <w:pStyle w:val="162"/>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②污水水量的接纳可行性分析</w:t>
            </w:r>
          </w:p>
          <w:p w14:paraId="3B48C70B">
            <w:pPr>
              <w:pStyle w:val="162"/>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snapToGrid w:val="0"/>
                <w:color w:val="auto"/>
                <w:kern w:val="0"/>
                <w:sz w:val="24"/>
                <w:szCs w:val="24"/>
              </w:rPr>
              <w:t>沙县金古北区污水处理厂</w:t>
            </w:r>
            <w:r>
              <w:rPr>
                <w:rFonts w:hint="default" w:ascii="Times New Roman" w:hAnsi="Times New Roman" w:cs="Times New Roman"/>
                <w:color w:val="auto"/>
                <w:sz w:val="24"/>
                <w:szCs w:val="24"/>
              </w:rPr>
              <w:t>已建成并正常运转，根据《沙县金古经济开发区北片区控制性详细规划（202</w:t>
            </w:r>
            <w:r>
              <w:rPr>
                <w:rFonts w:hint="default" w:ascii="Times New Roman" w:hAnsi="Times New Roman" w:cs="Times New Roman"/>
                <w:color w:val="auto"/>
                <w:sz w:val="24"/>
                <w:szCs w:val="24"/>
                <w:highlight w:val="none"/>
              </w:rPr>
              <w:t>1 年版）环境影响报告书》，</w:t>
            </w:r>
            <w:r>
              <w:rPr>
                <w:rFonts w:hint="default" w:ascii="Times New Roman" w:hAnsi="Times New Roman" w:cs="Times New Roman"/>
                <w:snapToGrid w:val="0"/>
                <w:color w:val="auto"/>
                <w:kern w:val="0"/>
                <w:sz w:val="24"/>
              </w:rPr>
              <w:t>污水处理厂处理规模为2000t/d，</w:t>
            </w:r>
            <w:r>
              <w:rPr>
                <w:rFonts w:hint="default" w:ascii="Times New Roman" w:hAnsi="Times New Roman" w:cs="Times New Roman"/>
                <w:color w:val="auto"/>
                <w:kern w:val="0"/>
                <w:sz w:val="24"/>
                <w:szCs w:val="24"/>
                <w:highlight w:val="none"/>
                <w:lang w:bidi="ar"/>
              </w:rPr>
              <w:t>近年来日均最大排放量约 300m</w:t>
            </w:r>
            <w:r>
              <w:rPr>
                <w:rFonts w:hint="default" w:ascii="Times New Roman" w:hAnsi="Times New Roman" w:cs="Times New Roman"/>
                <w:color w:val="auto"/>
                <w:kern w:val="0"/>
                <w:sz w:val="24"/>
                <w:szCs w:val="24"/>
                <w:highlight w:val="none"/>
                <w:vertAlign w:val="superscript"/>
                <w:lang w:bidi="ar"/>
              </w:rPr>
              <w:t>3</w:t>
            </w:r>
            <w:r>
              <w:rPr>
                <w:rFonts w:hint="default" w:ascii="Times New Roman" w:hAnsi="Times New Roman" w:cs="Times New Roman"/>
                <w:color w:val="auto"/>
                <w:kern w:val="0"/>
                <w:sz w:val="24"/>
                <w:szCs w:val="24"/>
                <w:highlight w:val="none"/>
                <w:lang w:bidi="ar"/>
              </w:rPr>
              <w:t xml:space="preserve"> /d</w:t>
            </w:r>
            <w:r>
              <w:rPr>
                <w:rFonts w:hint="default" w:ascii="Times New Roman" w:hAnsi="Times New Roman" w:cs="Times New Roman"/>
                <w:color w:val="auto"/>
                <w:sz w:val="24"/>
                <w:szCs w:val="24"/>
                <w:highlight w:val="none"/>
              </w:rPr>
              <w:t>。本项目生产废水排放量17</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/d，全厂生活污水排放量5.1m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/d，全厂废水排放量1</w:t>
            </w:r>
            <w:r>
              <w:rPr>
                <w:rFonts w:hint="default" w:ascii="Times New Roman" w:hAnsi="Times New Roman" w:cs="Times New Roman"/>
                <w:color w:val="auto"/>
                <w:sz w:val="24"/>
                <w:szCs w:val="24"/>
                <w:highlight w:val="none"/>
                <w:lang w:val="en-US" w:eastAsia="zh-CN"/>
              </w:rPr>
              <w:t>80.1</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/d，废水排放量占</w:t>
            </w:r>
            <w:r>
              <w:rPr>
                <w:rFonts w:hint="default" w:ascii="Times New Roman" w:hAnsi="Times New Roman" w:cs="Times New Roman"/>
                <w:snapToGrid w:val="0"/>
                <w:color w:val="auto"/>
                <w:kern w:val="0"/>
                <w:sz w:val="24"/>
                <w:szCs w:val="24"/>
                <w:highlight w:val="none"/>
              </w:rPr>
              <w:t>沙县金古北区污水处理厂</w:t>
            </w:r>
            <w:r>
              <w:rPr>
                <w:rFonts w:hint="default" w:ascii="Times New Roman" w:hAnsi="Times New Roman" w:cs="Times New Roman"/>
                <w:color w:val="auto"/>
                <w:sz w:val="24"/>
                <w:szCs w:val="24"/>
                <w:highlight w:val="none"/>
              </w:rPr>
              <w:t>剩余处理能力的10.</w:t>
            </w:r>
            <w:r>
              <w:rPr>
                <w:rFonts w:hint="default"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%，因此</w:t>
            </w:r>
            <w:r>
              <w:rPr>
                <w:rFonts w:hint="default" w:ascii="Times New Roman" w:hAnsi="Times New Roman" w:cs="Times New Roman"/>
                <w:snapToGrid w:val="0"/>
                <w:color w:val="auto"/>
                <w:kern w:val="0"/>
                <w:sz w:val="24"/>
                <w:szCs w:val="24"/>
                <w:highlight w:val="none"/>
              </w:rPr>
              <w:t>沙县金古北区污水处理厂</w:t>
            </w:r>
            <w:r>
              <w:rPr>
                <w:rFonts w:hint="default" w:ascii="Times New Roman" w:hAnsi="Times New Roman" w:cs="Times New Roman"/>
                <w:color w:val="auto"/>
                <w:sz w:val="24"/>
                <w:szCs w:val="24"/>
                <w:highlight w:val="none"/>
              </w:rPr>
              <w:t>有足够余量接收本项目污水。</w:t>
            </w:r>
          </w:p>
          <w:p w14:paraId="039F2317">
            <w:pPr>
              <w:pStyle w:val="162"/>
              <w:spacing w:line="360" w:lineRule="auto"/>
              <w:ind w:firstLine="482"/>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③处理工艺的可行性分析</w:t>
            </w:r>
          </w:p>
          <w:p w14:paraId="30BC444B">
            <w:pPr>
              <w:pStyle w:val="162"/>
              <w:spacing w:line="360" w:lineRule="auto"/>
              <w:ind w:firstLine="482"/>
              <w:rPr>
                <w:rFonts w:hint="default" w:ascii="Times New Roman" w:hAnsi="Times New Roman" w:cs="Times New Roman"/>
                <w:snapToGrid w:val="0"/>
                <w:color w:val="auto"/>
                <w:kern w:val="0"/>
                <w:sz w:val="24"/>
                <w:szCs w:val="24"/>
              </w:rPr>
            </w:pPr>
            <w:r>
              <w:rPr>
                <w:rFonts w:hint="default" w:ascii="Times New Roman" w:hAnsi="Times New Roman" w:cs="Times New Roman"/>
                <w:color w:val="auto"/>
                <w:sz w:val="24"/>
                <w:szCs w:val="24"/>
              </w:rPr>
              <w:t>《沙县金古经济开发区北片区控制性详细规划（2021年版）环境影响报告书》，</w:t>
            </w:r>
            <w:r>
              <w:rPr>
                <w:rFonts w:hint="default" w:ascii="Times New Roman" w:hAnsi="Times New Roman" w:cs="Times New Roman"/>
                <w:snapToGrid w:val="0"/>
                <w:color w:val="auto"/>
                <w:kern w:val="0"/>
                <w:sz w:val="24"/>
                <w:szCs w:val="24"/>
              </w:rPr>
              <w:t>沙县金古北区污水处理厂</w:t>
            </w:r>
            <w:r>
              <w:rPr>
                <w:rFonts w:hint="default" w:ascii="Times New Roman" w:hAnsi="Times New Roman" w:cs="Times New Roman"/>
                <w:color w:val="auto"/>
                <w:sz w:val="24"/>
                <w:szCs w:val="24"/>
              </w:rPr>
              <w:t>主要以处理常规水污染物COD、BOD</w:t>
            </w:r>
            <w:r>
              <w:rPr>
                <w:rFonts w:hint="default" w:ascii="Times New Roman" w:hAnsi="Times New Roman" w:cs="Times New Roman"/>
                <w:color w:val="auto"/>
                <w:sz w:val="24"/>
                <w:szCs w:val="24"/>
                <w:vertAlign w:val="subscript"/>
              </w:rPr>
              <w:t>5</w:t>
            </w:r>
            <w:r>
              <w:rPr>
                <w:rFonts w:hint="default" w:ascii="Times New Roman" w:hAnsi="Times New Roman" w:cs="Times New Roman"/>
                <w:color w:val="auto"/>
                <w:sz w:val="24"/>
                <w:szCs w:val="24"/>
              </w:rPr>
              <w:t>、氨氮、磷和SS为主，对本项目的特征水污染因子总锌未设置相关处理工艺，本项目要求将生产废水处理达《城镇污水处理厂污染物排放标准》（GB18918-2002）表3的指标。根据废水源强分析，拟建项目废水污染物能达到相应的排放限值，外排废水水质在</w:t>
            </w:r>
            <w:r>
              <w:rPr>
                <w:rFonts w:hint="default" w:ascii="Times New Roman" w:hAnsi="Times New Roman" w:cs="Times New Roman"/>
                <w:snapToGrid w:val="0"/>
                <w:color w:val="auto"/>
                <w:kern w:val="0"/>
                <w:sz w:val="24"/>
                <w:szCs w:val="24"/>
              </w:rPr>
              <w:t>沙县金古北区污水处理厂</w:t>
            </w:r>
            <w:r>
              <w:rPr>
                <w:rFonts w:hint="default" w:ascii="Times New Roman" w:hAnsi="Times New Roman" w:cs="Times New Roman"/>
                <w:color w:val="auto"/>
                <w:sz w:val="24"/>
                <w:szCs w:val="24"/>
              </w:rPr>
              <w:t>的接收水质范围内，不会对该污水处理厂造成污染负荷冲击</w:t>
            </w:r>
            <w:r>
              <w:rPr>
                <w:rFonts w:hint="default" w:ascii="Times New Roman" w:hAnsi="Times New Roman" w:cs="Times New Roman"/>
                <w:snapToGrid w:val="0"/>
                <w:color w:val="auto"/>
                <w:kern w:val="0"/>
                <w:sz w:val="24"/>
                <w:szCs w:val="24"/>
              </w:rPr>
              <w:t>。</w:t>
            </w:r>
          </w:p>
          <w:p w14:paraId="56C272E5">
            <w:pPr>
              <w:pStyle w:val="162"/>
              <w:spacing w:line="360" w:lineRule="auto"/>
              <w:ind w:firstLine="482"/>
              <w:rPr>
                <w:rFonts w:hint="default" w:ascii="Times New Roman" w:hAnsi="Times New Roman" w:cs="Times New Roman"/>
                <w:color w:val="auto"/>
                <w:sz w:val="24"/>
                <w:szCs w:val="24"/>
              </w:rPr>
            </w:pPr>
            <w:r>
              <w:rPr>
                <w:rFonts w:hint="default" w:ascii="Times New Roman" w:hAnsi="Times New Roman" w:cs="Times New Roman"/>
                <w:snapToGrid w:val="0"/>
                <w:color w:val="auto"/>
                <w:kern w:val="0"/>
                <w:sz w:val="24"/>
                <w:szCs w:val="24"/>
              </w:rPr>
              <w:t>④</w:t>
            </w:r>
            <w:r>
              <w:rPr>
                <w:rFonts w:hint="default" w:ascii="Times New Roman" w:hAnsi="Times New Roman" w:cs="Times New Roman"/>
                <w:color w:val="auto"/>
                <w:sz w:val="24"/>
                <w:szCs w:val="24"/>
              </w:rPr>
              <w:t>接管可行性</w:t>
            </w:r>
          </w:p>
          <w:p w14:paraId="3456C730">
            <w:pPr>
              <w:pStyle w:val="162"/>
              <w:spacing w:line="360" w:lineRule="auto"/>
              <w:ind w:firstLine="482"/>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项目位于福建省三明市沙县金古工业园区，属于</w:t>
            </w:r>
            <w:r>
              <w:rPr>
                <w:rFonts w:hint="default" w:ascii="Times New Roman" w:hAnsi="Times New Roman" w:cs="Times New Roman"/>
                <w:snapToGrid w:val="0"/>
                <w:color w:val="auto"/>
                <w:kern w:val="0"/>
                <w:sz w:val="24"/>
                <w:szCs w:val="24"/>
              </w:rPr>
              <w:t>沙县金古北区污水处理厂</w:t>
            </w:r>
            <w:r>
              <w:rPr>
                <w:rFonts w:hint="default" w:ascii="Times New Roman" w:hAnsi="Times New Roman" w:cs="Times New Roman"/>
                <w:color w:val="auto"/>
                <w:sz w:val="24"/>
                <w:szCs w:val="24"/>
              </w:rPr>
              <w:t>的服务范围（见图4.2-4），本评价要求设置规范化的生产废水总排口和生活污水排放口，在接入市政管道后，方可投产。</w:t>
            </w:r>
          </w:p>
          <w:p w14:paraId="5B2837AE">
            <w:pPr>
              <w:keepNext w:val="0"/>
              <w:keepLines w:val="0"/>
              <w:pageBreakBefore w:val="0"/>
              <w:widowControl w:val="0"/>
              <w:kinsoku/>
              <w:wordWrap/>
              <w:overflowPunct/>
              <w:topLinePunct w:val="0"/>
              <w:autoSpaceDE/>
              <w:autoSpaceDN/>
              <w:bidi w:val="0"/>
              <w:adjustRightInd/>
              <w:snapToGrid w:val="0"/>
              <w:textAlignment w:val="auto"/>
              <w:rPr>
                <w:rFonts w:hint="default"/>
                <w:color w:val="auto"/>
              </w:rPr>
            </w:pPr>
          </w:p>
          <w:p w14:paraId="0DD67223">
            <w:pPr>
              <w:adjustRightInd w:val="0"/>
              <w:snapToGrid w:val="0"/>
              <w:spacing w:line="360" w:lineRule="auto"/>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drawing>
                <wp:inline distT="0" distB="0" distL="114300" distR="114300">
                  <wp:extent cx="5499100" cy="3554730"/>
                  <wp:effectExtent l="0" t="0" r="6350" b="7620"/>
                  <wp:docPr id="9" name="图片 9" descr="3aee8bae-ebb0-4066-8443-2d96d61f8c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3aee8bae-ebb0-4066-8443-2d96d61f8c3c"/>
                          <pic:cNvPicPr>
                            <a:picLocks noChangeAspect="1"/>
                          </pic:cNvPicPr>
                        </pic:nvPicPr>
                        <pic:blipFill>
                          <a:blip r:embed="rId29"/>
                          <a:stretch>
                            <a:fillRect/>
                          </a:stretch>
                        </pic:blipFill>
                        <pic:spPr>
                          <a:xfrm>
                            <a:off x="0" y="0"/>
                            <a:ext cx="5499100" cy="3554730"/>
                          </a:xfrm>
                          <a:prstGeom prst="rect">
                            <a:avLst/>
                          </a:prstGeom>
                        </pic:spPr>
                      </pic:pic>
                    </a:graphicData>
                  </a:graphic>
                </wp:inline>
              </w:drawing>
            </w:r>
          </w:p>
          <w:p w14:paraId="6BFB16E5">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图4.2-4</w:t>
            </w:r>
            <w:r>
              <w:rPr>
                <w:rFonts w:hint="eastAsia" w:eastAsia="黑体" w:cs="Times New Roman"/>
                <w:b w:val="0"/>
                <w:bCs/>
                <w:color w:val="auto"/>
                <w:lang w:val="en-US" w:eastAsia="zh-CN"/>
              </w:rPr>
              <w:t xml:space="preserve">  </w:t>
            </w:r>
            <w:r>
              <w:rPr>
                <w:rFonts w:hint="default" w:ascii="Times New Roman" w:hAnsi="Times New Roman" w:eastAsia="黑体" w:cs="Times New Roman"/>
                <w:b w:val="0"/>
                <w:bCs/>
                <w:color w:val="auto"/>
              </w:rPr>
              <w:t>园区排水设施现状图</w:t>
            </w:r>
          </w:p>
          <w:p w14:paraId="75CE2F7C">
            <w:pPr>
              <w:keepNext w:val="0"/>
              <w:keepLines w:val="0"/>
              <w:pageBreakBefore w:val="0"/>
              <w:widowControl w:val="0"/>
              <w:kinsoku/>
              <w:wordWrap/>
              <w:overflowPunct/>
              <w:topLinePunct w:val="0"/>
              <w:autoSpaceDE/>
              <w:autoSpaceDN/>
              <w:bidi w:val="0"/>
              <w:adjustRightInd/>
              <w:snapToGrid w:val="0"/>
              <w:spacing w:before="190" w:beforeLines="50" w:line="360" w:lineRule="auto"/>
              <w:ind w:left="420"/>
              <w:textAlignment w:val="auto"/>
              <w:rPr>
                <w:rFonts w:hint="default" w:ascii="Times New Roman" w:hAnsi="Times New Roman" w:cs="Times New Roman"/>
                <w:color w:val="auto"/>
                <w:sz w:val="24"/>
              </w:rPr>
            </w:pPr>
            <w:r>
              <w:rPr>
                <w:rFonts w:hint="default" w:ascii="Times New Roman" w:hAnsi="Times New Roman" w:cs="Times New Roman"/>
                <w:color w:val="auto"/>
                <w:sz w:val="24"/>
              </w:rPr>
              <w:t>（3）雨水排放分析</w:t>
            </w:r>
          </w:p>
          <w:p w14:paraId="51DFC348">
            <w:pPr>
              <w:pStyle w:val="162"/>
              <w:keepNext w:val="0"/>
              <w:keepLines w:val="0"/>
              <w:pageBreakBefore w:val="0"/>
              <w:widowControl w:val="0"/>
              <w:kinsoku/>
              <w:wordWrap/>
              <w:overflowPunct/>
              <w:topLinePunct w:val="0"/>
              <w:autoSpaceDE/>
              <w:autoSpaceDN/>
              <w:bidi w:val="0"/>
              <w:snapToGrid w:val="0"/>
              <w:spacing w:line="360" w:lineRule="auto"/>
              <w:ind w:firstLine="482"/>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rPr>
              <w:t>项目在厂区低洼处设计1座409m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初期雨水池，全厂重新建设雨水收集管网，初期雨水池设置切换阀门，初期雨污水收集后经沉淀处理排放市政雨水管网。结合园区设计改造雨水管，改造完成后，厂区设初期雨水池排放口可与市政雨水管道相接，雨水排放可行（</w:t>
            </w:r>
            <w:r>
              <w:rPr>
                <w:rFonts w:hint="default" w:ascii="Times New Roman" w:hAnsi="Times New Roman" w:cs="Times New Roman"/>
                <w:color w:val="auto"/>
                <w:sz w:val="24"/>
                <w:szCs w:val="24"/>
                <w:highlight w:val="none"/>
              </w:rPr>
              <w:t>全厂雨污管线图见附图</w:t>
            </w:r>
            <w:r>
              <w:rPr>
                <w:rFonts w:hint="default" w:ascii="Times New Roman" w:hAnsi="Times New Roman" w:cs="Times New Roman"/>
                <w:color w:val="auto"/>
                <w:sz w:val="24"/>
                <w:szCs w:val="24"/>
                <w:highlight w:val="none"/>
                <w:lang w:val="en-US" w:eastAsia="zh-CN"/>
              </w:rPr>
              <w:t>七</w:t>
            </w:r>
            <w:r>
              <w:rPr>
                <w:rFonts w:hint="default" w:ascii="Times New Roman" w:hAnsi="Times New Roman" w:cs="Times New Roman"/>
                <w:color w:val="auto"/>
                <w:sz w:val="24"/>
                <w:szCs w:val="24"/>
                <w:highlight w:val="none"/>
              </w:rPr>
              <w:t>）。</w:t>
            </w:r>
          </w:p>
          <w:p w14:paraId="4CB38209">
            <w:pPr>
              <w:pStyle w:val="162"/>
              <w:keepNext w:val="0"/>
              <w:keepLines w:val="0"/>
              <w:pageBreakBefore w:val="0"/>
              <w:widowControl w:val="0"/>
              <w:kinsoku/>
              <w:wordWrap/>
              <w:overflowPunct/>
              <w:topLinePunct w:val="0"/>
              <w:autoSpaceDE/>
              <w:autoSpaceDN/>
              <w:bidi w:val="0"/>
              <w:snapToGrid w:val="0"/>
              <w:spacing w:line="360" w:lineRule="auto"/>
              <w:ind w:firstLine="482"/>
              <w:textAlignment w:val="auto"/>
              <w:rPr>
                <w:rFonts w:hint="default" w:ascii="Times New Roman" w:hAnsi="Times New Roman" w:cs="Times New Roman"/>
                <w:color w:val="auto"/>
                <w:sz w:val="24"/>
                <w:szCs w:val="24"/>
                <w:highlight w:val="none"/>
              </w:rPr>
            </w:pPr>
          </w:p>
          <w:p w14:paraId="371A2384">
            <w:pPr>
              <w:pStyle w:val="162"/>
              <w:keepNext w:val="0"/>
              <w:keepLines w:val="0"/>
              <w:pageBreakBefore w:val="0"/>
              <w:widowControl w:val="0"/>
              <w:kinsoku/>
              <w:wordWrap/>
              <w:overflowPunct/>
              <w:topLinePunct w:val="0"/>
              <w:autoSpaceDE/>
              <w:autoSpaceDN/>
              <w:bidi w:val="0"/>
              <w:snapToGrid w:val="0"/>
              <w:spacing w:line="360" w:lineRule="auto"/>
              <w:ind w:firstLine="482"/>
              <w:textAlignment w:val="auto"/>
              <w:rPr>
                <w:rFonts w:hint="default" w:ascii="Times New Roman" w:hAnsi="Times New Roman" w:cs="Times New Roman"/>
                <w:color w:val="auto"/>
                <w:sz w:val="24"/>
                <w:szCs w:val="24"/>
                <w:highlight w:val="none"/>
              </w:rPr>
            </w:pPr>
          </w:p>
          <w:p w14:paraId="21865C0A">
            <w:pPr>
              <w:pStyle w:val="162"/>
              <w:keepNext w:val="0"/>
              <w:keepLines w:val="0"/>
              <w:pageBreakBefore w:val="0"/>
              <w:widowControl w:val="0"/>
              <w:kinsoku/>
              <w:wordWrap/>
              <w:overflowPunct/>
              <w:topLinePunct w:val="0"/>
              <w:autoSpaceDE/>
              <w:autoSpaceDN/>
              <w:bidi w:val="0"/>
              <w:snapToGrid w:val="0"/>
              <w:spacing w:line="360" w:lineRule="auto"/>
              <w:ind w:firstLine="482"/>
              <w:textAlignment w:val="auto"/>
              <w:rPr>
                <w:rFonts w:hint="default" w:ascii="Times New Roman" w:hAnsi="Times New Roman" w:cs="Times New Roman"/>
                <w:color w:val="auto"/>
                <w:sz w:val="24"/>
                <w:szCs w:val="24"/>
                <w:highlight w:val="none"/>
              </w:rPr>
            </w:pPr>
          </w:p>
          <w:p w14:paraId="7785623F">
            <w:pPr>
              <w:pStyle w:val="162"/>
              <w:keepNext w:val="0"/>
              <w:keepLines w:val="0"/>
              <w:pageBreakBefore w:val="0"/>
              <w:widowControl w:val="0"/>
              <w:kinsoku/>
              <w:wordWrap/>
              <w:overflowPunct/>
              <w:topLinePunct w:val="0"/>
              <w:autoSpaceDE/>
              <w:autoSpaceDN/>
              <w:bidi w:val="0"/>
              <w:snapToGrid w:val="0"/>
              <w:spacing w:line="360" w:lineRule="auto"/>
              <w:ind w:firstLine="482"/>
              <w:textAlignment w:val="auto"/>
              <w:rPr>
                <w:rFonts w:hint="default" w:ascii="Times New Roman" w:hAnsi="Times New Roman" w:cs="Times New Roman"/>
                <w:color w:val="auto"/>
                <w:sz w:val="24"/>
                <w:szCs w:val="24"/>
                <w:highlight w:val="none"/>
              </w:rPr>
            </w:pPr>
          </w:p>
          <w:p w14:paraId="0E15B744">
            <w:pPr>
              <w:pStyle w:val="162"/>
              <w:keepNext w:val="0"/>
              <w:keepLines w:val="0"/>
              <w:pageBreakBefore w:val="0"/>
              <w:widowControl w:val="0"/>
              <w:kinsoku/>
              <w:wordWrap/>
              <w:overflowPunct/>
              <w:topLinePunct w:val="0"/>
              <w:autoSpaceDE/>
              <w:autoSpaceDN/>
              <w:bidi w:val="0"/>
              <w:snapToGrid w:val="0"/>
              <w:spacing w:line="360" w:lineRule="auto"/>
              <w:ind w:firstLine="482"/>
              <w:textAlignment w:val="auto"/>
              <w:rPr>
                <w:rFonts w:hint="default" w:ascii="Times New Roman" w:hAnsi="Times New Roman" w:cs="Times New Roman"/>
                <w:color w:val="auto"/>
                <w:sz w:val="24"/>
                <w:szCs w:val="24"/>
                <w:highlight w:val="none"/>
              </w:rPr>
            </w:pPr>
          </w:p>
          <w:p w14:paraId="6A618D45">
            <w:pP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502910" cy="3851910"/>
                  <wp:effectExtent l="0" t="0" r="2540" b="15240"/>
                  <wp:docPr id="19" name="图片 19" descr="d0a8e058-d669-4964-b3e1-61b8977a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d0a8e058-d669-4964-b3e1-61b8977a5369"/>
                          <pic:cNvPicPr>
                            <a:picLocks noChangeAspect="1"/>
                          </pic:cNvPicPr>
                        </pic:nvPicPr>
                        <pic:blipFill>
                          <a:blip r:embed="rId30"/>
                          <a:stretch>
                            <a:fillRect/>
                          </a:stretch>
                        </pic:blipFill>
                        <pic:spPr>
                          <a:xfrm>
                            <a:off x="0" y="0"/>
                            <a:ext cx="5502910" cy="3851910"/>
                          </a:xfrm>
                          <a:prstGeom prst="rect">
                            <a:avLst/>
                          </a:prstGeom>
                        </pic:spPr>
                      </pic:pic>
                    </a:graphicData>
                  </a:graphic>
                </wp:inline>
              </w:drawing>
            </w:r>
          </w:p>
          <w:p w14:paraId="063C1314">
            <w:pPr>
              <w:pStyle w:val="129"/>
              <w:keepNext w:val="0"/>
              <w:keepLines w:val="0"/>
              <w:pageBreakBefore w:val="0"/>
              <w:widowControl w:val="0"/>
              <w:kinsoku/>
              <w:wordWrap/>
              <w:overflowPunct/>
              <w:topLinePunct w:val="0"/>
              <w:autoSpaceDE/>
              <w:autoSpaceDN/>
              <w:bidi w:val="0"/>
              <w:adjustRightInd/>
              <w:snapToGrid w:val="0"/>
              <w:spacing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图4.2-5</w:t>
            </w:r>
            <w:r>
              <w:rPr>
                <w:rFonts w:hint="eastAsia" w:eastAsia="黑体" w:cs="Times New Roman"/>
                <w:b w:val="0"/>
                <w:bCs/>
                <w:color w:val="auto"/>
                <w:lang w:val="en-US" w:eastAsia="zh-CN"/>
              </w:rPr>
              <w:t xml:space="preserve"> </w:t>
            </w:r>
            <w:r>
              <w:rPr>
                <w:rFonts w:hint="default" w:ascii="Times New Roman" w:hAnsi="Times New Roman" w:eastAsia="黑体" w:cs="Times New Roman"/>
                <w:b w:val="0"/>
                <w:bCs/>
                <w:color w:val="auto"/>
              </w:rPr>
              <w:t xml:space="preserve"> 园区雨水管道设计图</w:t>
            </w:r>
          </w:p>
          <w:p w14:paraId="780BB0E8">
            <w:pPr>
              <w:pStyle w:val="6"/>
              <w:keepNext/>
              <w:keepLines w:val="0"/>
              <w:pageBreakBefore w:val="0"/>
              <w:widowControl w:val="0"/>
              <w:kinsoku/>
              <w:wordWrap/>
              <w:overflowPunct/>
              <w:topLinePunct w:val="0"/>
              <w:autoSpaceDE/>
              <w:autoSpaceDN/>
              <w:bidi w:val="0"/>
              <w:adjustRightInd/>
              <w:snapToGrid w:val="0"/>
              <w:spacing w:before="379" w:beforeLines="100" w:after="302" w:afterLines="80" w:line="240" w:lineRule="auto"/>
              <w:textAlignment w:val="auto"/>
              <w:outlineLvl w:val="3"/>
              <w:rPr>
                <w:rFonts w:hint="default" w:ascii="Times New Roman" w:hAnsi="Times New Roman" w:eastAsia="黑体" w:cs="Times New Roman"/>
                <w:b/>
                <w:color w:val="auto"/>
                <w:szCs w:val="24"/>
                <w:lang w:val="en-US" w:eastAsia="zh-CN"/>
              </w:rPr>
            </w:pPr>
            <w:r>
              <w:rPr>
                <w:rFonts w:hint="default" w:ascii="Times New Roman" w:hAnsi="Times New Roman" w:cs="Times New Roman"/>
                <w:color w:val="auto"/>
              </w:rPr>
              <w:t>4.2.2.4</w:t>
            </w:r>
            <w:r>
              <w:rPr>
                <w:rFonts w:hint="default" w:ascii="Times New Roman" w:hAnsi="Times New Roman" w:cs="Times New Roman"/>
                <w:color w:val="auto"/>
                <w:lang w:val="en-US" w:eastAsia="zh-CN"/>
              </w:rPr>
              <w:t>废水污染物排放核算</w:t>
            </w:r>
          </w:p>
          <w:p w14:paraId="08443F61">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lang w:val="en-US" w:eastAsia="zh-CN"/>
              </w:rPr>
            </w:pPr>
            <w:r>
              <w:rPr>
                <w:rFonts w:hint="default" w:ascii="Times New Roman" w:hAnsi="Times New Roman" w:eastAsia="黑体" w:cs="Times New Roman"/>
                <w:b w:val="0"/>
                <w:bCs/>
                <w:color w:val="auto"/>
                <w:lang w:val="en-US" w:eastAsia="zh-CN"/>
              </w:rPr>
              <w:t>表4.2-16  废水类别、污染物及污染治理措施设施信息表</w:t>
            </w:r>
          </w:p>
          <w:tbl>
            <w:tblPr>
              <w:tblStyle w:val="34"/>
              <w:tblW w:w="86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311"/>
              <w:gridCol w:w="571"/>
              <w:gridCol w:w="856"/>
              <w:gridCol w:w="749"/>
              <w:gridCol w:w="642"/>
              <w:gridCol w:w="642"/>
              <w:gridCol w:w="1711"/>
              <w:gridCol w:w="1050"/>
              <w:gridCol w:w="721"/>
              <w:gridCol w:w="857"/>
              <w:gridCol w:w="538"/>
            </w:tblGrid>
            <w:tr w14:paraId="7C627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311" w:type="dxa"/>
                  <w:vMerge w:val="restart"/>
                  <w:noWrap w:val="0"/>
                  <w:vAlign w:val="center"/>
                </w:tcPr>
                <w:p w14:paraId="3E851873">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序号</w:t>
                  </w:r>
                </w:p>
              </w:tc>
              <w:tc>
                <w:tcPr>
                  <w:tcW w:w="572" w:type="dxa"/>
                  <w:vMerge w:val="restart"/>
                  <w:noWrap w:val="0"/>
                  <w:vAlign w:val="center"/>
                </w:tcPr>
                <w:p w14:paraId="275EA577">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废水</w:t>
                  </w:r>
                </w:p>
                <w:p w14:paraId="3F15EF77">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类别</w:t>
                  </w:r>
                </w:p>
              </w:tc>
              <w:tc>
                <w:tcPr>
                  <w:tcW w:w="857" w:type="dxa"/>
                  <w:vMerge w:val="restart"/>
                  <w:noWrap w:val="0"/>
                  <w:vAlign w:val="center"/>
                </w:tcPr>
                <w:p w14:paraId="7C86B917">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污染物种类</w:t>
                  </w:r>
                </w:p>
              </w:tc>
              <w:tc>
                <w:tcPr>
                  <w:tcW w:w="750" w:type="dxa"/>
                  <w:vMerge w:val="restart"/>
                  <w:noWrap w:val="0"/>
                  <w:vAlign w:val="center"/>
                </w:tcPr>
                <w:p w14:paraId="7D2B72E6">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排放</w:t>
                  </w:r>
                </w:p>
                <w:p w14:paraId="5CDC0472">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去向</w:t>
                  </w:r>
                </w:p>
              </w:tc>
              <w:tc>
                <w:tcPr>
                  <w:tcW w:w="643" w:type="dxa"/>
                  <w:vMerge w:val="restart"/>
                  <w:noWrap w:val="0"/>
                  <w:vAlign w:val="center"/>
                </w:tcPr>
                <w:p w14:paraId="6F71EC66">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排放规律</w:t>
                  </w:r>
                </w:p>
              </w:tc>
              <w:tc>
                <w:tcPr>
                  <w:tcW w:w="3410" w:type="dxa"/>
                  <w:gridSpan w:val="3"/>
                  <w:noWrap w:val="0"/>
                  <w:vAlign w:val="center"/>
                </w:tcPr>
                <w:p w14:paraId="09162D0E">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污染治理措施</w:t>
                  </w:r>
                </w:p>
              </w:tc>
              <w:tc>
                <w:tcPr>
                  <w:tcW w:w="707" w:type="dxa"/>
                  <w:vMerge w:val="restart"/>
                  <w:noWrap w:val="0"/>
                  <w:vAlign w:val="center"/>
                </w:tcPr>
                <w:p w14:paraId="3D635F91">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排放口编号</w:t>
                  </w:r>
                </w:p>
              </w:tc>
              <w:tc>
                <w:tcPr>
                  <w:tcW w:w="859" w:type="dxa"/>
                  <w:vMerge w:val="restart"/>
                  <w:noWrap w:val="0"/>
                  <w:vAlign w:val="center"/>
                </w:tcPr>
                <w:p w14:paraId="63DE0653">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排放口是否符合要求</w:t>
                  </w:r>
                </w:p>
              </w:tc>
              <w:tc>
                <w:tcPr>
                  <w:tcW w:w="539" w:type="dxa"/>
                  <w:vMerge w:val="restart"/>
                  <w:noWrap w:val="0"/>
                  <w:vAlign w:val="center"/>
                </w:tcPr>
                <w:p w14:paraId="6395985B">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排放口类型</w:t>
                  </w:r>
                </w:p>
              </w:tc>
            </w:tr>
            <w:tr w14:paraId="247A9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311" w:type="dxa"/>
                  <w:vMerge w:val="continue"/>
                  <w:noWrap w:val="0"/>
                  <w:vAlign w:val="center"/>
                </w:tcPr>
                <w:p w14:paraId="493AA16E">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72" w:type="dxa"/>
                  <w:vMerge w:val="continue"/>
                  <w:noWrap w:val="0"/>
                  <w:vAlign w:val="center"/>
                </w:tcPr>
                <w:p w14:paraId="64F39805">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7" w:type="dxa"/>
                  <w:vMerge w:val="continue"/>
                  <w:noWrap w:val="0"/>
                  <w:vAlign w:val="center"/>
                </w:tcPr>
                <w:p w14:paraId="311ACFE3">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750" w:type="dxa"/>
                  <w:vMerge w:val="continue"/>
                  <w:noWrap w:val="0"/>
                  <w:vAlign w:val="center"/>
                </w:tcPr>
                <w:p w14:paraId="20836F76">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vMerge w:val="continue"/>
                  <w:noWrap w:val="0"/>
                  <w:vAlign w:val="center"/>
                </w:tcPr>
                <w:p w14:paraId="312C5E8C">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noWrap w:val="0"/>
                  <w:vAlign w:val="center"/>
                </w:tcPr>
                <w:p w14:paraId="62F9FEAA">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名称</w:t>
                  </w:r>
                </w:p>
              </w:tc>
              <w:tc>
                <w:tcPr>
                  <w:tcW w:w="1715" w:type="dxa"/>
                  <w:noWrap w:val="0"/>
                  <w:vAlign w:val="center"/>
                </w:tcPr>
                <w:p w14:paraId="37882F0B">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工艺</w:t>
                  </w:r>
                </w:p>
              </w:tc>
              <w:tc>
                <w:tcPr>
                  <w:tcW w:w="1052" w:type="dxa"/>
                  <w:noWrap w:val="0"/>
                  <w:vAlign w:val="center"/>
                </w:tcPr>
                <w:p w14:paraId="552CCD53">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是否为可行技术</w:t>
                  </w:r>
                </w:p>
              </w:tc>
              <w:tc>
                <w:tcPr>
                  <w:tcW w:w="707" w:type="dxa"/>
                  <w:vMerge w:val="continue"/>
                  <w:noWrap w:val="0"/>
                  <w:vAlign w:val="center"/>
                </w:tcPr>
                <w:p w14:paraId="0C20DA42">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9" w:type="dxa"/>
                  <w:vMerge w:val="continue"/>
                  <w:noWrap w:val="0"/>
                  <w:vAlign w:val="center"/>
                </w:tcPr>
                <w:p w14:paraId="3BA1351C">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39" w:type="dxa"/>
                  <w:vMerge w:val="continue"/>
                  <w:noWrap w:val="0"/>
                  <w:vAlign w:val="center"/>
                </w:tcPr>
                <w:p w14:paraId="3F177314">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r>
            <w:tr w14:paraId="73BD1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311" w:type="dxa"/>
                  <w:vMerge w:val="restart"/>
                  <w:noWrap w:val="0"/>
                  <w:vAlign w:val="center"/>
                </w:tcPr>
                <w:p w14:paraId="0767B8DC">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1</w:t>
                  </w:r>
                </w:p>
              </w:tc>
              <w:tc>
                <w:tcPr>
                  <w:tcW w:w="572" w:type="dxa"/>
                  <w:vMerge w:val="restart"/>
                  <w:noWrap w:val="0"/>
                  <w:vAlign w:val="center"/>
                </w:tcPr>
                <w:p w14:paraId="0BB120B7">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生产废水</w:t>
                  </w:r>
                </w:p>
              </w:tc>
              <w:tc>
                <w:tcPr>
                  <w:tcW w:w="857" w:type="dxa"/>
                  <w:noWrap w:val="0"/>
                  <w:vAlign w:val="center"/>
                </w:tcPr>
                <w:p w14:paraId="7E4EACC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COD</w:t>
                  </w:r>
                </w:p>
              </w:tc>
              <w:tc>
                <w:tcPr>
                  <w:tcW w:w="750" w:type="dxa"/>
                  <w:vMerge w:val="restart"/>
                  <w:noWrap w:val="0"/>
                  <w:vAlign w:val="center"/>
                </w:tcPr>
                <w:p w14:paraId="05B4DB15">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bidi="ar"/>
                    </w:rPr>
                    <w:t>沙县</w:t>
                  </w:r>
                  <w:r>
                    <w:rPr>
                      <w:rFonts w:hint="default" w:ascii="Times New Roman" w:hAnsi="Times New Roman" w:cs="Times New Roman"/>
                      <w:b w:val="0"/>
                      <w:bCs w:val="0"/>
                      <w:color w:val="auto"/>
                      <w:kern w:val="0"/>
                      <w:sz w:val="21"/>
                      <w:szCs w:val="21"/>
                      <w:highlight w:val="none"/>
                      <w:lang w:bidi="ar"/>
                    </w:rPr>
                    <w:t>金古北片区污水处理厂</w:t>
                  </w:r>
                </w:p>
              </w:tc>
              <w:tc>
                <w:tcPr>
                  <w:tcW w:w="643" w:type="dxa"/>
                  <w:vMerge w:val="restart"/>
                  <w:noWrap w:val="0"/>
                  <w:vAlign w:val="center"/>
                </w:tcPr>
                <w:p w14:paraId="456BFA68">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连续排放，流量稳定</w:t>
                  </w:r>
                </w:p>
              </w:tc>
              <w:tc>
                <w:tcPr>
                  <w:tcW w:w="643" w:type="dxa"/>
                  <w:vMerge w:val="restart"/>
                  <w:noWrap w:val="0"/>
                  <w:vAlign w:val="center"/>
                </w:tcPr>
                <w:p w14:paraId="3709D70A">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污水处理站</w:t>
                  </w:r>
                </w:p>
              </w:tc>
              <w:tc>
                <w:tcPr>
                  <w:tcW w:w="1715" w:type="dxa"/>
                  <w:vMerge w:val="restart"/>
                  <w:noWrap w:val="0"/>
                  <w:vAlign w:val="center"/>
                </w:tcPr>
                <w:p w14:paraId="3BE77EC1">
                  <w:pPr>
                    <w:pStyle w:val="91"/>
                    <w:keepNext w:val="0"/>
                    <w:keepLines w:val="0"/>
                    <w:pageBreakBefore w:val="0"/>
                    <w:kinsoku/>
                    <w:wordWrap/>
                    <w:overflowPunct/>
                    <w:topLinePunct w:val="0"/>
                    <w:autoSpaceDE/>
                    <w:autoSpaceDN/>
                    <w:bidi w:val="0"/>
                    <w:adjustRightInd w:val="0"/>
                    <w:snapToGrid w:val="0"/>
                    <w:jc w:val="both"/>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rPr>
                    <w:t>“调节池+一级pH调节池+混合池+絮凝池+沉淀池+二级pH调节池+混合池+絮凝池+沉淀池+回调池+砂滤系统+清水池”</w:t>
                  </w:r>
                </w:p>
              </w:tc>
              <w:tc>
                <w:tcPr>
                  <w:tcW w:w="1052" w:type="dxa"/>
                  <w:vMerge w:val="restart"/>
                  <w:noWrap w:val="0"/>
                  <w:vAlign w:val="center"/>
                </w:tcPr>
                <w:p w14:paraId="229ABDD6">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可行</w:t>
                  </w:r>
                </w:p>
              </w:tc>
              <w:tc>
                <w:tcPr>
                  <w:tcW w:w="707" w:type="dxa"/>
                  <w:vMerge w:val="restart"/>
                  <w:noWrap w:val="0"/>
                  <w:vAlign w:val="center"/>
                </w:tcPr>
                <w:p w14:paraId="48E8F2C3">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DW001</w:t>
                  </w:r>
                </w:p>
              </w:tc>
              <w:tc>
                <w:tcPr>
                  <w:tcW w:w="859" w:type="dxa"/>
                  <w:vMerge w:val="restart"/>
                  <w:noWrap w:val="0"/>
                  <w:vAlign w:val="center"/>
                </w:tcPr>
                <w:p w14:paraId="0A761696">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是</w:t>
                  </w:r>
                </w:p>
              </w:tc>
              <w:tc>
                <w:tcPr>
                  <w:tcW w:w="539" w:type="dxa"/>
                  <w:vMerge w:val="restart"/>
                  <w:noWrap w:val="0"/>
                  <w:vAlign w:val="center"/>
                </w:tcPr>
                <w:p w14:paraId="5374DF96">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总排放口</w:t>
                  </w:r>
                </w:p>
              </w:tc>
            </w:tr>
            <w:tr w14:paraId="20BD3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311" w:type="dxa"/>
                  <w:vMerge w:val="continue"/>
                  <w:noWrap w:val="0"/>
                  <w:vAlign w:val="center"/>
                </w:tcPr>
                <w:p w14:paraId="292587E4">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72" w:type="dxa"/>
                  <w:vMerge w:val="continue"/>
                  <w:noWrap w:val="0"/>
                  <w:vAlign w:val="center"/>
                </w:tcPr>
                <w:p w14:paraId="43766D46">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7" w:type="dxa"/>
                  <w:noWrap w:val="0"/>
                  <w:vAlign w:val="center"/>
                </w:tcPr>
                <w:p w14:paraId="1854437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氨氮</w:t>
                  </w:r>
                </w:p>
              </w:tc>
              <w:tc>
                <w:tcPr>
                  <w:tcW w:w="750" w:type="dxa"/>
                  <w:vMerge w:val="continue"/>
                  <w:noWrap w:val="0"/>
                  <w:vAlign w:val="center"/>
                </w:tcPr>
                <w:p w14:paraId="27664E9A">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vMerge w:val="continue"/>
                  <w:noWrap w:val="0"/>
                  <w:vAlign w:val="center"/>
                </w:tcPr>
                <w:p w14:paraId="6B744F39">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vMerge w:val="continue"/>
                  <w:noWrap w:val="0"/>
                  <w:vAlign w:val="center"/>
                </w:tcPr>
                <w:p w14:paraId="404AA364">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1715" w:type="dxa"/>
                  <w:vMerge w:val="continue"/>
                  <w:noWrap w:val="0"/>
                  <w:vAlign w:val="center"/>
                </w:tcPr>
                <w:p w14:paraId="7B868AB2">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1052" w:type="dxa"/>
                  <w:vMerge w:val="continue"/>
                  <w:noWrap w:val="0"/>
                  <w:vAlign w:val="center"/>
                </w:tcPr>
                <w:p w14:paraId="74F74461">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707" w:type="dxa"/>
                  <w:vMerge w:val="continue"/>
                  <w:noWrap w:val="0"/>
                  <w:vAlign w:val="center"/>
                </w:tcPr>
                <w:p w14:paraId="2906C706">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9" w:type="dxa"/>
                  <w:vMerge w:val="continue"/>
                  <w:noWrap w:val="0"/>
                  <w:vAlign w:val="center"/>
                </w:tcPr>
                <w:p w14:paraId="218D5F84">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39" w:type="dxa"/>
                  <w:vMerge w:val="continue"/>
                  <w:noWrap w:val="0"/>
                  <w:vAlign w:val="center"/>
                </w:tcPr>
                <w:p w14:paraId="418A77BC">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r>
            <w:tr w14:paraId="4DD7E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311" w:type="dxa"/>
                  <w:vMerge w:val="continue"/>
                  <w:noWrap w:val="0"/>
                  <w:vAlign w:val="center"/>
                </w:tcPr>
                <w:p w14:paraId="773D8DF0">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72" w:type="dxa"/>
                  <w:vMerge w:val="continue"/>
                  <w:noWrap w:val="0"/>
                  <w:vAlign w:val="center"/>
                </w:tcPr>
                <w:p w14:paraId="18F97A48">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7" w:type="dxa"/>
                  <w:noWrap w:val="0"/>
                  <w:vAlign w:val="center"/>
                </w:tcPr>
                <w:p w14:paraId="2E00C6D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SS</w:t>
                  </w:r>
                </w:p>
              </w:tc>
              <w:tc>
                <w:tcPr>
                  <w:tcW w:w="750" w:type="dxa"/>
                  <w:vMerge w:val="continue"/>
                  <w:noWrap w:val="0"/>
                  <w:vAlign w:val="center"/>
                </w:tcPr>
                <w:p w14:paraId="56DD6E46">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vMerge w:val="continue"/>
                  <w:noWrap w:val="0"/>
                  <w:vAlign w:val="center"/>
                </w:tcPr>
                <w:p w14:paraId="7BF1203B">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vMerge w:val="continue"/>
                  <w:noWrap w:val="0"/>
                  <w:vAlign w:val="center"/>
                </w:tcPr>
                <w:p w14:paraId="12C14AF6">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1715" w:type="dxa"/>
                  <w:vMerge w:val="continue"/>
                  <w:noWrap w:val="0"/>
                  <w:vAlign w:val="center"/>
                </w:tcPr>
                <w:p w14:paraId="2239463F">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1052" w:type="dxa"/>
                  <w:vMerge w:val="continue"/>
                  <w:noWrap w:val="0"/>
                  <w:vAlign w:val="center"/>
                </w:tcPr>
                <w:p w14:paraId="54B28B72">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707" w:type="dxa"/>
                  <w:vMerge w:val="continue"/>
                  <w:noWrap w:val="0"/>
                  <w:vAlign w:val="center"/>
                </w:tcPr>
                <w:p w14:paraId="77CD55DC">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9" w:type="dxa"/>
                  <w:vMerge w:val="continue"/>
                  <w:noWrap w:val="0"/>
                  <w:vAlign w:val="center"/>
                </w:tcPr>
                <w:p w14:paraId="6E8B7A7C">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39" w:type="dxa"/>
                  <w:vMerge w:val="continue"/>
                  <w:noWrap w:val="0"/>
                  <w:vAlign w:val="center"/>
                </w:tcPr>
                <w:p w14:paraId="322CFF82">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r>
            <w:tr w14:paraId="0C50F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311" w:type="dxa"/>
                  <w:vMerge w:val="continue"/>
                  <w:noWrap w:val="0"/>
                  <w:vAlign w:val="center"/>
                </w:tcPr>
                <w:p w14:paraId="249FB11F">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72" w:type="dxa"/>
                  <w:vMerge w:val="continue"/>
                  <w:noWrap w:val="0"/>
                  <w:vAlign w:val="center"/>
                </w:tcPr>
                <w:p w14:paraId="40E2EFFB">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7" w:type="dxa"/>
                  <w:noWrap w:val="0"/>
                  <w:vAlign w:val="center"/>
                </w:tcPr>
                <w:p w14:paraId="3473556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铁</w:t>
                  </w:r>
                </w:p>
              </w:tc>
              <w:tc>
                <w:tcPr>
                  <w:tcW w:w="750" w:type="dxa"/>
                  <w:vMerge w:val="continue"/>
                  <w:noWrap w:val="0"/>
                  <w:vAlign w:val="center"/>
                </w:tcPr>
                <w:p w14:paraId="493E23F2">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vMerge w:val="continue"/>
                  <w:noWrap w:val="0"/>
                  <w:vAlign w:val="center"/>
                </w:tcPr>
                <w:p w14:paraId="62D2FA8F">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vMerge w:val="continue"/>
                  <w:noWrap w:val="0"/>
                  <w:vAlign w:val="center"/>
                </w:tcPr>
                <w:p w14:paraId="76722CDE">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1715" w:type="dxa"/>
                  <w:vMerge w:val="continue"/>
                  <w:noWrap w:val="0"/>
                  <w:vAlign w:val="center"/>
                </w:tcPr>
                <w:p w14:paraId="35E5CBBF">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1052" w:type="dxa"/>
                  <w:vMerge w:val="continue"/>
                  <w:noWrap w:val="0"/>
                  <w:vAlign w:val="center"/>
                </w:tcPr>
                <w:p w14:paraId="55BC7E8B">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707" w:type="dxa"/>
                  <w:vMerge w:val="continue"/>
                  <w:noWrap w:val="0"/>
                  <w:vAlign w:val="center"/>
                </w:tcPr>
                <w:p w14:paraId="2090DDF3">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9" w:type="dxa"/>
                  <w:vMerge w:val="continue"/>
                  <w:noWrap w:val="0"/>
                  <w:vAlign w:val="center"/>
                </w:tcPr>
                <w:p w14:paraId="7D06AE55">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39" w:type="dxa"/>
                  <w:vMerge w:val="continue"/>
                  <w:noWrap w:val="0"/>
                  <w:vAlign w:val="center"/>
                </w:tcPr>
                <w:p w14:paraId="4B265694">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r>
            <w:tr w14:paraId="0DCB7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311" w:type="dxa"/>
                  <w:vMerge w:val="continue"/>
                  <w:noWrap w:val="0"/>
                  <w:vAlign w:val="center"/>
                </w:tcPr>
                <w:p w14:paraId="340798BB">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72" w:type="dxa"/>
                  <w:vMerge w:val="continue"/>
                  <w:noWrap w:val="0"/>
                  <w:vAlign w:val="center"/>
                </w:tcPr>
                <w:p w14:paraId="45D9BEA6">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7" w:type="dxa"/>
                  <w:noWrap w:val="0"/>
                  <w:vAlign w:val="center"/>
                </w:tcPr>
                <w:p w14:paraId="2F2983D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总磷</w:t>
                  </w:r>
                </w:p>
              </w:tc>
              <w:tc>
                <w:tcPr>
                  <w:tcW w:w="750" w:type="dxa"/>
                  <w:vMerge w:val="continue"/>
                  <w:noWrap w:val="0"/>
                  <w:vAlign w:val="center"/>
                </w:tcPr>
                <w:p w14:paraId="2EF75B1A">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vMerge w:val="continue"/>
                  <w:noWrap w:val="0"/>
                  <w:vAlign w:val="center"/>
                </w:tcPr>
                <w:p w14:paraId="0C68740D">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vMerge w:val="continue"/>
                  <w:noWrap w:val="0"/>
                  <w:vAlign w:val="center"/>
                </w:tcPr>
                <w:p w14:paraId="0D6D49D9">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1715" w:type="dxa"/>
                  <w:vMerge w:val="continue"/>
                  <w:noWrap w:val="0"/>
                  <w:vAlign w:val="center"/>
                </w:tcPr>
                <w:p w14:paraId="1058B665">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1052" w:type="dxa"/>
                  <w:vMerge w:val="continue"/>
                  <w:noWrap w:val="0"/>
                  <w:vAlign w:val="center"/>
                </w:tcPr>
                <w:p w14:paraId="2EBFE0E2">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707" w:type="dxa"/>
                  <w:vMerge w:val="continue"/>
                  <w:noWrap w:val="0"/>
                  <w:vAlign w:val="center"/>
                </w:tcPr>
                <w:p w14:paraId="0C0A8EE6">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9" w:type="dxa"/>
                  <w:vMerge w:val="continue"/>
                  <w:noWrap w:val="0"/>
                  <w:vAlign w:val="center"/>
                </w:tcPr>
                <w:p w14:paraId="0FD9B5A0">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39" w:type="dxa"/>
                  <w:vMerge w:val="continue"/>
                  <w:noWrap w:val="0"/>
                  <w:vAlign w:val="center"/>
                </w:tcPr>
                <w:p w14:paraId="3B5EAA7B">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r>
            <w:tr w14:paraId="3D11F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311" w:type="dxa"/>
                  <w:vMerge w:val="continue"/>
                  <w:noWrap w:val="0"/>
                  <w:vAlign w:val="center"/>
                </w:tcPr>
                <w:p w14:paraId="2847231F">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72" w:type="dxa"/>
                  <w:vMerge w:val="continue"/>
                  <w:noWrap w:val="0"/>
                  <w:vAlign w:val="center"/>
                </w:tcPr>
                <w:p w14:paraId="3A2FE501">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7" w:type="dxa"/>
                  <w:noWrap w:val="0"/>
                  <w:vAlign w:val="center"/>
                </w:tcPr>
                <w:p w14:paraId="5E3AE84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总锌</w:t>
                  </w:r>
                </w:p>
              </w:tc>
              <w:tc>
                <w:tcPr>
                  <w:tcW w:w="750" w:type="dxa"/>
                  <w:vMerge w:val="continue"/>
                  <w:noWrap w:val="0"/>
                  <w:vAlign w:val="center"/>
                </w:tcPr>
                <w:p w14:paraId="404555EA">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vMerge w:val="continue"/>
                  <w:noWrap w:val="0"/>
                  <w:vAlign w:val="center"/>
                </w:tcPr>
                <w:p w14:paraId="51677DCA">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vMerge w:val="continue"/>
                  <w:noWrap w:val="0"/>
                  <w:vAlign w:val="center"/>
                </w:tcPr>
                <w:p w14:paraId="40BE0952">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1715" w:type="dxa"/>
                  <w:vMerge w:val="continue"/>
                  <w:noWrap w:val="0"/>
                  <w:vAlign w:val="center"/>
                </w:tcPr>
                <w:p w14:paraId="49002895">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1052" w:type="dxa"/>
                  <w:vMerge w:val="continue"/>
                  <w:noWrap w:val="0"/>
                  <w:vAlign w:val="center"/>
                </w:tcPr>
                <w:p w14:paraId="4D75DF0F">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707" w:type="dxa"/>
                  <w:vMerge w:val="continue"/>
                  <w:noWrap w:val="0"/>
                  <w:vAlign w:val="center"/>
                </w:tcPr>
                <w:p w14:paraId="6A99FF95">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9" w:type="dxa"/>
                  <w:vMerge w:val="continue"/>
                  <w:noWrap w:val="0"/>
                  <w:vAlign w:val="center"/>
                </w:tcPr>
                <w:p w14:paraId="25A3B928">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39" w:type="dxa"/>
                  <w:vMerge w:val="continue"/>
                  <w:noWrap w:val="0"/>
                  <w:vAlign w:val="center"/>
                </w:tcPr>
                <w:p w14:paraId="0E3207D2">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r>
            <w:tr w14:paraId="59E6C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311" w:type="dxa"/>
                  <w:vMerge w:val="continue"/>
                  <w:noWrap w:val="0"/>
                  <w:vAlign w:val="center"/>
                </w:tcPr>
                <w:p w14:paraId="062692AE">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72" w:type="dxa"/>
                  <w:vMerge w:val="continue"/>
                  <w:noWrap w:val="0"/>
                  <w:vAlign w:val="center"/>
                </w:tcPr>
                <w:p w14:paraId="0F1A78CD">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7" w:type="dxa"/>
                  <w:noWrap w:val="0"/>
                  <w:vAlign w:val="center"/>
                </w:tcPr>
                <w:p w14:paraId="45CC68E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总氮</w:t>
                  </w:r>
                </w:p>
              </w:tc>
              <w:tc>
                <w:tcPr>
                  <w:tcW w:w="750" w:type="dxa"/>
                  <w:vMerge w:val="continue"/>
                  <w:noWrap w:val="0"/>
                  <w:vAlign w:val="center"/>
                </w:tcPr>
                <w:p w14:paraId="04A584A1">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vMerge w:val="continue"/>
                  <w:noWrap w:val="0"/>
                  <w:vAlign w:val="center"/>
                </w:tcPr>
                <w:p w14:paraId="7BD23A2D">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vMerge w:val="continue"/>
                  <w:noWrap w:val="0"/>
                  <w:vAlign w:val="center"/>
                </w:tcPr>
                <w:p w14:paraId="22E08ADF">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1715" w:type="dxa"/>
                  <w:vMerge w:val="continue"/>
                  <w:noWrap w:val="0"/>
                  <w:vAlign w:val="center"/>
                </w:tcPr>
                <w:p w14:paraId="05B522D6">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1052" w:type="dxa"/>
                  <w:vMerge w:val="continue"/>
                  <w:noWrap w:val="0"/>
                  <w:vAlign w:val="center"/>
                </w:tcPr>
                <w:p w14:paraId="336B576C">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707" w:type="dxa"/>
                  <w:vMerge w:val="continue"/>
                  <w:noWrap w:val="0"/>
                  <w:vAlign w:val="center"/>
                </w:tcPr>
                <w:p w14:paraId="39E4E216">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9" w:type="dxa"/>
                  <w:vMerge w:val="continue"/>
                  <w:noWrap w:val="0"/>
                  <w:vAlign w:val="center"/>
                </w:tcPr>
                <w:p w14:paraId="7B561F44">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39" w:type="dxa"/>
                  <w:vMerge w:val="continue"/>
                  <w:noWrap w:val="0"/>
                  <w:vAlign w:val="center"/>
                </w:tcPr>
                <w:p w14:paraId="6CE26A6C">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r>
            <w:tr w14:paraId="43704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311" w:type="dxa"/>
                  <w:vMerge w:val="continue"/>
                  <w:noWrap w:val="0"/>
                  <w:vAlign w:val="center"/>
                </w:tcPr>
                <w:p w14:paraId="55E4CDE3">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72" w:type="dxa"/>
                  <w:vMerge w:val="continue"/>
                  <w:noWrap w:val="0"/>
                  <w:vAlign w:val="center"/>
                </w:tcPr>
                <w:p w14:paraId="1A33F587">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7" w:type="dxa"/>
                  <w:noWrap w:val="0"/>
                  <w:vAlign w:val="center"/>
                </w:tcPr>
                <w:p w14:paraId="4ACE7B3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氯离子</w:t>
                  </w:r>
                </w:p>
              </w:tc>
              <w:tc>
                <w:tcPr>
                  <w:tcW w:w="750" w:type="dxa"/>
                  <w:vMerge w:val="continue"/>
                  <w:noWrap w:val="0"/>
                  <w:vAlign w:val="center"/>
                </w:tcPr>
                <w:p w14:paraId="26108E1C">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vMerge w:val="continue"/>
                  <w:noWrap w:val="0"/>
                  <w:vAlign w:val="center"/>
                </w:tcPr>
                <w:p w14:paraId="27AF84B2">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vMerge w:val="continue"/>
                  <w:noWrap w:val="0"/>
                  <w:vAlign w:val="center"/>
                </w:tcPr>
                <w:p w14:paraId="17C994B5">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1715" w:type="dxa"/>
                  <w:vMerge w:val="continue"/>
                  <w:noWrap w:val="0"/>
                  <w:vAlign w:val="center"/>
                </w:tcPr>
                <w:p w14:paraId="1C7EFB2D">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1052" w:type="dxa"/>
                  <w:vMerge w:val="continue"/>
                  <w:noWrap w:val="0"/>
                  <w:vAlign w:val="center"/>
                </w:tcPr>
                <w:p w14:paraId="57902E16">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707" w:type="dxa"/>
                  <w:vMerge w:val="continue"/>
                  <w:noWrap w:val="0"/>
                  <w:vAlign w:val="center"/>
                </w:tcPr>
                <w:p w14:paraId="72212D03">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9" w:type="dxa"/>
                  <w:vMerge w:val="continue"/>
                  <w:noWrap w:val="0"/>
                  <w:vAlign w:val="center"/>
                </w:tcPr>
                <w:p w14:paraId="1287FBC2">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39" w:type="dxa"/>
                  <w:vMerge w:val="continue"/>
                  <w:noWrap w:val="0"/>
                  <w:vAlign w:val="center"/>
                </w:tcPr>
                <w:p w14:paraId="6E7BEFF0">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r>
            <w:tr w14:paraId="0D97A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311" w:type="dxa"/>
                  <w:vMerge w:val="continue"/>
                  <w:noWrap w:val="0"/>
                  <w:vAlign w:val="center"/>
                </w:tcPr>
                <w:p w14:paraId="266B26B7">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72" w:type="dxa"/>
                  <w:vMerge w:val="continue"/>
                  <w:noWrap w:val="0"/>
                  <w:vAlign w:val="center"/>
                </w:tcPr>
                <w:p w14:paraId="305DBEF5">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7" w:type="dxa"/>
                  <w:noWrap w:val="0"/>
                  <w:vAlign w:val="center"/>
                </w:tcPr>
                <w:p w14:paraId="4256FFF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LAS</w:t>
                  </w:r>
                </w:p>
              </w:tc>
              <w:tc>
                <w:tcPr>
                  <w:tcW w:w="750" w:type="dxa"/>
                  <w:vMerge w:val="continue"/>
                  <w:noWrap w:val="0"/>
                  <w:vAlign w:val="center"/>
                </w:tcPr>
                <w:p w14:paraId="2F6322DB">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vMerge w:val="continue"/>
                  <w:noWrap w:val="0"/>
                  <w:vAlign w:val="center"/>
                </w:tcPr>
                <w:p w14:paraId="532BB964">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vMerge w:val="continue"/>
                  <w:noWrap w:val="0"/>
                  <w:vAlign w:val="center"/>
                </w:tcPr>
                <w:p w14:paraId="0C55EA58">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1715" w:type="dxa"/>
                  <w:vMerge w:val="continue"/>
                  <w:noWrap w:val="0"/>
                  <w:vAlign w:val="center"/>
                </w:tcPr>
                <w:p w14:paraId="121F7D4E">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1052" w:type="dxa"/>
                  <w:vMerge w:val="continue"/>
                  <w:noWrap w:val="0"/>
                  <w:vAlign w:val="center"/>
                </w:tcPr>
                <w:p w14:paraId="73903ED5">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707" w:type="dxa"/>
                  <w:vMerge w:val="continue"/>
                  <w:noWrap w:val="0"/>
                  <w:vAlign w:val="center"/>
                </w:tcPr>
                <w:p w14:paraId="451BBF3F">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9" w:type="dxa"/>
                  <w:vMerge w:val="continue"/>
                  <w:noWrap w:val="0"/>
                  <w:vAlign w:val="center"/>
                </w:tcPr>
                <w:p w14:paraId="116AB592">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39" w:type="dxa"/>
                  <w:vMerge w:val="continue"/>
                  <w:noWrap w:val="0"/>
                  <w:vAlign w:val="center"/>
                </w:tcPr>
                <w:p w14:paraId="0A5549C4">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r>
            <w:tr w14:paraId="5DE43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311" w:type="dxa"/>
                  <w:vMerge w:val="restart"/>
                  <w:noWrap w:val="0"/>
                  <w:vAlign w:val="center"/>
                </w:tcPr>
                <w:p w14:paraId="2B7CE956">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2</w:t>
                  </w:r>
                </w:p>
              </w:tc>
              <w:tc>
                <w:tcPr>
                  <w:tcW w:w="572" w:type="dxa"/>
                  <w:vMerge w:val="restart"/>
                  <w:noWrap w:val="0"/>
                  <w:vAlign w:val="center"/>
                </w:tcPr>
                <w:p w14:paraId="4D80CC8A">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生活</w:t>
                  </w:r>
                </w:p>
                <w:p w14:paraId="5FA5B90A">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污水</w:t>
                  </w:r>
                </w:p>
              </w:tc>
              <w:tc>
                <w:tcPr>
                  <w:tcW w:w="857" w:type="dxa"/>
                  <w:noWrap w:val="0"/>
                  <w:vAlign w:val="center"/>
                </w:tcPr>
                <w:p w14:paraId="61035850">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CODcr</w:t>
                  </w:r>
                </w:p>
              </w:tc>
              <w:tc>
                <w:tcPr>
                  <w:tcW w:w="750" w:type="dxa"/>
                  <w:vMerge w:val="restart"/>
                  <w:noWrap w:val="0"/>
                  <w:vAlign w:val="center"/>
                </w:tcPr>
                <w:p w14:paraId="287BC551">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bidi="ar"/>
                    </w:rPr>
                    <w:t>沙县</w:t>
                  </w:r>
                  <w:r>
                    <w:rPr>
                      <w:rFonts w:hint="default" w:ascii="Times New Roman" w:hAnsi="Times New Roman" w:cs="Times New Roman"/>
                      <w:b w:val="0"/>
                      <w:bCs w:val="0"/>
                      <w:color w:val="auto"/>
                      <w:kern w:val="0"/>
                      <w:sz w:val="21"/>
                      <w:szCs w:val="21"/>
                      <w:highlight w:val="none"/>
                      <w:lang w:bidi="ar"/>
                    </w:rPr>
                    <w:t>金古北片区污水处理厂</w:t>
                  </w:r>
                </w:p>
              </w:tc>
              <w:tc>
                <w:tcPr>
                  <w:tcW w:w="643" w:type="dxa"/>
                  <w:vMerge w:val="restart"/>
                  <w:noWrap w:val="0"/>
                  <w:vAlign w:val="center"/>
                </w:tcPr>
                <w:p w14:paraId="598B30AC">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连续排放，流量稳定</w:t>
                  </w:r>
                </w:p>
              </w:tc>
              <w:tc>
                <w:tcPr>
                  <w:tcW w:w="643" w:type="dxa"/>
                  <w:vMerge w:val="restart"/>
                  <w:noWrap w:val="0"/>
                  <w:vAlign w:val="center"/>
                </w:tcPr>
                <w:p w14:paraId="713CF569">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化粪池</w:t>
                  </w:r>
                </w:p>
              </w:tc>
              <w:tc>
                <w:tcPr>
                  <w:tcW w:w="1715" w:type="dxa"/>
                  <w:vMerge w:val="restart"/>
                  <w:noWrap w:val="0"/>
                  <w:vAlign w:val="center"/>
                </w:tcPr>
                <w:p w14:paraId="310275A4">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化粪池</w:t>
                  </w:r>
                </w:p>
              </w:tc>
              <w:tc>
                <w:tcPr>
                  <w:tcW w:w="1052" w:type="dxa"/>
                  <w:vMerge w:val="restart"/>
                  <w:noWrap w:val="0"/>
                  <w:vAlign w:val="center"/>
                </w:tcPr>
                <w:p w14:paraId="00184E47">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可行</w:t>
                  </w:r>
                </w:p>
              </w:tc>
              <w:tc>
                <w:tcPr>
                  <w:tcW w:w="707" w:type="dxa"/>
                  <w:vMerge w:val="restart"/>
                  <w:noWrap w:val="0"/>
                  <w:vAlign w:val="center"/>
                </w:tcPr>
                <w:p w14:paraId="340BD702">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rPr>
                    <w:t>DW002</w:t>
                  </w:r>
                </w:p>
              </w:tc>
              <w:tc>
                <w:tcPr>
                  <w:tcW w:w="859" w:type="dxa"/>
                  <w:vMerge w:val="restart"/>
                  <w:noWrap w:val="0"/>
                  <w:vAlign w:val="center"/>
                </w:tcPr>
                <w:p w14:paraId="53489FB5">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是</w:t>
                  </w:r>
                </w:p>
              </w:tc>
              <w:tc>
                <w:tcPr>
                  <w:tcW w:w="539" w:type="dxa"/>
                  <w:vMerge w:val="restart"/>
                  <w:noWrap w:val="0"/>
                  <w:vAlign w:val="center"/>
                </w:tcPr>
                <w:p w14:paraId="11E8F6F0">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lang w:val="en-US" w:eastAsia="zh-CN"/>
                    </w:rPr>
                    <w:t>生活污水排放口</w:t>
                  </w:r>
                </w:p>
              </w:tc>
            </w:tr>
            <w:tr w14:paraId="56305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311" w:type="dxa"/>
                  <w:vMerge w:val="continue"/>
                  <w:noWrap w:val="0"/>
                  <w:vAlign w:val="center"/>
                </w:tcPr>
                <w:p w14:paraId="329AB824">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72" w:type="dxa"/>
                  <w:vMerge w:val="continue"/>
                  <w:noWrap w:val="0"/>
                  <w:vAlign w:val="center"/>
                </w:tcPr>
                <w:p w14:paraId="39CB0F16">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7" w:type="dxa"/>
                  <w:noWrap w:val="0"/>
                  <w:vAlign w:val="center"/>
                </w:tcPr>
                <w:p w14:paraId="78CE2415">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BOD</w:t>
                  </w:r>
                  <w:r>
                    <w:rPr>
                      <w:rFonts w:hint="default" w:ascii="Times New Roman" w:hAnsi="Times New Roman" w:cs="Times New Roman"/>
                      <w:b w:val="0"/>
                      <w:bCs w:val="0"/>
                      <w:color w:val="auto"/>
                      <w:sz w:val="21"/>
                      <w:szCs w:val="21"/>
                      <w:highlight w:val="none"/>
                      <w:vertAlign w:val="subscript"/>
                      <w:lang w:val="en-US" w:eastAsia="zh-CN"/>
                    </w:rPr>
                    <w:t>5</w:t>
                  </w:r>
                </w:p>
              </w:tc>
              <w:tc>
                <w:tcPr>
                  <w:tcW w:w="750" w:type="dxa"/>
                  <w:vMerge w:val="continue"/>
                  <w:noWrap w:val="0"/>
                  <w:vAlign w:val="center"/>
                </w:tcPr>
                <w:p w14:paraId="2CE38681">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vMerge w:val="continue"/>
                  <w:noWrap w:val="0"/>
                  <w:vAlign w:val="center"/>
                </w:tcPr>
                <w:p w14:paraId="6456E10D">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vMerge w:val="continue"/>
                  <w:noWrap w:val="0"/>
                  <w:vAlign w:val="center"/>
                </w:tcPr>
                <w:p w14:paraId="3499691F">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1715" w:type="dxa"/>
                  <w:vMerge w:val="continue"/>
                  <w:noWrap w:val="0"/>
                  <w:vAlign w:val="center"/>
                </w:tcPr>
                <w:p w14:paraId="420F041A">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1052" w:type="dxa"/>
                  <w:vMerge w:val="continue"/>
                  <w:noWrap w:val="0"/>
                  <w:vAlign w:val="center"/>
                </w:tcPr>
                <w:p w14:paraId="675C2D49">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707" w:type="dxa"/>
                  <w:vMerge w:val="continue"/>
                  <w:noWrap w:val="0"/>
                  <w:vAlign w:val="center"/>
                </w:tcPr>
                <w:p w14:paraId="550BA4B4">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9" w:type="dxa"/>
                  <w:vMerge w:val="continue"/>
                  <w:noWrap w:val="0"/>
                  <w:vAlign w:val="center"/>
                </w:tcPr>
                <w:p w14:paraId="27CDAC31">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39" w:type="dxa"/>
                  <w:vMerge w:val="continue"/>
                  <w:noWrap w:val="0"/>
                  <w:vAlign w:val="center"/>
                </w:tcPr>
                <w:p w14:paraId="6CDAC588">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r>
            <w:tr w14:paraId="214F2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311" w:type="dxa"/>
                  <w:vMerge w:val="continue"/>
                  <w:noWrap w:val="0"/>
                  <w:vAlign w:val="center"/>
                </w:tcPr>
                <w:p w14:paraId="3E587963">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72" w:type="dxa"/>
                  <w:vMerge w:val="continue"/>
                  <w:noWrap w:val="0"/>
                  <w:vAlign w:val="center"/>
                </w:tcPr>
                <w:p w14:paraId="34FC49D1">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7" w:type="dxa"/>
                  <w:noWrap w:val="0"/>
                  <w:vAlign w:val="center"/>
                </w:tcPr>
                <w:p w14:paraId="76C87CF4">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SS</w:t>
                  </w:r>
                </w:p>
              </w:tc>
              <w:tc>
                <w:tcPr>
                  <w:tcW w:w="750" w:type="dxa"/>
                  <w:vMerge w:val="continue"/>
                  <w:noWrap w:val="0"/>
                  <w:vAlign w:val="center"/>
                </w:tcPr>
                <w:p w14:paraId="6405CB6A">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vMerge w:val="continue"/>
                  <w:noWrap w:val="0"/>
                  <w:vAlign w:val="center"/>
                </w:tcPr>
                <w:p w14:paraId="14194010">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vMerge w:val="continue"/>
                  <w:noWrap w:val="0"/>
                  <w:vAlign w:val="center"/>
                </w:tcPr>
                <w:p w14:paraId="50FFD288">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1715" w:type="dxa"/>
                  <w:vMerge w:val="continue"/>
                  <w:noWrap w:val="0"/>
                  <w:vAlign w:val="center"/>
                </w:tcPr>
                <w:p w14:paraId="071BC11B">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1052" w:type="dxa"/>
                  <w:vMerge w:val="continue"/>
                  <w:noWrap w:val="0"/>
                  <w:vAlign w:val="center"/>
                </w:tcPr>
                <w:p w14:paraId="61D49957">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707" w:type="dxa"/>
                  <w:vMerge w:val="continue"/>
                  <w:noWrap w:val="0"/>
                  <w:vAlign w:val="center"/>
                </w:tcPr>
                <w:p w14:paraId="3BB4FFFB">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9" w:type="dxa"/>
                  <w:vMerge w:val="continue"/>
                  <w:noWrap w:val="0"/>
                  <w:vAlign w:val="center"/>
                </w:tcPr>
                <w:p w14:paraId="2D8F6AC2">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39" w:type="dxa"/>
                  <w:vMerge w:val="continue"/>
                  <w:noWrap w:val="0"/>
                  <w:vAlign w:val="center"/>
                </w:tcPr>
                <w:p w14:paraId="4CBC1C19">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r>
            <w:tr w14:paraId="6D17A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311" w:type="dxa"/>
                  <w:vMerge w:val="continue"/>
                  <w:noWrap w:val="0"/>
                  <w:vAlign w:val="center"/>
                </w:tcPr>
                <w:p w14:paraId="7D9CE639">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72" w:type="dxa"/>
                  <w:vMerge w:val="continue"/>
                  <w:noWrap w:val="0"/>
                  <w:vAlign w:val="center"/>
                </w:tcPr>
                <w:p w14:paraId="0F5C6B6D">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7" w:type="dxa"/>
                  <w:noWrap w:val="0"/>
                  <w:vAlign w:val="center"/>
                </w:tcPr>
                <w:p w14:paraId="26EB8F09">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NH</w:t>
                  </w:r>
                  <w:r>
                    <w:rPr>
                      <w:rFonts w:hint="default" w:ascii="Times New Roman" w:hAnsi="Times New Roman" w:cs="Times New Roman"/>
                      <w:b w:val="0"/>
                      <w:bCs w:val="0"/>
                      <w:color w:val="auto"/>
                      <w:sz w:val="21"/>
                      <w:szCs w:val="21"/>
                      <w:highlight w:val="none"/>
                      <w:vertAlign w:val="subscript"/>
                      <w:lang w:val="en-US" w:eastAsia="zh-CN"/>
                    </w:rPr>
                    <w:t>3</w:t>
                  </w:r>
                  <w:r>
                    <w:rPr>
                      <w:rFonts w:hint="default" w:ascii="Times New Roman" w:hAnsi="Times New Roman" w:cs="Times New Roman"/>
                      <w:b w:val="0"/>
                      <w:bCs w:val="0"/>
                      <w:color w:val="auto"/>
                      <w:sz w:val="21"/>
                      <w:szCs w:val="21"/>
                      <w:highlight w:val="none"/>
                      <w:lang w:val="en-US" w:eastAsia="zh-CN"/>
                    </w:rPr>
                    <w:t>-N</w:t>
                  </w:r>
                </w:p>
              </w:tc>
              <w:tc>
                <w:tcPr>
                  <w:tcW w:w="750" w:type="dxa"/>
                  <w:vMerge w:val="continue"/>
                  <w:noWrap w:val="0"/>
                  <w:vAlign w:val="center"/>
                </w:tcPr>
                <w:p w14:paraId="4F1A4F74">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vMerge w:val="continue"/>
                  <w:noWrap w:val="0"/>
                  <w:vAlign w:val="center"/>
                </w:tcPr>
                <w:p w14:paraId="5750F90B">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643" w:type="dxa"/>
                  <w:vMerge w:val="continue"/>
                  <w:noWrap w:val="0"/>
                  <w:vAlign w:val="center"/>
                </w:tcPr>
                <w:p w14:paraId="70A0AAEA">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1715" w:type="dxa"/>
                  <w:vMerge w:val="continue"/>
                  <w:noWrap w:val="0"/>
                  <w:vAlign w:val="center"/>
                </w:tcPr>
                <w:p w14:paraId="26F12A88">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1052" w:type="dxa"/>
                  <w:vMerge w:val="continue"/>
                  <w:noWrap w:val="0"/>
                  <w:vAlign w:val="center"/>
                </w:tcPr>
                <w:p w14:paraId="07932632">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707" w:type="dxa"/>
                  <w:vMerge w:val="continue"/>
                  <w:noWrap w:val="0"/>
                  <w:vAlign w:val="center"/>
                </w:tcPr>
                <w:p w14:paraId="41D7940F">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859" w:type="dxa"/>
                  <w:vMerge w:val="continue"/>
                  <w:noWrap w:val="0"/>
                  <w:vAlign w:val="center"/>
                </w:tcPr>
                <w:p w14:paraId="5A86DE67">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c>
                <w:tcPr>
                  <w:tcW w:w="539" w:type="dxa"/>
                  <w:vMerge w:val="continue"/>
                  <w:noWrap w:val="0"/>
                  <w:vAlign w:val="center"/>
                </w:tcPr>
                <w:p w14:paraId="116D767B">
                  <w:pPr>
                    <w:pStyle w:val="91"/>
                    <w:keepNext w:val="0"/>
                    <w:keepLines w:val="0"/>
                    <w:pageBreakBefore w:val="0"/>
                    <w:kinsoku/>
                    <w:wordWrap/>
                    <w:overflowPunct/>
                    <w:topLinePunct w:val="0"/>
                    <w:autoSpaceDE/>
                    <w:autoSpaceDN/>
                    <w:bidi w:val="0"/>
                    <w:adjustRightInd w:val="0"/>
                    <w:snapToGrid w:val="0"/>
                    <w:rPr>
                      <w:rFonts w:hint="default" w:ascii="Times New Roman" w:hAnsi="Times New Roman" w:cs="Times New Roman"/>
                      <w:b w:val="0"/>
                      <w:bCs w:val="0"/>
                      <w:color w:val="auto"/>
                      <w:sz w:val="21"/>
                      <w:szCs w:val="21"/>
                      <w:highlight w:val="none"/>
                      <w:lang w:val="en-US" w:eastAsia="zh-CN"/>
                    </w:rPr>
                  </w:pPr>
                </w:p>
              </w:tc>
            </w:tr>
          </w:tbl>
          <w:p w14:paraId="73245982">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lang w:val="en-US" w:eastAsia="zh-CN"/>
              </w:rPr>
            </w:pPr>
            <w:r>
              <w:rPr>
                <w:rFonts w:hint="default" w:ascii="Times New Roman" w:hAnsi="Times New Roman" w:eastAsia="黑体" w:cs="Times New Roman"/>
                <w:b w:val="0"/>
                <w:bCs/>
                <w:color w:val="auto"/>
                <w:lang w:val="en-US" w:eastAsia="zh-CN"/>
              </w:rPr>
              <w:t>表4.2-17  废水间接排放口基本情况表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10"/>
              <w:gridCol w:w="809"/>
              <w:gridCol w:w="901"/>
              <w:gridCol w:w="897"/>
              <w:gridCol w:w="1032"/>
              <w:gridCol w:w="1083"/>
              <w:gridCol w:w="1408"/>
              <w:gridCol w:w="2117"/>
            </w:tblGrid>
            <w:tr w14:paraId="5F4A3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237" w:type="pct"/>
                  <w:vMerge w:val="restart"/>
                  <w:tcBorders>
                    <w:tl2br w:val="nil"/>
                    <w:tr2bl w:val="nil"/>
                  </w:tcBorders>
                  <w:noWrap w:val="0"/>
                  <w:vAlign w:val="center"/>
                </w:tcPr>
                <w:p w14:paraId="7DEE6DA8">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序号</w:t>
                  </w:r>
                </w:p>
              </w:tc>
              <w:tc>
                <w:tcPr>
                  <w:tcW w:w="467" w:type="pct"/>
                  <w:vMerge w:val="restart"/>
                  <w:tcBorders>
                    <w:tl2br w:val="nil"/>
                    <w:tr2bl w:val="nil"/>
                  </w:tcBorders>
                  <w:noWrap w:val="0"/>
                  <w:vAlign w:val="center"/>
                </w:tcPr>
                <w:p w14:paraId="53360112">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排放口编号</w:t>
                  </w:r>
                </w:p>
              </w:tc>
              <w:tc>
                <w:tcPr>
                  <w:tcW w:w="520" w:type="pct"/>
                  <w:vMerge w:val="restart"/>
                  <w:tcBorders>
                    <w:tl2br w:val="nil"/>
                    <w:tr2bl w:val="nil"/>
                  </w:tcBorders>
                  <w:noWrap w:val="0"/>
                  <w:vAlign w:val="center"/>
                </w:tcPr>
                <w:p w14:paraId="5BD419F6">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废水排放量</w:t>
                  </w:r>
                </w:p>
                <w:p w14:paraId="5A3A3008">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（t/a）</w:t>
                  </w:r>
                </w:p>
              </w:tc>
              <w:tc>
                <w:tcPr>
                  <w:tcW w:w="518" w:type="pct"/>
                  <w:vMerge w:val="restart"/>
                  <w:tcBorders>
                    <w:tl2br w:val="nil"/>
                    <w:tr2bl w:val="nil"/>
                  </w:tcBorders>
                  <w:noWrap w:val="0"/>
                  <w:vAlign w:val="center"/>
                </w:tcPr>
                <w:p w14:paraId="4B196032">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排放</w:t>
                  </w:r>
                </w:p>
                <w:p w14:paraId="18FB540D">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去向</w:t>
                  </w:r>
                </w:p>
              </w:tc>
              <w:tc>
                <w:tcPr>
                  <w:tcW w:w="596" w:type="pct"/>
                  <w:vMerge w:val="restart"/>
                  <w:tcBorders>
                    <w:tl2br w:val="nil"/>
                    <w:tr2bl w:val="nil"/>
                  </w:tcBorders>
                  <w:noWrap w:val="0"/>
                  <w:vAlign w:val="center"/>
                </w:tcPr>
                <w:p w14:paraId="2815FB74">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排放</w:t>
                  </w:r>
                </w:p>
                <w:p w14:paraId="37F14A7E">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规律</w:t>
                  </w:r>
                </w:p>
              </w:tc>
              <w:tc>
                <w:tcPr>
                  <w:tcW w:w="2660" w:type="pct"/>
                  <w:gridSpan w:val="3"/>
                  <w:tcBorders>
                    <w:tl2br w:val="nil"/>
                    <w:tr2bl w:val="nil"/>
                  </w:tcBorders>
                  <w:noWrap w:val="0"/>
                  <w:vAlign w:val="center"/>
                </w:tcPr>
                <w:p w14:paraId="75733C3C">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受纳污水处理厂信息</w:t>
                  </w:r>
                </w:p>
              </w:tc>
            </w:tr>
            <w:tr w14:paraId="26668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237" w:type="pct"/>
                  <w:vMerge w:val="continue"/>
                  <w:tcBorders>
                    <w:tl2br w:val="nil"/>
                    <w:tr2bl w:val="nil"/>
                  </w:tcBorders>
                  <w:noWrap w:val="0"/>
                  <w:vAlign w:val="center"/>
                </w:tcPr>
                <w:p w14:paraId="15342DB9">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467" w:type="pct"/>
                  <w:vMerge w:val="continue"/>
                  <w:tcBorders>
                    <w:tl2br w:val="nil"/>
                    <w:tr2bl w:val="nil"/>
                  </w:tcBorders>
                  <w:noWrap w:val="0"/>
                  <w:vAlign w:val="center"/>
                </w:tcPr>
                <w:p w14:paraId="08F9AF9A">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20" w:type="pct"/>
                  <w:vMerge w:val="continue"/>
                  <w:tcBorders>
                    <w:tl2br w:val="nil"/>
                    <w:tr2bl w:val="nil"/>
                  </w:tcBorders>
                  <w:noWrap w:val="0"/>
                  <w:vAlign w:val="center"/>
                </w:tcPr>
                <w:p w14:paraId="62F2D293">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18" w:type="pct"/>
                  <w:vMerge w:val="continue"/>
                  <w:tcBorders>
                    <w:tl2br w:val="nil"/>
                    <w:tr2bl w:val="nil"/>
                  </w:tcBorders>
                  <w:noWrap w:val="0"/>
                  <w:vAlign w:val="center"/>
                </w:tcPr>
                <w:p w14:paraId="346C2C1B">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96" w:type="pct"/>
                  <w:vMerge w:val="continue"/>
                  <w:tcBorders>
                    <w:tl2br w:val="nil"/>
                    <w:tr2bl w:val="nil"/>
                  </w:tcBorders>
                  <w:noWrap w:val="0"/>
                  <w:vAlign w:val="center"/>
                </w:tcPr>
                <w:p w14:paraId="45790E10">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625" w:type="pct"/>
                  <w:tcBorders>
                    <w:tl2br w:val="nil"/>
                    <w:tr2bl w:val="nil"/>
                  </w:tcBorders>
                  <w:noWrap w:val="0"/>
                  <w:vAlign w:val="center"/>
                </w:tcPr>
                <w:p w14:paraId="1CF6957A">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名称</w:t>
                  </w:r>
                </w:p>
              </w:tc>
              <w:tc>
                <w:tcPr>
                  <w:tcW w:w="813" w:type="pct"/>
                  <w:tcBorders>
                    <w:tl2br w:val="nil"/>
                    <w:tr2bl w:val="nil"/>
                  </w:tcBorders>
                  <w:noWrap w:val="0"/>
                  <w:vAlign w:val="center"/>
                </w:tcPr>
                <w:p w14:paraId="2E74210D">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污染物种类</w:t>
                  </w:r>
                </w:p>
              </w:tc>
              <w:tc>
                <w:tcPr>
                  <w:tcW w:w="1221" w:type="pct"/>
                  <w:tcBorders>
                    <w:tl2br w:val="nil"/>
                    <w:tr2bl w:val="nil"/>
                  </w:tcBorders>
                  <w:noWrap w:val="0"/>
                  <w:vAlign w:val="center"/>
                </w:tcPr>
                <w:p w14:paraId="101416E6">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国家或地方污染物排放标准限值（mg/L）</w:t>
                  </w:r>
                </w:p>
              </w:tc>
            </w:tr>
            <w:tr w14:paraId="72DF5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237" w:type="pct"/>
                  <w:vMerge w:val="restart"/>
                  <w:tcBorders>
                    <w:tl2br w:val="nil"/>
                    <w:tr2bl w:val="nil"/>
                  </w:tcBorders>
                  <w:noWrap w:val="0"/>
                  <w:vAlign w:val="center"/>
                </w:tcPr>
                <w:p w14:paraId="1E6B4D30">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467" w:type="pct"/>
                  <w:vMerge w:val="restart"/>
                  <w:tcBorders>
                    <w:tl2br w:val="nil"/>
                    <w:tr2bl w:val="nil"/>
                  </w:tcBorders>
                  <w:noWrap w:val="0"/>
                  <w:vAlign w:val="center"/>
                </w:tcPr>
                <w:p w14:paraId="43B3B4F6">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DW001</w:t>
                  </w:r>
                </w:p>
              </w:tc>
              <w:tc>
                <w:tcPr>
                  <w:tcW w:w="520" w:type="pct"/>
                  <w:vMerge w:val="restart"/>
                  <w:tcBorders>
                    <w:tl2br w:val="nil"/>
                    <w:tr2bl w:val="nil"/>
                  </w:tcBorders>
                  <w:noWrap w:val="0"/>
                  <w:vAlign w:val="center"/>
                </w:tcPr>
                <w:p w14:paraId="2D39093D">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lang w:eastAsia="zh-CN"/>
                    </w:rPr>
                    <w:t>52496.25</w:t>
                  </w:r>
                </w:p>
              </w:tc>
              <w:tc>
                <w:tcPr>
                  <w:tcW w:w="518" w:type="pct"/>
                  <w:vMerge w:val="restart"/>
                  <w:tcBorders>
                    <w:tl2br w:val="nil"/>
                    <w:tr2bl w:val="nil"/>
                  </w:tcBorders>
                  <w:noWrap w:val="0"/>
                  <w:vAlign w:val="center"/>
                </w:tcPr>
                <w:p w14:paraId="4942FE0E">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b w:val="0"/>
                      <w:bCs w:val="0"/>
                      <w:color w:val="auto"/>
                      <w:kern w:val="0"/>
                      <w:sz w:val="21"/>
                      <w:szCs w:val="21"/>
                      <w:highlight w:val="none"/>
                      <w:lang w:val="en-US" w:eastAsia="zh-CN" w:bidi="ar"/>
                    </w:rPr>
                    <w:t>沙县</w:t>
                  </w:r>
                  <w:r>
                    <w:rPr>
                      <w:rFonts w:hint="default" w:ascii="Times New Roman" w:hAnsi="Times New Roman" w:cs="Times New Roman"/>
                      <w:b w:val="0"/>
                      <w:bCs w:val="0"/>
                      <w:color w:val="auto"/>
                      <w:kern w:val="0"/>
                      <w:sz w:val="21"/>
                      <w:szCs w:val="21"/>
                      <w:highlight w:val="none"/>
                      <w:lang w:bidi="ar"/>
                    </w:rPr>
                    <w:t>金古北片区污水处理厂</w:t>
                  </w:r>
                </w:p>
              </w:tc>
              <w:tc>
                <w:tcPr>
                  <w:tcW w:w="596" w:type="pct"/>
                  <w:vMerge w:val="restart"/>
                  <w:tcBorders>
                    <w:tl2br w:val="nil"/>
                    <w:tr2bl w:val="nil"/>
                  </w:tcBorders>
                  <w:noWrap w:val="0"/>
                  <w:vAlign w:val="center"/>
                </w:tcPr>
                <w:p w14:paraId="246ED514">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连续排放，流量稳定</w:t>
                  </w:r>
                </w:p>
              </w:tc>
              <w:tc>
                <w:tcPr>
                  <w:tcW w:w="625" w:type="pct"/>
                  <w:vMerge w:val="restart"/>
                  <w:tcBorders>
                    <w:tl2br w:val="nil"/>
                    <w:tr2bl w:val="nil"/>
                  </w:tcBorders>
                  <w:noWrap w:val="0"/>
                  <w:vAlign w:val="center"/>
                </w:tcPr>
                <w:p w14:paraId="0903F4C9">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b w:val="0"/>
                      <w:bCs w:val="0"/>
                      <w:color w:val="auto"/>
                      <w:kern w:val="0"/>
                      <w:sz w:val="21"/>
                      <w:szCs w:val="21"/>
                      <w:highlight w:val="none"/>
                      <w:lang w:val="en-US" w:eastAsia="zh-CN" w:bidi="ar"/>
                    </w:rPr>
                    <w:t>沙县</w:t>
                  </w:r>
                  <w:r>
                    <w:rPr>
                      <w:rFonts w:hint="default" w:ascii="Times New Roman" w:hAnsi="Times New Roman" w:cs="Times New Roman"/>
                      <w:b w:val="0"/>
                      <w:bCs w:val="0"/>
                      <w:color w:val="auto"/>
                      <w:kern w:val="0"/>
                      <w:sz w:val="21"/>
                      <w:szCs w:val="21"/>
                      <w:highlight w:val="none"/>
                      <w:lang w:bidi="ar"/>
                    </w:rPr>
                    <w:t>金古北片区污水处理厂</w:t>
                  </w:r>
                </w:p>
              </w:tc>
              <w:tc>
                <w:tcPr>
                  <w:tcW w:w="813" w:type="pct"/>
                  <w:tcBorders>
                    <w:tl2br w:val="nil"/>
                    <w:tr2bl w:val="nil"/>
                  </w:tcBorders>
                  <w:noWrap w:val="0"/>
                  <w:vAlign w:val="center"/>
                </w:tcPr>
                <w:p w14:paraId="12C05B9D">
                  <w:pPr>
                    <w:pStyle w:val="91"/>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pH</w:t>
                  </w:r>
                </w:p>
              </w:tc>
              <w:tc>
                <w:tcPr>
                  <w:tcW w:w="1221" w:type="pct"/>
                  <w:tcBorders>
                    <w:tl2br w:val="nil"/>
                    <w:tr2bl w:val="nil"/>
                  </w:tcBorders>
                  <w:noWrap w:val="0"/>
                  <w:vAlign w:val="center"/>
                </w:tcPr>
                <w:p w14:paraId="67AC951A">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6~9</w:t>
                  </w:r>
                </w:p>
              </w:tc>
            </w:tr>
            <w:tr w14:paraId="6EDDC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237" w:type="pct"/>
                  <w:vMerge w:val="continue"/>
                  <w:tcBorders>
                    <w:tl2br w:val="nil"/>
                    <w:tr2bl w:val="nil"/>
                  </w:tcBorders>
                  <w:noWrap w:val="0"/>
                  <w:vAlign w:val="center"/>
                </w:tcPr>
                <w:p w14:paraId="322137D5">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467" w:type="pct"/>
                  <w:vMerge w:val="continue"/>
                  <w:tcBorders>
                    <w:tl2br w:val="nil"/>
                    <w:tr2bl w:val="nil"/>
                  </w:tcBorders>
                  <w:noWrap w:val="0"/>
                  <w:vAlign w:val="center"/>
                </w:tcPr>
                <w:p w14:paraId="30A58CF9">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20" w:type="pct"/>
                  <w:vMerge w:val="continue"/>
                  <w:tcBorders>
                    <w:tl2br w:val="nil"/>
                    <w:tr2bl w:val="nil"/>
                  </w:tcBorders>
                  <w:noWrap w:val="0"/>
                  <w:vAlign w:val="center"/>
                </w:tcPr>
                <w:p w14:paraId="651C272C">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18" w:type="pct"/>
                  <w:vMerge w:val="continue"/>
                  <w:tcBorders>
                    <w:tl2br w:val="nil"/>
                    <w:tr2bl w:val="nil"/>
                  </w:tcBorders>
                  <w:noWrap w:val="0"/>
                  <w:vAlign w:val="center"/>
                </w:tcPr>
                <w:p w14:paraId="3FB2B64D">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96" w:type="pct"/>
                  <w:vMerge w:val="continue"/>
                  <w:tcBorders>
                    <w:tl2br w:val="nil"/>
                    <w:tr2bl w:val="nil"/>
                  </w:tcBorders>
                  <w:noWrap w:val="0"/>
                  <w:vAlign w:val="center"/>
                </w:tcPr>
                <w:p w14:paraId="4E44760D">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625" w:type="pct"/>
                  <w:vMerge w:val="continue"/>
                  <w:tcBorders>
                    <w:tl2br w:val="nil"/>
                    <w:tr2bl w:val="nil"/>
                  </w:tcBorders>
                  <w:noWrap w:val="0"/>
                  <w:vAlign w:val="center"/>
                </w:tcPr>
                <w:p w14:paraId="2B5A2CF6">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813" w:type="pct"/>
                  <w:tcBorders>
                    <w:tl2br w:val="nil"/>
                    <w:tr2bl w:val="nil"/>
                  </w:tcBorders>
                  <w:noWrap w:val="0"/>
                  <w:vAlign w:val="center"/>
                </w:tcPr>
                <w:p w14:paraId="7F772E6F">
                  <w:pPr>
                    <w:pStyle w:val="91"/>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CODcr</w:t>
                  </w:r>
                </w:p>
              </w:tc>
              <w:tc>
                <w:tcPr>
                  <w:tcW w:w="1221" w:type="pct"/>
                  <w:tcBorders>
                    <w:tl2br w:val="nil"/>
                    <w:tr2bl w:val="nil"/>
                  </w:tcBorders>
                  <w:noWrap w:val="0"/>
                  <w:vAlign w:val="center"/>
                </w:tcPr>
                <w:p w14:paraId="381BA249">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50</w:t>
                  </w:r>
                </w:p>
              </w:tc>
            </w:tr>
            <w:tr w14:paraId="181E7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237" w:type="pct"/>
                  <w:vMerge w:val="continue"/>
                  <w:tcBorders>
                    <w:tl2br w:val="nil"/>
                    <w:tr2bl w:val="nil"/>
                  </w:tcBorders>
                  <w:noWrap w:val="0"/>
                  <w:vAlign w:val="center"/>
                </w:tcPr>
                <w:p w14:paraId="5A156954">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467" w:type="pct"/>
                  <w:vMerge w:val="continue"/>
                  <w:tcBorders>
                    <w:tl2br w:val="nil"/>
                    <w:tr2bl w:val="nil"/>
                  </w:tcBorders>
                  <w:noWrap w:val="0"/>
                  <w:vAlign w:val="center"/>
                </w:tcPr>
                <w:p w14:paraId="7EA608A4">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20" w:type="pct"/>
                  <w:vMerge w:val="continue"/>
                  <w:tcBorders>
                    <w:tl2br w:val="nil"/>
                    <w:tr2bl w:val="nil"/>
                  </w:tcBorders>
                  <w:noWrap w:val="0"/>
                  <w:vAlign w:val="center"/>
                </w:tcPr>
                <w:p w14:paraId="1A1F24A3">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18" w:type="pct"/>
                  <w:vMerge w:val="continue"/>
                  <w:tcBorders>
                    <w:tl2br w:val="nil"/>
                    <w:tr2bl w:val="nil"/>
                  </w:tcBorders>
                  <w:noWrap w:val="0"/>
                  <w:vAlign w:val="center"/>
                </w:tcPr>
                <w:p w14:paraId="526BA440">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96" w:type="pct"/>
                  <w:vMerge w:val="continue"/>
                  <w:tcBorders>
                    <w:tl2br w:val="nil"/>
                    <w:tr2bl w:val="nil"/>
                  </w:tcBorders>
                  <w:noWrap w:val="0"/>
                  <w:vAlign w:val="center"/>
                </w:tcPr>
                <w:p w14:paraId="730190DB">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625" w:type="pct"/>
                  <w:vMerge w:val="continue"/>
                  <w:tcBorders>
                    <w:tl2br w:val="nil"/>
                    <w:tr2bl w:val="nil"/>
                  </w:tcBorders>
                  <w:noWrap w:val="0"/>
                  <w:vAlign w:val="center"/>
                </w:tcPr>
                <w:p w14:paraId="78DEC119">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813" w:type="pct"/>
                  <w:tcBorders>
                    <w:tl2br w:val="nil"/>
                    <w:tr2bl w:val="nil"/>
                  </w:tcBorders>
                  <w:noWrap w:val="0"/>
                  <w:vAlign w:val="center"/>
                </w:tcPr>
                <w:p w14:paraId="28B222F7">
                  <w:pPr>
                    <w:pStyle w:val="91"/>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NH</w:t>
                  </w:r>
                  <w:r>
                    <w:rPr>
                      <w:rFonts w:hint="default" w:ascii="Times New Roman" w:hAnsi="Times New Roman" w:cs="Times New Roman"/>
                      <w:color w:val="auto"/>
                      <w:highlight w:val="none"/>
                      <w:vertAlign w:val="subscript"/>
                      <w:lang w:val="en-US" w:eastAsia="zh-CN"/>
                    </w:rPr>
                    <w:t>3</w:t>
                  </w:r>
                  <w:r>
                    <w:rPr>
                      <w:rFonts w:hint="default" w:ascii="Times New Roman" w:hAnsi="Times New Roman" w:cs="Times New Roman"/>
                      <w:color w:val="auto"/>
                      <w:highlight w:val="none"/>
                      <w:lang w:val="en-US" w:eastAsia="zh-CN"/>
                    </w:rPr>
                    <w:t>-N</w:t>
                  </w:r>
                </w:p>
              </w:tc>
              <w:tc>
                <w:tcPr>
                  <w:tcW w:w="1221" w:type="pct"/>
                  <w:tcBorders>
                    <w:tl2br w:val="nil"/>
                    <w:tr2bl w:val="nil"/>
                  </w:tcBorders>
                  <w:noWrap w:val="0"/>
                  <w:vAlign w:val="center"/>
                </w:tcPr>
                <w:p w14:paraId="2C7D48FF">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r>
            <w:tr w14:paraId="54B01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237" w:type="pct"/>
                  <w:vMerge w:val="continue"/>
                  <w:tcBorders>
                    <w:tl2br w:val="nil"/>
                    <w:tr2bl w:val="nil"/>
                  </w:tcBorders>
                  <w:noWrap w:val="0"/>
                  <w:vAlign w:val="center"/>
                </w:tcPr>
                <w:p w14:paraId="66684D42">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467" w:type="pct"/>
                  <w:vMerge w:val="continue"/>
                  <w:tcBorders>
                    <w:tl2br w:val="nil"/>
                    <w:tr2bl w:val="nil"/>
                  </w:tcBorders>
                  <w:noWrap w:val="0"/>
                  <w:vAlign w:val="center"/>
                </w:tcPr>
                <w:p w14:paraId="47186852">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20" w:type="pct"/>
                  <w:vMerge w:val="continue"/>
                  <w:tcBorders>
                    <w:tl2br w:val="nil"/>
                    <w:tr2bl w:val="nil"/>
                  </w:tcBorders>
                  <w:noWrap w:val="0"/>
                  <w:vAlign w:val="center"/>
                </w:tcPr>
                <w:p w14:paraId="3AA66B9D">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18" w:type="pct"/>
                  <w:vMerge w:val="continue"/>
                  <w:tcBorders>
                    <w:tl2br w:val="nil"/>
                    <w:tr2bl w:val="nil"/>
                  </w:tcBorders>
                  <w:noWrap w:val="0"/>
                  <w:vAlign w:val="center"/>
                </w:tcPr>
                <w:p w14:paraId="4318CD77">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96" w:type="pct"/>
                  <w:vMerge w:val="continue"/>
                  <w:tcBorders>
                    <w:tl2br w:val="nil"/>
                    <w:tr2bl w:val="nil"/>
                  </w:tcBorders>
                  <w:noWrap w:val="0"/>
                  <w:vAlign w:val="center"/>
                </w:tcPr>
                <w:p w14:paraId="2B9A7017">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625" w:type="pct"/>
                  <w:vMerge w:val="continue"/>
                  <w:tcBorders>
                    <w:tl2br w:val="nil"/>
                    <w:tr2bl w:val="nil"/>
                  </w:tcBorders>
                  <w:noWrap w:val="0"/>
                  <w:vAlign w:val="center"/>
                </w:tcPr>
                <w:p w14:paraId="21DDD5AF">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813" w:type="pct"/>
                  <w:tcBorders>
                    <w:tl2br w:val="nil"/>
                    <w:tr2bl w:val="nil"/>
                  </w:tcBorders>
                  <w:noWrap w:val="0"/>
                  <w:vAlign w:val="center"/>
                </w:tcPr>
                <w:p w14:paraId="6844BCE1">
                  <w:pPr>
                    <w:pStyle w:val="91"/>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SS</w:t>
                  </w:r>
                </w:p>
              </w:tc>
              <w:tc>
                <w:tcPr>
                  <w:tcW w:w="1221" w:type="pct"/>
                  <w:tcBorders>
                    <w:tl2br w:val="nil"/>
                    <w:tr2bl w:val="nil"/>
                  </w:tcBorders>
                  <w:noWrap w:val="0"/>
                  <w:vAlign w:val="center"/>
                </w:tcPr>
                <w:p w14:paraId="688B9EEF">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w:t>
                  </w:r>
                </w:p>
              </w:tc>
            </w:tr>
            <w:tr w14:paraId="0FD08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237" w:type="pct"/>
                  <w:vMerge w:val="continue"/>
                  <w:tcBorders>
                    <w:tl2br w:val="nil"/>
                    <w:tr2bl w:val="nil"/>
                  </w:tcBorders>
                  <w:noWrap w:val="0"/>
                  <w:vAlign w:val="center"/>
                </w:tcPr>
                <w:p w14:paraId="00DD673D">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467" w:type="pct"/>
                  <w:vMerge w:val="continue"/>
                  <w:tcBorders>
                    <w:tl2br w:val="nil"/>
                    <w:tr2bl w:val="nil"/>
                  </w:tcBorders>
                  <w:noWrap w:val="0"/>
                  <w:vAlign w:val="center"/>
                </w:tcPr>
                <w:p w14:paraId="364DAC7C">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20" w:type="pct"/>
                  <w:vMerge w:val="continue"/>
                  <w:tcBorders>
                    <w:tl2br w:val="nil"/>
                    <w:tr2bl w:val="nil"/>
                  </w:tcBorders>
                  <w:noWrap w:val="0"/>
                  <w:vAlign w:val="center"/>
                </w:tcPr>
                <w:p w14:paraId="6E1C425A">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18" w:type="pct"/>
                  <w:vMerge w:val="continue"/>
                  <w:tcBorders>
                    <w:tl2br w:val="nil"/>
                    <w:tr2bl w:val="nil"/>
                  </w:tcBorders>
                  <w:noWrap w:val="0"/>
                  <w:vAlign w:val="center"/>
                </w:tcPr>
                <w:p w14:paraId="521FADC8">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96" w:type="pct"/>
                  <w:vMerge w:val="continue"/>
                  <w:tcBorders>
                    <w:tl2br w:val="nil"/>
                    <w:tr2bl w:val="nil"/>
                  </w:tcBorders>
                  <w:noWrap w:val="0"/>
                  <w:vAlign w:val="center"/>
                </w:tcPr>
                <w:p w14:paraId="29F31645">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625" w:type="pct"/>
                  <w:vMerge w:val="continue"/>
                  <w:tcBorders>
                    <w:tl2br w:val="nil"/>
                    <w:tr2bl w:val="nil"/>
                  </w:tcBorders>
                  <w:noWrap w:val="0"/>
                  <w:vAlign w:val="center"/>
                </w:tcPr>
                <w:p w14:paraId="17D9D248">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813" w:type="pct"/>
                  <w:tcBorders>
                    <w:tl2br w:val="nil"/>
                    <w:tr2bl w:val="nil"/>
                  </w:tcBorders>
                  <w:noWrap w:val="0"/>
                  <w:vAlign w:val="center"/>
                </w:tcPr>
                <w:p w14:paraId="18CAC628">
                  <w:pPr>
                    <w:pStyle w:val="91"/>
                    <w:keepNext w:val="0"/>
                    <w:keepLines w:val="0"/>
                    <w:pageBreakBefore w:val="0"/>
                    <w:widowControl w:val="0"/>
                    <w:kinsoku/>
                    <w:wordWrap/>
                    <w:overflowPunct/>
                    <w:topLinePunct w:val="0"/>
                    <w:autoSpaceDE/>
                    <w:autoSpaceDN/>
                    <w:bidi w:val="0"/>
                    <w:adjustRightInd/>
                    <w:snapToGrid w:val="0"/>
                    <w:ind w:firstLine="0" w:firstLineChars="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总磷</w:t>
                  </w:r>
                </w:p>
              </w:tc>
              <w:tc>
                <w:tcPr>
                  <w:tcW w:w="1221" w:type="pct"/>
                  <w:tcBorders>
                    <w:tl2br w:val="nil"/>
                    <w:tr2bl w:val="nil"/>
                  </w:tcBorders>
                  <w:noWrap w:val="0"/>
                  <w:vAlign w:val="center"/>
                </w:tcPr>
                <w:p w14:paraId="16A05B29">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0.5</w:t>
                  </w:r>
                </w:p>
              </w:tc>
            </w:tr>
            <w:tr w14:paraId="071AB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237" w:type="pct"/>
                  <w:vMerge w:val="continue"/>
                  <w:tcBorders>
                    <w:tl2br w:val="nil"/>
                    <w:tr2bl w:val="nil"/>
                  </w:tcBorders>
                  <w:noWrap w:val="0"/>
                  <w:vAlign w:val="center"/>
                </w:tcPr>
                <w:p w14:paraId="4AEE76CA">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467" w:type="pct"/>
                  <w:vMerge w:val="continue"/>
                  <w:tcBorders>
                    <w:tl2br w:val="nil"/>
                    <w:tr2bl w:val="nil"/>
                  </w:tcBorders>
                  <w:noWrap w:val="0"/>
                  <w:vAlign w:val="center"/>
                </w:tcPr>
                <w:p w14:paraId="2A415EA9">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20" w:type="pct"/>
                  <w:vMerge w:val="continue"/>
                  <w:tcBorders>
                    <w:tl2br w:val="nil"/>
                    <w:tr2bl w:val="nil"/>
                  </w:tcBorders>
                  <w:noWrap w:val="0"/>
                  <w:vAlign w:val="center"/>
                </w:tcPr>
                <w:p w14:paraId="1B8B4394">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18" w:type="pct"/>
                  <w:vMerge w:val="continue"/>
                  <w:tcBorders>
                    <w:tl2br w:val="nil"/>
                    <w:tr2bl w:val="nil"/>
                  </w:tcBorders>
                  <w:noWrap w:val="0"/>
                  <w:vAlign w:val="center"/>
                </w:tcPr>
                <w:p w14:paraId="419F4DFE">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96" w:type="pct"/>
                  <w:vMerge w:val="continue"/>
                  <w:tcBorders>
                    <w:tl2br w:val="nil"/>
                    <w:tr2bl w:val="nil"/>
                  </w:tcBorders>
                  <w:noWrap w:val="0"/>
                  <w:vAlign w:val="center"/>
                </w:tcPr>
                <w:p w14:paraId="2C0D2E07">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625" w:type="pct"/>
                  <w:vMerge w:val="continue"/>
                  <w:tcBorders>
                    <w:tl2br w:val="nil"/>
                    <w:tr2bl w:val="nil"/>
                  </w:tcBorders>
                  <w:noWrap w:val="0"/>
                  <w:vAlign w:val="center"/>
                </w:tcPr>
                <w:p w14:paraId="693855A3">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813" w:type="pct"/>
                  <w:tcBorders>
                    <w:tl2br w:val="nil"/>
                    <w:tr2bl w:val="nil"/>
                  </w:tcBorders>
                  <w:noWrap w:val="0"/>
                  <w:vAlign w:val="center"/>
                </w:tcPr>
                <w:p w14:paraId="525BDBFB">
                  <w:pPr>
                    <w:pStyle w:val="91"/>
                    <w:keepNext w:val="0"/>
                    <w:keepLines w:val="0"/>
                    <w:pageBreakBefore w:val="0"/>
                    <w:widowControl w:val="0"/>
                    <w:kinsoku/>
                    <w:wordWrap/>
                    <w:overflowPunct/>
                    <w:topLinePunct w:val="0"/>
                    <w:autoSpaceDE/>
                    <w:autoSpaceDN/>
                    <w:bidi w:val="0"/>
                    <w:adjustRightInd/>
                    <w:snapToGrid w:val="0"/>
                    <w:ind w:firstLine="0" w:firstLineChars="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总氮</w:t>
                  </w:r>
                </w:p>
              </w:tc>
              <w:tc>
                <w:tcPr>
                  <w:tcW w:w="1221" w:type="pct"/>
                  <w:tcBorders>
                    <w:tl2br w:val="nil"/>
                    <w:tr2bl w:val="nil"/>
                  </w:tcBorders>
                  <w:noWrap w:val="0"/>
                  <w:vAlign w:val="center"/>
                </w:tcPr>
                <w:p w14:paraId="62DC8E77">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w:t>
                  </w:r>
                </w:p>
              </w:tc>
            </w:tr>
            <w:tr w14:paraId="613A2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237" w:type="pct"/>
                  <w:vMerge w:val="continue"/>
                  <w:tcBorders>
                    <w:tl2br w:val="nil"/>
                    <w:tr2bl w:val="nil"/>
                  </w:tcBorders>
                  <w:noWrap w:val="0"/>
                  <w:vAlign w:val="center"/>
                </w:tcPr>
                <w:p w14:paraId="4377BCBC">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467" w:type="pct"/>
                  <w:vMerge w:val="continue"/>
                  <w:tcBorders>
                    <w:tl2br w:val="nil"/>
                    <w:tr2bl w:val="nil"/>
                  </w:tcBorders>
                  <w:noWrap w:val="0"/>
                  <w:vAlign w:val="center"/>
                </w:tcPr>
                <w:p w14:paraId="35E92424">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20" w:type="pct"/>
                  <w:vMerge w:val="continue"/>
                  <w:tcBorders>
                    <w:tl2br w:val="nil"/>
                    <w:tr2bl w:val="nil"/>
                  </w:tcBorders>
                  <w:noWrap w:val="0"/>
                  <w:vAlign w:val="center"/>
                </w:tcPr>
                <w:p w14:paraId="382AA171">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18" w:type="pct"/>
                  <w:vMerge w:val="continue"/>
                  <w:tcBorders>
                    <w:tl2br w:val="nil"/>
                    <w:tr2bl w:val="nil"/>
                  </w:tcBorders>
                  <w:noWrap w:val="0"/>
                  <w:vAlign w:val="center"/>
                </w:tcPr>
                <w:p w14:paraId="5C19BB61">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96" w:type="pct"/>
                  <w:vMerge w:val="continue"/>
                  <w:tcBorders>
                    <w:tl2br w:val="nil"/>
                    <w:tr2bl w:val="nil"/>
                  </w:tcBorders>
                  <w:noWrap w:val="0"/>
                  <w:vAlign w:val="center"/>
                </w:tcPr>
                <w:p w14:paraId="21E7E114">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625" w:type="pct"/>
                  <w:vMerge w:val="continue"/>
                  <w:tcBorders>
                    <w:tl2br w:val="nil"/>
                    <w:tr2bl w:val="nil"/>
                  </w:tcBorders>
                  <w:noWrap w:val="0"/>
                  <w:vAlign w:val="center"/>
                </w:tcPr>
                <w:p w14:paraId="610C00E8">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813" w:type="pct"/>
                  <w:tcBorders>
                    <w:tl2br w:val="nil"/>
                    <w:tr2bl w:val="nil"/>
                  </w:tcBorders>
                  <w:noWrap w:val="0"/>
                  <w:vAlign w:val="center"/>
                </w:tcPr>
                <w:p w14:paraId="28CC8A15">
                  <w:pPr>
                    <w:pStyle w:val="91"/>
                    <w:keepNext w:val="0"/>
                    <w:keepLines w:val="0"/>
                    <w:pageBreakBefore w:val="0"/>
                    <w:widowControl w:val="0"/>
                    <w:kinsoku/>
                    <w:wordWrap/>
                    <w:overflowPunct/>
                    <w:topLinePunct w:val="0"/>
                    <w:autoSpaceDE/>
                    <w:autoSpaceDN/>
                    <w:bidi w:val="0"/>
                    <w:adjustRightInd/>
                    <w:snapToGrid w:val="0"/>
                    <w:ind w:firstLine="0" w:firstLineChars="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总锌</w:t>
                  </w:r>
                </w:p>
              </w:tc>
              <w:tc>
                <w:tcPr>
                  <w:tcW w:w="1221" w:type="pct"/>
                  <w:tcBorders>
                    <w:tl2br w:val="nil"/>
                    <w:tr2bl w:val="nil"/>
                  </w:tcBorders>
                  <w:noWrap w:val="0"/>
                  <w:vAlign w:val="center"/>
                </w:tcPr>
                <w:p w14:paraId="1E5E2DC0">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r>
            <w:tr w14:paraId="5CAE9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237" w:type="pct"/>
                  <w:vMerge w:val="continue"/>
                  <w:tcBorders>
                    <w:tl2br w:val="nil"/>
                    <w:tr2bl w:val="nil"/>
                  </w:tcBorders>
                  <w:noWrap w:val="0"/>
                  <w:vAlign w:val="center"/>
                </w:tcPr>
                <w:p w14:paraId="67D9E250">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467" w:type="pct"/>
                  <w:vMerge w:val="continue"/>
                  <w:tcBorders>
                    <w:tl2br w:val="nil"/>
                    <w:tr2bl w:val="nil"/>
                  </w:tcBorders>
                  <w:noWrap w:val="0"/>
                  <w:vAlign w:val="center"/>
                </w:tcPr>
                <w:p w14:paraId="0227725C">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20" w:type="pct"/>
                  <w:vMerge w:val="continue"/>
                  <w:tcBorders>
                    <w:tl2br w:val="nil"/>
                    <w:tr2bl w:val="nil"/>
                  </w:tcBorders>
                  <w:noWrap w:val="0"/>
                  <w:vAlign w:val="center"/>
                </w:tcPr>
                <w:p w14:paraId="20DC3020">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18" w:type="pct"/>
                  <w:vMerge w:val="continue"/>
                  <w:tcBorders>
                    <w:tl2br w:val="nil"/>
                    <w:tr2bl w:val="nil"/>
                  </w:tcBorders>
                  <w:noWrap w:val="0"/>
                  <w:vAlign w:val="center"/>
                </w:tcPr>
                <w:p w14:paraId="25E9B4F6">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96" w:type="pct"/>
                  <w:vMerge w:val="continue"/>
                  <w:tcBorders>
                    <w:tl2br w:val="nil"/>
                    <w:tr2bl w:val="nil"/>
                  </w:tcBorders>
                  <w:noWrap w:val="0"/>
                  <w:vAlign w:val="center"/>
                </w:tcPr>
                <w:p w14:paraId="281EE3A4">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625" w:type="pct"/>
                  <w:vMerge w:val="continue"/>
                  <w:tcBorders>
                    <w:tl2br w:val="nil"/>
                    <w:tr2bl w:val="nil"/>
                  </w:tcBorders>
                  <w:noWrap w:val="0"/>
                  <w:vAlign w:val="center"/>
                </w:tcPr>
                <w:p w14:paraId="3CA7191E">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813" w:type="pct"/>
                  <w:tcBorders>
                    <w:tl2br w:val="nil"/>
                    <w:tr2bl w:val="nil"/>
                  </w:tcBorders>
                  <w:noWrap w:val="0"/>
                  <w:vAlign w:val="center"/>
                </w:tcPr>
                <w:p w14:paraId="49DC18B2">
                  <w:pPr>
                    <w:pStyle w:val="91"/>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BOD</w:t>
                  </w:r>
                  <w:r>
                    <w:rPr>
                      <w:rFonts w:hint="default" w:ascii="Times New Roman" w:hAnsi="Times New Roman" w:cs="Times New Roman"/>
                      <w:color w:val="auto"/>
                      <w:highlight w:val="none"/>
                      <w:vertAlign w:val="subscript"/>
                      <w:lang w:val="en-US" w:eastAsia="zh-CN"/>
                    </w:rPr>
                    <w:t>5</w:t>
                  </w:r>
                </w:p>
              </w:tc>
              <w:tc>
                <w:tcPr>
                  <w:tcW w:w="1221" w:type="pct"/>
                  <w:tcBorders>
                    <w:tl2br w:val="nil"/>
                    <w:tr2bl w:val="nil"/>
                  </w:tcBorders>
                  <w:noWrap w:val="0"/>
                  <w:vAlign w:val="center"/>
                </w:tcPr>
                <w:p w14:paraId="7AAA9CCB">
                  <w:pPr>
                    <w:pStyle w:val="91"/>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w:t>
                  </w:r>
                </w:p>
              </w:tc>
            </w:tr>
            <w:tr w14:paraId="4C84B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237" w:type="pct"/>
                  <w:vMerge w:val="continue"/>
                  <w:tcBorders>
                    <w:tl2br w:val="nil"/>
                    <w:tr2bl w:val="nil"/>
                  </w:tcBorders>
                  <w:noWrap w:val="0"/>
                  <w:vAlign w:val="center"/>
                </w:tcPr>
                <w:p w14:paraId="56400329">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467" w:type="pct"/>
                  <w:vMerge w:val="continue"/>
                  <w:tcBorders>
                    <w:tl2br w:val="nil"/>
                    <w:tr2bl w:val="nil"/>
                  </w:tcBorders>
                  <w:noWrap w:val="0"/>
                  <w:vAlign w:val="center"/>
                </w:tcPr>
                <w:p w14:paraId="2F682BC2">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20" w:type="pct"/>
                  <w:vMerge w:val="continue"/>
                  <w:tcBorders>
                    <w:tl2br w:val="nil"/>
                    <w:tr2bl w:val="nil"/>
                  </w:tcBorders>
                  <w:noWrap w:val="0"/>
                  <w:vAlign w:val="center"/>
                </w:tcPr>
                <w:p w14:paraId="61A16E29">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18" w:type="pct"/>
                  <w:vMerge w:val="continue"/>
                  <w:tcBorders>
                    <w:tl2br w:val="nil"/>
                    <w:tr2bl w:val="nil"/>
                  </w:tcBorders>
                  <w:noWrap w:val="0"/>
                  <w:vAlign w:val="center"/>
                </w:tcPr>
                <w:p w14:paraId="0892A162">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596" w:type="pct"/>
                  <w:vMerge w:val="continue"/>
                  <w:tcBorders>
                    <w:tl2br w:val="nil"/>
                    <w:tr2bl w:val="nil"/>
                  </w:tcBorders>
                  <w:noWrap w:val="0"/>
                  <w:vAlign w:val="center"/>
                </w:tcPr>
                <w:p w14:paraId="5217D03E">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625" w:type="pct"/>
                  <w:vMerge w:val="continue"/>
                  <w:tcBorders>
                    <w:tl2br w:val="nil"/>
                    <w:tr2bl w:val="nil"/>
                  </w:tcBorders>
                  <w:noWrap w:val="0"/>
                  <w:vAlign w:val="center"/>
                </w:tcPr>
                <w:p w14:paraId="41E0D209">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lang w:val="en-US" w:eastAsia="zh-CN"/>
                    </w:rPr>
                  </w:pPr>
                </w:p>
              </w:tc>
              <w:tc>
                <w:tcPr>
                  <w:tcW w:w="813" w:type="pct"/>
                  <w:tcBorders>
                    <w:tl2br w:val="nil"/>
                    <w:tr2bl w:val="nil"/>
                  </w:tcBorders>
                  <w:noWrap w:val="0"/>
                  <w:vAlign w:val="center"/>
                </w:tcPr>
                <w:p w14:paraId="63033296">
                  <w:pPr>
                    <w:pStyle w:val="91"/>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动植物油</w:t>
                  </w:r>
                </w:p>
              </w:tc>
              <w:tc>
                <w:tcPr>
                  <w:tcW w:w="1221" w:type="pct"/>
                  <w:tcBorders>
                    <w:tl2br w:val="nil"/>
                    <w:tr2bl w:val="nil"/>
                  </w:tcBorders>
                  <w:noWrap w:val="0"/>
                  <w:vAlign w:val="center"/>
                </w:tcPr>
                <w:p w14:paraId="5C190A5B">
                  <w:pPr>
                    <w:pStyle w:val="91"/>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r>
          </w:tbl>
          <w:p w14:paraId="65D96352">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lang w:val="en-US" w:eastAsia="zh-CN"/>
              </w:rPr>
            </w:pPr>
            <w:r>
              <w:rPr>
                <w:rFonts w:hint="default" w:ascii="Times New Roman" w:hAnsi="Times New Roman" w:eastAsia="黑体" w:cs="Times New Roman"/>
                <w:b w:val="0"/>
                <w:bCs/>
                <w:color w:val="auto"/>
                <w:lang w:val="en-US" w:eastAsia="zh-CN"/>
              </w:rPr>
              <w:t>表4.2-18  生产废水污染物排放信息表（扩建项目）</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1"/>
              <w:gridCol w:w="1299"/>
              <w:gridCol w:w="1299"/>
              <w:gridCol w:w="2042"/>
              <w:gridCol w:w="1600"/>
              <w:gridCol w:w="1766"/>
            </w:tblGrid>
            <w:tr w14:paraId="533CB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8" w:hRule="atLeast"/>
                <w:jc w:val="center"/>
              </w:trPr>
              <w:tc>
                <w:tcPr>
                  <w:tcW w:w="376" w:type="pct"/>
                  <w:noWrap w:val="0"/>
                  <w:vAlign w:val="center"/>
                </w:tcPr>
                <w:p w14:paraId="1A63CDE4">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序号</w:t>
                  </w:r>
                </w:p>
              </w:tc>
              <w:tc>
                <w:tcPr>
                  <w:tcW w:w="750" w:type="pct"/>
                  <w:noWrap w:val="0"/>
                  <w:vAlign w:val="center"/>
                </w:tcPr>
                <w:p w14:paraId="6B5A554C">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排放口编号</w:t>
                  </w:r>
                </w:p>
              </w:tc>
              <w:tc>
                <w:tcPr>
                  <w:tcW w:w="750" w:type="pct"/>
                  <w:noWrap w:val="0"/>
                  <w:vAlign w:val="center"/>
                </w:tcPr>
                <w:p w14:paraId="5121886D">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污染物种类</w:t>
                  </w:r>
                </w:p>
              </w:tc>
              <w:tc>
                <w:tcPr>
                  <w:tcW w:w="1179" w:type="pct"/>
                  <w:noWrap w:val="0"/>
                  <w:vAlign w:val="center"/>
                </w:tcPr>
                <w:p w14:paraId="55D10706">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排放浓度/（mg/L）</w:t>
                  </w:r>
                </w:p>
              </w:tc>
              <w:tc>
                <w:tcPr>
                  <w:tcW w:w="924" w:type="pct"/>
                  <w:noWrap w:val="0"/>
                  <w:vAlign w:val="center"/>
                </w:tcPr>
                <w:p w14:paraId="006526DD">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新增日排放量/</w:t>
                  </w:r>
                </w:p>
                <w:p w14:paraId="68AD7A43">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（kg/d）</w:t>
                  </w:r>
                </w:p>
              </w:tc>
              <w:tc>
                <w:tcPr>
                  <w:tcW w:w="1019" w:type="pct"/>
                  <w:noWrap w:val="0"/>
                  <w:vAlign w:val="center"/>
                </w:tcPr>
                <w:p w14:paraId="1429D117">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全厂年排放量/（t/a）</w:t>
                  </w:r>
                </w:p>
              </w:tc>
            </w:tr>
            <w:tr w14:paraId="3A845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376" w:type="pct"/>
                  <w:noWrap w:val="0"/>
                  <w:vAlign w:val="center"/>
                </w:tcPr>
                <w:p w14:paraId="6AD62513">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1</w:t>
                  </w:r>
                </w:p>
              </w:tc>
              <w:tc>
                <w:tcPr>
                  <w:tcW w:w="750" w:type="pct"/>
                  <w:vMerge w:val="restart"/>
                  <w:noWrap w:val="0"/>
                  <w:vAlign w:val="center"/>
                </w:tcPr>
                <w:p w14:paraId="3B4C86A5">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DW001</w:t>
                  </w:r>
                </w:p>
              </w:tc>
              <w:tc>
                <w:tcPr>
                  <w:tcW w:w="750" w:type="pct"/>
                  <w:noWrap w:val="0"/>
                  <w:vAlign w:val="center"/>
                </w:tcPr>
                <w:p w14:paraId="67FB64BA">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pH</w:t>
                  </w:r>
                </w:p>
              </w:tc>
              <w:tc>
                <w:tcPr>
                  <w:tcW w:w="1179" w:type="pct"/>
                  <w:noWrap w:val="0"/>
                  <w:vAlign w:val="center"/>
                </w:tcPr>
                <w:p w14:paraId="1CE53C62">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6~9</w:t>
                  </w:r>
                </w:p>
              </w:tc>
              <w:tc>
                <w:tcPr>
                  <w:tcW w:w="924" w:type="pct"/>
                  <w:noWrap w:val="0"/>
                  <w:vAlign w:val="center"/>
                </w:tcPr>
                <w:p w14:paraId="52F1FA7C">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1019" w:type="pct"/>
                  <w:noWrap w:val="0"/>
                  <w:vAlign w:val="center"/>
                </w:tcPr>
                <w:p w14:paraId="2A46D8F8">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r>
            <w:tr w14:paraId="563CF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376" w:type="pct"/>
                  <w:noWrap w:val="0"/>
                  <w:vAlign w:val="center"/>
                </w:tcPr>
                <w:p w14:paraId="39F98AE5">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2</w:t>
                  </w:r>
                </w:p>
              </w:tc>
              <w:tc>
                <w:tcPr>
                  <w:tcW w:w="750" w:type="pct"/>
                  <w:vMerge w:val="continue"/>
                  <w:noWrap w:val="0"/>
                  <w:vAlign w:val="center"/>
                </w:tcPr>
                <w:p w14:paraId="31B52E42">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750" w:type="pct"/>
                  <w:noWrap w:val="0"/>
                  <w:vAlign w:val="center"/>
                </w:tcPr>
                <w:p w14:paraId="2745AF7C">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COD</w:t>
                  </w:r>
                </w:p>
              </w:tc>
              <w:tc>
                <w:tcPr>
                  <w:tcW w:w="1179" w:type="pct"/>
                  <w:noWrap w:val="0"/>
                  <w:vAlign w:val="center"/>
                </w:tcPr>
                <w:p w14:paraId="32A3E078">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i w:val="0"/>
                      <w:color w:val="auto"/>
                      <w:kern w:val="0"/>
                      <w:sz w:val="21"/>
                      <w:szCs w:val="21"/>
                      <w:highlight w:val="none"/>
                      <w:u w:val="none"/>
                      <w:lang w:val="en-US" w:eastAsia="zh-CN" w:bidi="ar"/>
                    </w:rPr>
                    <w:t>50</w:t>
                  </w:r>
                </w:p>
              </w:tc>
              <w:tc>
                <w:tcPr>
                  <w:tcW w:w="924" w:type="pct"/>
                  <w:noWrap w:val="0"/>
                  <w:vAlign w:val="center"/>
                </w:tcPr>
                <w:p w14:paraId="5289450A">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8.749</w:t>
                  </w:r>
                </w:p>
              </w:tc>
              <w:tc>
                <w:tcPr>
                  <w:tcW w:w="1019" w:type="pct"/>
                  <w:noWrap w:val="0"/>
                  <w:vAlign w:val="center"/>
                </w:tcPr>
                <w:p w14:paraId="5F1B1B6D">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2.625</w:t>
                  </w:r>
                </w:p>
              </w:tc>
            </w:tr>
            <w:tr w14:paraId="6423D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376" w:type="pct"/>
                  <w:noWrap w:val="0"/>
                  <w:vAlign w:val="center"/>
                </w:tcPr>
                <w:p w14:paraId="07C7C58C">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3</w:t>
                  </w:r>
                </w:p>
              </w:tc>
              <w:tc>
                <w:tcPr>
                  <w:tcW w:w="750" w:type="pct"/>
                  <w:vMerge w:val="continue"/>
                  <w:noWrap w:val="0"/>
                  <w:vAlign w:val="center"/>
                </w:tcPr>
                <w:p w14:paraId="527CA433">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750" w:type="pct"/>
                  <w:noWrap w:val="0"/>
                  <w:vAlign w:val="center"/>
                </w:tcPr>
                <w:p w14:paraId="7C33E0A8">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氨氮</w:t>
                  </w:r>
                </w:p>
              </w:tc>
              <w:tc>
                <w:tcPr>
                  <w:tcW w:w="1179" w:type="pct"/>
                  <w:noWrap w:val="0"/>
                  <w:vAlign w:val="center"/>
                </w:tcPr>
                <w:p w14:paraId="623957E2">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w:t>
                  </w:r>
                </w:p>
              </w:tc>
              <w:tc>
                <w:tcPr>
                  <w:tcW w:w="924" w:type="pct"/>
                  <w:noWrap w:val="0"/>
                  <w:vAlign w:val="center"/>
                </w:tcPr>
                <w:p w14:paraId="2771D041">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0.875</w:t>
                  </w:r>
                </w:p>
              </w:tc>
              <w:tc>
                <w:tcPr>
                  <w:tcW w:w="1019" w:type="pct"/>
                  <w:noWrap w:val="0"/>
                  <w:vAlign w:val="center"/>
                </w:tcPr>
                <w:p w14:paraId="1412ED95">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0.262</w:t>
                  </w:r>
                </w:p>
              </w:tc>
            </w:tr>
            <w:tr w14:paraId="2B14A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376" w:type="pct"/>
                  <w:noWrap w:val="0"/>
                  <w:vAlign w:val="center"/>
                </w:tcPr>
                <w:p w14:paraId="3F4CB8D8">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4</w:t>
                  </w:r>
                </w:p>
              </w:tc>
              <w:tc>
                <w:tcPr>
                  <w:tcW w:w="750" w:type="pct"/>
                  <w:vMerge w:val="continue"/>
                  <w:noWrap w:val="0"/>
                  <w:vAlign w:val="center"/>
                </w:tcPr>
                <w:p w14:paraId="2FC6224A">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750" w:type="pct"/>
                  <w:noWrap w:val="0"/>
                  <w:vAlign w:val="center"/>
                </w:tcPr>
                <w:p w14:paraId="4AEE1C44">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SS</w:t>
                  </w:r>
                </w:p>
              </w:tc>
              <w:tc>
                <w:tcPr>
                  <w:tcW w:w="1179" w:type="pct"/>
                  <w:noWrap w:val="0"/>
                  <w:vAlign w:val="center"/>
                </w:tcPr>
                <w:p w14:paraId="2284260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default" w:ascii="Times New Roman" w:hAnsi="Times New Roman" w:eastAsia="宋体" w:cs="Times New Roman"/>
                      <w:b w:val="0"/>
                      <w:bCs w:val="0"/>
                      <w:i w:val="0"/>
                      <w:iCs w:val="0"/>
                      <w:color w:val="auto"/>
                      <w:kern w:val="0"/>
                      <w:sz w:val="21"/>
                      <w:szCs w:val="21"/>
                      <w:u w:val="none"/>
                      <w:lang w:val="en-US" w:eastAsia="zh-CN" w:bidi="ar"/>
                    </w:rPr>
                    <w:t>13.967</w:t>
                  </w:r>
                </w:p>
              </w:tc>
              <w:tc>
                <w:tcPr>
                  <w:tcW w:w="924" w:type="pct"/>
                  <w:noWrap w:val="0"/>
                  <w:vAlign w:val="center"/>
                </w:tcPr>
                <w:p w14:paraId="45EA94B0">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2.444</w:t>
                  </w:r>
                </w:p>
              </w:tc>
              <w:tc>
                <w:tcPr>
                  <w:tcW w:w="1019" w:type="pct"/>
                  <w:noWrap w:val="0"/>
                  <w:vAlign w:val="center"/>
                </w:tcPr>
                <w:p w14:paraId="25BC6348">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0.733</w:t>
                  </w:r>
                </w:p>
              </w:tc>
            </w:tr>
            <w:tr w14:paraId="35A42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376" w:type="pct"/>
                  <w:noWrap w:val="0"/>
                  <w:vAlign w:val="center"/>
                </w:tcPr>
                <w:p w14:paraId="2D30DEFC">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5</w:t>
                  </w:r>
                </w:p>
              </w:tc>
              <w:tc>
                <w:tcPr>
                  <w:tcW w:w="750" w:type="pct"/>
                  <w:vMerge w:val="continue"/>
                  <w:noWrap w:val="0"/>
                  <w:vAlign w:val="center"/>
                </w:tcPr>
                <w:p w14:paraId="0950573D">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750" w:type="pct"/>
                  <w:noWrap w:val="0"/>
                  <w:vAlign w:val="center"/>
                </w:tcPr>
                <w:p w14:paraId="369BAE52">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铁</w:t>
                  </w:r>
                </w:p>
              </w:tc>
              <w:tc>
                <w:tcPr>
                  <w:tcW w:w="1179" w:type="pct"/>
                  <w:noWrap w:val="0"/>
                  <w:vAlign w:val="center"/>
                </w:tcPr>
                <w:p w14:paraId="6F67589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default" w:ascii="Times New Roman" w:hAnsi="Times New Roman" w:eastAsia="宋体" w:cs="Times New Roman"/>
                      <w:b w:val="0"/>
                      <w:bCs w:val="0"/>
                      <w:i w:val="0"/>
                      <w:iCs w:val="0"/>
                      <w:color w:val="auto"/>
                      <w:kern w:val="0"/>
                      <w:sz w:val="21"/>
                      <w:szCs w:val="21"/>
                      <w:u w:val="none"/>
                      <w:lang w:val="en-US" w:eastAsia="zh-CN" w:bidi="ar"/>
                    </w:rPr>
                    <w:t>0.362</w:t>
                  </w:r>
                </w:p>
              </w:tc>
              <w:tc>
                <w:tcPr>
                  <w:tcW w:w="924" w:type="pct"/>
                  <w:noWrap w:val="0"/>
                  <w:vAlign w:val="center"/>
                </w:tcPr>
                <w:p w14:paraId="24F2256E">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0.063</w:t>
                  </w:r>
                </w:p>
              </w:tc>
              <w:tc>
                <w:tcPr>
                  <w:tcW w:w="1019" w:type="pct"/>
                  <w:noWrap w:val="0"/>
                  <w:vAlign w:val="center"/>
                </w:tcPr>
                <w:p w14:paraId="1577C0F3">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0.019</w:t>
                  </w:r>
                </w:p>
              </w:tc>
            </w:tr>
            <w:tr w14:paraId="3BBCF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376" w:type="pct"/>
                  <w:noWrap w:val="0"/>
                  <w:vAlign w:val="center"/>
                </w:tcPr>
                <w:p w14:paraId="42FD689A">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6</w:t>
                  </w:r>
                </w:p>
              </w:tc>
              <w:tc>
                <w:tcPr>
                  <w:tcW w:w="750" w:type="pct"/>
                  <w:vMerge w:val="continue"/>
                  <w:noWrap w:val="0"/>
                  <w:vAlign w:val="center"/>
                </w:tcPr>
                <w:p w14:paraId="44322AB9">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750" w:type="pct"/>
                  <w:noWrap w:val="0"/>
                  <w:vAlign w:val="center"/>
                </w:tcPr>
                <w:p w14:paraId="6F44362E">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总磷</w:t>
                  </w:r>
                </w:p>
              </w:tc>
              <w:tc>
                <w:tcPr>
                  <w:tcW w:w="1179" w:type="pct"/>
                  <w:noWrap w:val="0"/>
                  <w:vAlign w:val="center"/>
                </w:tcPr>
                <w:p w14:paraId="4024954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default" w:ascii="Times New Roman" w:hAnsi="Times New Roman" w:eastAsia="宋体" w:cs="Times New Roman"/>
                      <w:b w:val="0"/>
                      <w:bCs w:val="0"/>
                      <w:i w:val="0"/>
                      <w:iCs w:val="0"/>
                      <w:color w:val="auto"/>
                      <w:kern w:val="0"/>
                      <w:sz w:val="21"/>
                      <w:szCs w:val="21"/>
                      <w:u w:val="none"/>
                      <w:lang w:val="en-US" w:eastAsia="zh-CN" w:bidi="ar"/>
                    </w:rPr>
                    <w:t>4.745</w:t>
                  </w:r>
                </w:p>
              </w:tc>
              <w:tc>
                <w:tcPr>
                  <w:tcW w:w="924" w:type="pct"/>
                  <w:noWrap w:val="0"/>
                  <w:vAlign w:val="center"/>
                </w:tcPr>
                <w:p w14:paraId="0B9E14CB">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0.830</w:t>
                  </w:r>
                </w:p>
              </w:tc>
              <w:tc>
                <w:tcPr>
                  <w:tcW w:w="1019" w:type="pct"/>
                  <w:noWrap w:val="0"/>
                  <w:vAlign w:val="center"/>
                </w:tcPr>
                <w:p w14:paraId="5AA9A6B1">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0.249</w:t>
                  </w:r>
                </w:p>
              </w:tc>
            </w:tr>
            <w:tr w14:paraId="37499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376" w:type="pct"/>
                  <w:noWrap w:val="0"/>
                  <w:vAlign w:val="center"/>
                </w:tcPr>
                <w:p w14:paraId="0CA1362B">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7</w:t>
                  </w:r>
                </w:p>
              </w:tc>
              <w:tc>
                <w:tcPr>
                  <w:tcW w:w="750" w:type="pct"/>
                  <w:vMerge w:val="continue"/>
                  <w:noWrap w:val="0"/>
                  <w:vAlign w:val="center"/>
                </w:tcPr>
                <w:p w14:paraId="3BEB6060">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750" w:type="pct"/>
                  <w:noWrap w:val="0"/>
                  <w:vAlign w:val="center"/>
                </w:tcPr>
                <w:p w14:paraId="1167B4B4">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总锌</w:t>
                  </w:r>
                </w:p>
              </w:tc>
              <w:tc>
                <w:tcPr>
                  <w:tcW w:w="1179" w:type="pct"/>
                  <w:noWrap w:val="0"/>
                  <w:vAlign w:val="center"/>
                </w:tcPr>
                <w:p w14:paraId="4B8C6A7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default" w:ascii="Times New Roman" w:hAnsi="Times New Roman" w:eastAsia="宋体" w:cs="Times New Roman"/>
                      <w:b w:val="0"/>
                      <w:bCs w:val="0"/>
                      <w:i w:val="0"/>
                      <w:iCs w:val="0"/>
                      <w:color w:val="auto"/>
                      <w:kern w:val="0"/>
                      <w:sz w:val="21"/>
                      <w:szCs w:val="21"/>
                      <w:u w:val="none"/>
                      <w:lang w:val="en-US" w:eastAsia="zh-CN" w:bidi="ar"/>
                    </w:rPr>
                    <w:t>0.689</w:t>
                  </w:r>
                </w:p>
              </w:tc>
              <w:tc>
                <w:tcPr>
                  <w:tcW w:w="924" w:type="pct"/>
                  <w:noWrap w:val="0"/>
                  <w:vAlign w:val="center"/>
                </w:tcPr>
                <w:p w14:paraId="1B0ED83C">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0.121</w:t>
                  </w:r>
                </w:p>
              </w:tc>
              <w:tc>
                <w:tcPr>
                  <w:tcW w:w="1019" w:type="pct"/>
                  <w:noWrap w:val="0"/>
                  <w:vAlign w:val="center"/>
                </w:tcPr>
                <w:p w14:paraId="7A6A9882">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0.036</w:t>
                  </w:r>
                </w:p>
              </w:tc>
            </w:tr>
            <w:tr w14:paraId="6FB99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376" w:type="pct"/>
                  <w:noWrap w:val="0"/>
                  <w:vAlign w:val="center"/>
                </w:tcPr>
                <w:p w14:paraId="6D5E3CDB">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8</w:t>
                  </w:r>
                </w:p>
              </w:tc>
              <w:tc>
                <w:tcPr>
                  <w:tcW w:w="750" w:type="pct"/>
                  <w:vMerge w:val="continue"/>
                  <w:noWrap w:val="0"/>
                  <w:vAlign w:val="center"/>
                </w:tcPr>
                <w:p w14:paraId="65936C84">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750" w:type="pct"/>
                  <w:noWrap w:val="0"/>
                  <w:vAlign w:val="center"/>
                </w:tcPr>
                <w:p w14:paraId="2F6C4DBB">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总氮</w:t>
                  </w:r>
                </w:p>
              </w:tc>
              <w:tc>
                <w:tcPr>
                  <w:tcW w:w="1179" w:type="pct"/>
                  <w:noWrap w:val="0"/>
                  <w:vAlign w:val="center"/>
                </w:tcPr>
                <w:p w14:paraId="62023C5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default" w:ascii="Times New Roman" w:hAnsi="Times New Roman" w:eastAsia="宋体" w:cs="Times New Roman"/>
                      <w:b w:val="0"/>
                      <w:bCs w:val="0"/>
                      <w:i w:val="0"/>
                      <w:iCs w:val="0"/>
                      <w:color w:val="auto"/>
                      <w:kern w:val="0"/>
                      <w:sz w:val="21"/>
                      <w:szCs w:val="21"/>
                      <w:u w:val="none"/>
                      <w:lang w:val="en-US" w:eastAsia="zh-CN" w:bidi="ar"/>
                    </w:rPr>
                    <w:t>44.703</w:t>
                  </w:r>
                </w:p>
              </w:tc>
              <w:tc>
                <w:tcPr>
                  <w:tcW w:w="924" w:type="pct"/>
                  <w:noWrap w:val="0"/>
                  <w:vAlign w:val="center"/>
                </w:tcPr>
                <w:p w14:paraId="587F56FE">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7.823</w:t>
                  </w:r>
                </w:p>
              </w:tc>
              <w:tc>
                <w:tcPr>
                  <w:tcW w:w="1019" w:type="pct"/>
                  <w:noWrap w:val="0"/>
                  <w:vAlign w:val="center"/>
                </w:tcPr>
                <w:p w14:paraId="125DEEAE">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2.347</w:t>
                  </w:r>
                </w:p>
              </w:tc>
            </w:tr>
            <w:tr w14:paraId="67709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376" w:type="pct"/>
                  <w:noWrap w:val="0"/>
                  <w:vAlign w:val="center"/>
                </w:tcPr>
                <w:p w14:paraId="3D9F5B45">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9</w:t>
                  </w:r>
                </w:p>
              </w:tc>
              <w:tc>
                <w:tcPr>
                  <w:tcW w:w="750" w:type="pct"/>
                  <w:vMerge w:val="continue"/>
                  <w:noWrap w:val="0"/>
                  <w:vAlign w:val="center"/>
                </w:tcPr>
                <w:p w14:paraId="60D17C3F">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750" w:type="pct"/>
                  <w:noWrap w:val="0"/>
                  <w:vAlign w:val="center"/>
                </w:tcPr>
                <w:p w14:paraId="1FAE1E7C">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氯离子</w:t>
                  </w:r>
                </w:p>
              </w:tc>
              <w:tc>
                <w:tcPr>
                  <w:tcW w:w="1179" w:type="pct"/>
                  <w:noWrap w:val="0"/>
                  <w:vAlign w:val="center"/>
                </w:tcPr>
                <w:p w14:paraId="4482CDF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default" w:ascii="Times New Roman" w:hAnsi="Times New Roman" w:eastAsia="宋体" w:cs="Times New Roman"/>
                      <w:b w:val="0"/>
                      <w:bCs w:val="0"/>
                      <w:i w:val="0"/>
                      <w:iCs w:val="0"/>
                      <w:color w:val="auto"/>
                      <w:kern w:val="0"/>
                      <w:sz w:val="21"/>
                      <w:szCs w:val="21"/>
                      <w:u w:val="none"/>
                      <w:lang w:val="en-US" w:eastAsia="zh-CN" w:bidi="ar"/>
                    </w:rPr>
                    <w:t>8.136</w:t>
                  </w:r>
                </w:p>
              </w:tc>
              <w:tc>
                <w:tcPr>
                  <w:tcW w:w="924" w:type="pct"/>
                  <w:noWrap w:val="0"/>
                  <w:vAlign w:val="center"/>
                </w:tcPr>
                <w:p w14:paraId="04B14492">
                  <w:pPr>
                    <w:keepNext w:val="0"/>
                    <w:keepLines w:val="0"/>
                    <w:widowControl/>
                    <w:suppressLineNumbers w:val="0"/>
                    <w:jc w:val="center"/>
                    <w:textAlignment w:val="center"/>
                    <w:rPr>
                      <w:rFonts w:hint="default" w:ascii="Times New Roman" w:hAnsi="Times New Roman" w:eastAsia="宋体" w:cs="Times New Roman"/>
                      <w:b w:val="0"/>
                      <w:bCs w:val="0"/>
                      <w:i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u w:val="none"/>
                      <w:lang w:val="en-US" w:eastAsia="zh-CN" w:bidi="ar"/>
                    </w:rPr>
                    <w:t>1.424</w:t>
                  </w:r>
                </w:p>
              </w:tc>
              <w:tc>
                <w:tcPr>
                  <w:tcW w:w="1019" w:type="pct"/>
                  <w:noWrap w:val="0"/>
                  <w:vAlign w:val="center"/>
                </w:tcPr>
                <w:p w14:paraId="3247E3C4">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0.427</w:t>
                  </w:r>
                </w:p>
              </w:tc>
            </w:tr>
            <w:tr w14:paraId="76777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376" w:type="pct"/>
                  <w:noWrap w:val="0"/>
                  <w:vAlign w:val="center"/>
                </w:tcPr>
                <w:p w14:paraId="0D80F168">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10</w:t>
                  </w:r>
                </w:p>
              </w:tc>
              <w:tc>
                <w:tcPr>
                  <w:tcW w:w="750" w:type="pct"/>
                  <w:vMerge w:val="continue"/>
                  <w:noWrap w:val="0"/>
                  <w:vAlign w:val="center"/>
                </w:tcPr>
                <w:p w14:paraId="2CC0673F">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750" w:type="pct"/>
                  <w:noWrap w:val="0"/>
                  <w:vAlign w:val="center"/>
                </w:tcPr>
                <w:p w14:paraId="4989073D">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LAS</w:t>
                  </w:r>
                </w:p>
              </w:tc>
              <w:tc>
                <w:tcPr>
                  <w:tcW w:w="1179" w:type="pct"/>
                  <w:noWrap w:val="0"/>
                  <w:vAlign w:val="center"/>
                </w:tcPr>
                <w:p w14:paraId="45A540F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default" w:ascii="Times New Roman" w:hAnsi="Times New Roman" w:eastAsia="宋体" w:cs="Times New Roman"/>
                      <w:b w:val="0"/>
                      <w:bCs w:val="0"/>
                      <w:i w:val="0"/>
                      <w:iCs w:val="0"/>
                      <w:color w:val="auto"/>
                      <w:kern w:val="0"/>
                      <w:sz w:val="21"/>
                      <w:szCs w:val="21"/>
                      <w:u w:val="none"/>
                      <w:lang w:val="en-US" w:eastAsia="zh-CN" w:bidi="ar"/>
                    </w:rPr>
                    <w:t>9.750</w:t>
                  </w:r>
                </w:p>
              </w:tc>
              <w:tc>
                <w:tcPr>
                  <w:tcW w:w="924" w:type="pct"/>
                  <w:noWrap w:val="0"/>
                  <w:vAlign w:val="center"/>
                </w:tcPr>
                <w:p w14:paraId="5CD5EE23">
                  <w:pPr>
                    <w:keepNext w:val="0"/>
                    <w:keepLines w:val="0"/>
                    <w:widowControl/>
                    <w:suppressLineNumbers w:val="0"/>
                    <w:jc w:val="center"/>
                    <w:textAlignment w:val="center"/>
                    <w:rPr>
                      <w:rFonts w:hint="default" w:ascii="Times New Roman" w:hAnsi="Times New Roman" w:eastAsia="宋体" w:cs="Times New Roman"/>
                      <w:b w:val="0"/>
                      <w:bCs w:val="0"/>
                      <w:i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u w:val="none"/>
                      <w:lang w:val="en-US" w:eastAsia="zh-CN" w:bidi="ar"/>
                    </w:rPr>
                    <w:t>1.706</w:t>
                  </w:r>
                </w:p>
              </w:tc>
              <w:tc>
                <w:tcPr>
                  <w:tcW w:w="1019" w:type="pct"/>
                  <w:noWrap w:val="0"/>
                  <w:vAlign w:val="center"/>
                </w:tcPr>
                <w:p w14:paraId="2A63F52B">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0.512</w:t>
                  </w:r>
                </w:p>
              </w:tc>
            </w:tr>
            <w:tr w14:paraId="32317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126" w:type="pct"/>
                  <w:gridSpan w:val="2"/>
                  <w:vMerge w:val="restart"/>
                  <w:noWrap w:val="0"/>
                  <w:vAlign w:val="center"/>
                </w:tcPr>
                <w:p w14:paraId="7B0638A5">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全厂排放口合计</w:t>
                  </w:r>
                </w:p>
              </w:tc>
              <w:tc>
                <w:tcPr>
                  <w:tcW w:w="2853" w:type="pct"/>
                  <w:gridSpan w:val="3"/>
                  <w:noWrap w:val="0"/>
                  <w:vAlign w:val="center"/>
                </w:tcPr>
                <w:p w14:paraId="7A6C79F2">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COD</w:t>
                  </w:r>
                </w:p>
              </w:tc>
              <w:tc>
                <w:tcPr>
                  <w:tcW w:w="1019" w:type="pct"/>
                  <w:noWrap w:val="0"/>
                  <w:vAlign w:val="center"/>
                </w:tcPr>
                <w:p w14:paraId="39AF7423">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2.625</w:t>
                  </w:r>
                </w:p>
              </w:tc>
            </w:tr>
            <w:tr w14:paraId="42459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126" w:type="pct"/>
                  <w:gridSpan w:val="2"/>
                  <w:vMerge w:val="continue"/>
                  <w:noWrap w:val="0"/>
                  <w:vAlign w:val="center"/>
                </w:tcPr>
                <w:p w14:paraId="1D7E1643">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2853" w:type="pct"/>
                  <w:gridSpan w:val="3"/>
                  <w:noWrap w:val="0"/>
                  <w:vAlign w:val="center"/>
                </w:tcPr>
                <w:p w14:paraId="20BF0368">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氨氮</w:t>
                  </w:r>
                </w:p>
              </w:tc>
              <w:tc>
                <w:tcPr>
                  <w:tcW w:w="1019" w:type="pct"/>
                  <w:noWrap w:val="0"/>
                  <w:vAlign w:val="center"/>
                </w:tcPr>
                <w:p w14:paraId="5B754A16">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0.262</w:t>
                  </w:r>
                </w:p>
              </w:tc>
            </w:tr>
            <w:tr w14:paraId="0EB19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126" w:type="pct"/>
                  <w:gridSpan w:val="2"/>
                  <w:vMerge w:val="continue"/>
                  <w:noWrap w:val="0"/>
                  <w:vAlign w:val="center"/>
                </w:tcPr>
                <w:p w14:paraId="3E234C63">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2853" w:type="pct"/>
                  <w:gridSpan w:val="3"/>
                  <w:noWrap w:val="0"/>
                  <w:vAlign w:val="center"/>
                </w:tcPr>
                <w:p w14:paraId="5EA88832">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SS</w:t>
                  </w:r>
                </w:p>
              </w:tc>
              <w:tc>
                <w:tcPr>
                  <w:tcW w:w="1019" w:type="pct"/>
                  <w:noWrap w:val="0"/>
                  <w:vAlign w:val="center"/>
                </w:tcPr>
                <w:p w14:paraId="18FFAF16">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0.733</w:t>
                  </w:r>
                </w:p>
              </w:tc>
            </w:tr>
            <w:tr w14:paraId="38FCD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126" w:type="pct"/>
                  <w:gridSpan w:val="2"/>
                  <w:vMerge w:val="continue"/>
                  <w:noWrap w:val="0"/>
                  <w:vAlign w:val="center"/>
                </w:tcPr>
                <w:p w14:paraId="493961B3">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2853" w:type="pct"/>
                  <w:gridSpan w:val="3"/>
                  <w:noWrap w:val="0"/>
                  <w:vAlign w:val="center"/>
                </w:tcPr>
                <w:p w14:paraId="72D84D43">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铁</w:t>
                  </w:r>
                </w:p>
              </w:tc>
              <w:tc>
                <w:tcPr>
                  <w:tcW w:w="1019" w:type="pct"/>
                  <w:noWrap w:val="0"/>
                  <w:vAlign w:val="center"/>
                </w:tcPr>
                <w:p w14:paraId="453F4BD8">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0.019</w:t>
                  </w:r>
                </w:p>
              </w:tc>
            </w:tr>
            <w:tr w14:paraId="32383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126" w:type="pct"/>
                  <w:gridSpan w:val="2"/>
                  <w:vMerge w:val="continue"/>
                  <w:noWrap w:val="0"/>
                  <w:vAlign w:val="center"/>
                </w:tcPr>
                <w:p w14:paraId="4412C4D8">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2853" w:type="pct"/>
                  <w:gridSpan w:val="3"/>
                  <w:noWrap w:val="0"/>
                  <w:vAlign w:val="center"/>
                </w:tcPr>
                <w:p w14:paraId="26F4FC73">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总磷</w:t>
                  </w:r>
                </w:p>
              </w:tc>
              <w:tc>
                <w:tcPr>
                  <w:tcW w:w="1019" w:type="pct"/>
                  <w:noWrap w:val="0"/>
                  <w:vAlign w:val="center"/>
                </w:tcPr>
                <w:p w14:paraId="72A9F8A8">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0.249</w:t>
                  </w:r>
                </w:p>
              </w:tc>
            </w:tr>
            <w:tr w14:paraId="5C95E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126" w:type="pct"/>
                  <w:gridSpan w:val="2"/>
                  <w:vMerge w:val="continue"/>
                  <w:noWrap w:val="0"/>
                  <w:vAlign w:val="center"/>
                </w:tcPr>
                <w:p w14:paraId="294C98D7">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2853" w:type="pct"/>
                  <w:gridSpan w:val="3"/>
                  <w:noWrap w:val="0"/>
                  <w:vAlign w:val="center"/>
                </w:tcPr>
                <w:p w14:paraId="3D20DD9D">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总锌</w:t>
                  </w:r>
                </w:p>
              </w:tc>
              <w:tc>
                <w:tcPr>
                  <w:tcW w:w="1019" w:type="pct"/>
                  <w:noWrap w:val="0"/>
                  <w:vAlign w:val="center"/>
                </w:tcPr>
                <w:p w14:paraId="38185CBE">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0.036</w:t>
                  </w:r>
                </w:p>
              </w:tc>
            </w:tr>
            <w:tr w14:paraId="50B22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126" w:type="pct"/>
                  <w:gridSpan w:val="2"/>
                  <w:vMerge w:val="continue"/>
                  <w:noWrap w:val="0"/>
                  <w:vAlign w:val="center"/>
                </w:tcPr>
                <w:p w14:paraId="42428EC8">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2853" w:type="pct"/>
                  <w:gridSpan w:val="3"/>
                  <w:noWrap w:val="0"/>
                  <w:vAlign w:val="center"/>
                </w:tcPr>
                <w:p w14:paraId="7E5C4B4F">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总氮</w:t>
                  </w:r>
                </w:p>
              </w:tc>
              <w:tc>
                <w:tcPr>
                  <w:tcW w:w="1019" w:type="pct"/>
                  <w:noWrap w:val="0"/>
                  <w:vAlign w:val="center"/>
                </w:tcPr>
                <w:p w14:paraId="4D53B96B">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2.347</w:t>
                  </w:r>
                </w:p>
              </w:tc>
            </w:tr>
            <w:tr w14:paraId="3CD1B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126" w:type="pct"/>
                  <w:gridSpan w:val="2"/>
                  <w:vMerge w:val="continue"/>
                  <w:noWrap w:val="0"/>
                  <w:vAlign w:val="center"/>
                </w:tcPr>
                <w:p w14:paraId="0332356E">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2853" w:type="pct"/>
                  <w:gridSpan w:val="3"/>
                  <w:noWrap w:val="0"/>
                  <w:vAlign w:val="center"/>
                </w:tcPr>
                <w:p w14:paraId="6DE266C0">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氯离子</w:t>
                  </w:r>
                </w:p>
              </w:tc>
              <w:tc>
                <w:tcPr>
                  <w:tcW w:w="1019" w:type="pct"/>
                  <w:noWrap w:val="0"/>
                  <w:vAlign w:val="center"/>
                </w:tcPr>
                <w:p w14:paraId="010CE352">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0.427</w:t>
                  </w:r>
                </w:p>
              </w:tc>
            </w:tr>
            <w:tr w14:paraId="5038D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126" w:type="pct"/>
                  <w:gridSpan w:val="2"/>
                  <w:vMerge w:val="continue"/>
                  <w:noWrap w:val="0"/>
                  <w:vAlign w:val="center"/>
                </w:tcPr>
                <w:p w14:paraId="0C46E512">
                  <w:pPr>
                    <w:pStyle w:val="91"/>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2853" w:type="pct"/>
                  <w:gridSpan w:val="3"/>
                  <w:noWrap w:val="0"/>
                  <w:vAlign w:val="center"/>
                </w:tcPr>
                <w:p w14:paraId="0EC61A6B">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LAS</w:t>
                  </w:r>
                </w:p>
              </w:tc>
              <w:tc>
                <w:tcPr>
                  <w:tcW w:w="1019" w:type="pct"/>
                  <w:noWrap w:val="0"/>
                  <w:vAlign w:val="center"/>
                </w:tcPr>
                <w:p w14:paraId="663FCE40">
                  <w:pPr>
                    <w:keepNext w:val="0"/>
                    <w:keepLines w:val="0"/>
                    <w:widowControl/>
                    <w:suppressLineNumbers w:val="0"/>
                    <w:jc w:val="center"/>
                    <w:textAlignment w:val="center"/>
                    <w:rPr>
                      <w:rFonts w:hint="default" w:ascii="Times New Roman" w:hAnsi="Times New Roman" w:eastAsia="宋体" w:cs="Times New Roman"/>
                      <w:b w:val="0"/>
                      <w:bCs w:val="0"/>
                      <w:i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u w:val="none"/>
                      <w:lang w:val="en-US" w:eastAsia="zh-CN" w:bidi="ar"/>
                    </w:rPr>
                    <w:t>0.512</w:t>
                  </w:r>
                </w:p>
              </w:tc>
            </w:tr>
          </w:tbl>
          <w:p w14:paraId="69C95C0D">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注：现有工程废水不外排，全厂排放量为本项目新增排放量。</w:t>
            </w:r>
          </w:p>
          <w:p w14:paraId="66CFD235">
            <w:pPr>
              <w:pStyle w:val="89"/>
              <w:keepNext w:val="0"/>
              <w:keepLines w:val="0"/>
              <w:pageBreakBefore w:val="0"/>
              <w:widowControl/>
              <w:kinsoku/>
              <w:wordWrap/>
              <w:overflowPunct/>
              <w:topLinePunct w:val="0"/>
              <w:autoSpaceDE/>
              <w:autoSpaceDN/>
              <w:bidi w:val="0"/>
              <w:adjustRightInd w:val="0"/>
              <w:snapToGrid w:val="0"/>
              <w:spacing w:before="115" w:beforeLines="30"/>
              <w:ind w:firstLine="0" w:firstLineChars="0"/>
              <w:textAlignment w:val="auto"/>
              <w:rPr>
                <w:rFonts w:hint="default" w:ascii="Times New Roman" w:hAnsi="Times New Roman" w:eastAsia="黑体" w:cs="Times New Roman"/>
                <w:color w:val="auto"/>
                <w:szCs w:val="28"/>
              </w:rPr>
            </w:pPr>
            <w:r>
              <w:rPr>
                <w:rFonts w:hint="default" w:ascii="Times New Roman" w:hAnsi="Times New Roman" w:eastAsia="黑体" w:cs="Times New Roman"/>
                <w:color w:val="auto"/>
                <w:szCs w:val="28"/>
              </w:rPr>
              <w:t>4.2.2.</w:t>
            </w:r>
            <w:r>
              <w:rPr>
                <w:rFonts w:hint="default" w:ascii="Times New Roman" w:hAnsi="Times New Roman" w:eastAsia="黑体" w:cs="Times New Roman"/>
                <w:color w:val="auto"/>
                <w:szCs w:val="28"/>
                <w:lang w:val="en-US" w:eastAsia="zh-CN"/>
              </w:rPr>
              <w:t>4</w:t>
            </w:r>
            <w:r>
              <w:rPr>
                <w:rFonts w:hint="default" w:ascii="Times New Roman" w:hAnsi="Times New Roman" w:eastAsia="黑体" w:cs="Times New Roman"/>
                <w:color w:val="auto"/>
                <w:szCs w:val="28"/>
              </w:rPr>
              <w:t>废水监测计划</w:t>
            </w:r>
          </w:p>
          <w:p w14:paraId="4342AB2E">
            <w:pPr>
              <w:pStyle w:val="1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参照《排污许可证申请与核发技术规范 总则》（HJ819-2017）、《排污许可证申请与核发技术规范 电镀工业》（HJ855-2017）、《排污单位自行监测技术指南 电镀工业》（HJ985-2018），项目废水监测计划见下表。</w:t>
            </w:r>
          </w:p>
          <w:p w14:paraId="0E1A8DFB">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表4.2-1</w:t>
            </w:r>
            <w:r>
              <w:rPr>
                <w:rFonts w:hint="default" w:ascii="Times New Roman" w:hAnsi="Times New Roman" w:eastAsia="黑体" w:cs="Times New Roman"/>
                <w:b w:val="0"/>
                <w:bCs/>
                <w:color w:val="auto"/>
                <w:lang w:val="en-US" w:eastAsia="zh-CN"/>
              </w:rPr>
              <w:t>9</w:t>
            </w:r>
            <w:r>
              <w:rPr>
                <w:rFonts w:hint="default" w:ascii="Times New Roman" w:hAnsi="Times New Roman" w:eastAsia="黑体" w:cs="Times New Roman"/>
                <w:b w:val="0"/>
                <w:bCs/>
                <w:color w:val="auto"/>
              </w:rPr>
              <w:t xml:space="preserve">  全厂废水监测计划一览表</w:t>
            </w:r>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4"/>
              <w:gridCol w:w="2485"/>
              <w:gridCol w:w="2915"/>
              <w:gridCol w:w="1483"/>
            </w:tblGrid>
            <w:tr w14:paraId="179D1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4" w:type="pct"/>
                  <w:tcBorders>
                    <w:tl2br w:val="nil"/>
                    <w:tr2bl w:val="nil"/>
                  </w:tcBorders>
                  <w:vAlign w:val="center"/>
                </w:tcPr>
                <w:p w14:paraId="5CB5F21E">
                  <w:pPr>
                    <w:pStyle w:val="86"/>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auto"/>
                    </w:rPr>
                  </w:pPr>
                  <w:r>
                    <w:rPr>
                      <w:rFonts w:hint="default" w:ascii="Times New Roman" w:hAnsi="Times New Roman" w:cs="Times New Roman"/>
                      <w:color w:val="auto"/>
                    </w:rPr>
                    <w:t>监测点位</w:t>
                  </w:r>
                </w:p>
              </w:tc>
              <w:tc>
                <w:tcPr>
                  <w:tcW w:w="1435" w:type="pct"/>
                  <w:tcBorders>
                    <w:tl2br w:val="nil"/>
                    <w:tr2bl w:val="nil"/>
                  </w:tcBorders>
                  <w:vAlign w:val="center"/>
                </w:tcPr>
                <w:p w14:paraId="6702F571">
                  <w:pPr>
                    <w:pStyle w:val="86"/>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auto"/>
                    </w:rPr>
                  </w:pPr>
                  <w:r>
                    <w:rPr>
                      <w:rFonts w:hint="default" w:ascii="Times New Roman" w:hAnsi="Times New Roman" w:cs="Times New Roman"/>
                      <w:color w:val="auto"/>
                    </w:rPr>
                    <w:t>监测指标</w:t>
                  </w:r>
                </w:p>
              </w:tc>
              <w:tc>
                <w:tcPr>
                  <w:tcW w:w="1683" w:type="pct"/>
                  <w:tcBorders>
                    <w:tl2br w:val="nil"/>
                    <w:tr2bl w:val="nil"/>
                  </w:tcBorders>
                  <w:vAlign w:val="center"/>
                </w:tcPr>
                <w:p w14:paraId="5CA4CD96">
                  <w:pPr>
                    <w:pStyle w:val="86"/>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auto"/>
                    </w:rPr>
                  </w:pPr>
                  <w:r>
                    <w:rPr>
                      <w:rFonts w:hint="default" w:ascii="Times New Roman" w:hAnsi="Times New Roman" w:cs="Times New Roman"/>
                      <w:color w:val="auto"/>
                    </w:rPr>
                    <w:t>监测频次</w:t>
                  </w:r>
                </w:p>
              </w:tc>
              <w:tc>
                <w:tcPr>
                  <w:tcW w:w="856" w:type="pct"/>
                  <w:tcBorders>
                    <w:tl2br w:val="nil"/>
                    <w:tr2bl w:val="nil"/>
                  </w:tcBorders>
                  <w:vAlign w:val="center"/>
                </w:tcPr>
                <w:p w14:paraId="3336AE52">
                  <w:pPr>
                    <w:pStyle w:val="86"/>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auto"/>
                    </w:rPr>
                  </w:pPr>
                  <w:r>
                    <w:rPr>
                      <w:rFonts w:hint="default" w:ascii="Times New Roman" w:hAnsi="Times New Roman" w:cs="Times New Roman"/>
                      <w:color w:val="auto"/>
                    </w:rPr>
                    <w:t>监测方式</w:t>
                  </w:r>
                </w:p>
              </w:tc>
            </w:tr>
            <w:tr w14:paraId="5B05A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4" w:type="pct"/>
                  <w:vMerge w:val="restart"/>
                  <w:tcBorders>
                    <w:tl2br w:val="nil"/>
                    <w:tr2bl w:val="nil"/>
                  </w:tcBorders>
                  <w:vAlign w:val="center"/>
                </w:tcPr>
                <w:p w14:paraId="7A71963C">
                  <w:pPr>
                    <w:pStyle w:val="86"/>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auto"/>
                    </w:rPr>
                  </w:pPr>
                  <w:r>
                    <w:rPr>
                      <w:rFonts w:hint="default" w:ascii="Times New Roman" w:hAnsi="Times New Roman" w:cs="Times New Roman"/>
                      <w:color w:val="auto"/>
                    </w:rPr>
                    <w:t>生产废水排放口</w:t>
                  </w:r>
                </w:p>
              </w:tc>
              <w:tc>
                <w:tcPr>
                  <w:tcW w:w="1435" w:type="pct"/>
                  <w:tcBorders>
                    <w:tl2br w:val="nil"/>
                    <w:tr2bl w:val="nil"/>
                  </w:tcBorders>
                  <w:vAlign w:val="center"/>
                </w:tcPr>
                <w:p w14:paraId="7208FC00">
                  <w:pPr>
                    <w:pStyle w:val="138"/>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auto"/>
                    </w:rPr>
                  </w:pPr>
                  <w:r>
                    <w:rPr>
                      <w:rFonts w:hint="default" w:ascii="Times New Roman" w:hAnsi="Times New Roman" w:cs="Times New Roman"/>
                      <w:color w:val="auto"/>
                    </w:rPr>
                    <w:t>流量、pH、CODcr、NH</w:t>
                  </w:r>
                  <w:r>
                    <w:rPr>
                      <w:rFonts w:hint="default" w:ascii="Times New Roman" w:hAnsi="Times New Roman" w:cs="Times New Roman"/>
                      <w:color w:val="auto"/>
                      <w:vertAlign w:val="subscript"/>
                    </w:rPr>
                    <w:t>3</w:t>
                  </w:r>
                  <w:r>
                    <w:rPr>
                      <w:rFonts w:hint="default" w:ascii="Times New Roman" w:hAnsi="Times New Roman" w:cs="Times New Roman"/>
                      <w:color w:val="auto"/>
                    </w:rPr>
                    <w:t>-N、总锌</w:t>
                  </w:r>
                </w:p>
              </w:tc>
              <w:tc>
                <w:tcPr>
                  <w:tcW w:w="1683" w:type="pct"/>
                  <w:tcBorders>
                    <w:tl2br w:val="nil"/>
                    <w:tr2bl w:val="nil"/>
                  </w:tcBorders>
                  <w:vAlign w:val="center"/>
                </w:tcPr>
                <w:p w14:paraId="009B5D0C">
                  <w:pPr>
                    <w:pStyle w:val="138"/>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c>
                <w:tcPr>
                  <w:tcW w:w="856" w:type="pct"/>
                  <w:tcBorders>
                    <w:tl2br w:val="nil"/>
                    <w:tr2bl w:val="nil"/>
                  </w:tcBorders>
                  <w:vAlign w:val="center"/>
                </w:tcPr>
                <w:p w14:paraId="6C0B2AF4">
                  <w:pPr>
                    <w:pStyle w:val="138"/>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auto"/>
                    </w:rPr>
                  </w:pPr>
                  <w:r>
                    <w:rPr>
                      <w:rFonts w:hint="default" w:ascii="Times New Roman" w:hAnsi="Times New Roman" w:cs="Times New Roman"/>
                      <w:color w:val="auto"/>
                    </w:rPr>
                    <w:t>自动监测</w:t>
                  </w:r>
                </w:p>
              </w:tc>
            </w:tr>
            <w:tr w14:paraId="4AAD0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024" w:type="pct"/>
                  <w:vMerge w:val="continue"/>
                  <w:tcBorders>
                    <w:tl2br w:val="nil"/>
                    <w:tr2bl w:val="nil"/>
                  </w:tcBorders>
                  <w:vAlign w:val="center"/>
                </w:tcPr>
                <w:p w14:paraId="1E4C6DC9">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auto"/>
                    </w:rPr>
                  </w:pPr>
                </w:p>
              </w:tc>
              <w:tc>
                <w:tcPr>
                  <w:tcW w:w="1435" w:type="pct"/>
                  <w:tcBorders>
                    <w:tl2br w:val="nil"/>
                    <w:tr2bl w:val="nil"/>
                  </w:tcBorders>
                  <w:vAlign w:val="center"/>
                </w:tcPr>
                <w:p w14:paraId="5EA81613">
                  <w:pPr>
                    <w:pStyle w:val="138"/>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auto"/>
                    </w:rPr>
                  </w:pPr>
                  <w:r>
                    <w:rPr>
                      <w:rFonts w:hint="default" w:ascii="Times New Roman" w:hAnsi="Times New Roman" w:cs="Times New Roman"/>
                      <w:color w:val="auto"/>
                    </w:rPr>
                    <w:t>总氮、总磷</w:t>
                  </w:r>
                </w:p>
              </w:tc>
              <w:tc>
                <w:tcPr>
                  <w:tcW w:w="1683" w:type="pct"/>
                  <w:tcBorders>
                    <w:tl2br w:val="nil"/>
                    <w:tr2bl w:val="nil"/>
                  </w:tcBorders>
                  <w:vAlign w:val="center"/>
                </w:tcPr>
                <w:p w14:paraId="7364D07F">
                  <w:pPr>
                    <w:pStyle w:val="138"/>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auto"/>
                    </w:rPr>
                  </w:pPr>
                  <w:r>
                    <w:rPr>
                      <w:rFonts w:hint="default" w:ascii="Times New Roman" w:hAnsi="Times New Roman" w:cs="Times New Roman"/>
                      <w:color w:val="auto"/>
                    </w:rPr>
                    <w:t>1次/月</w:t>
                  </w:r>
                </w:p>
              </w:tc>
              <w:tc>
                <w:tcPr>
                  <w:tcW w:w="856" w:type="pct"/>
                  <w:tcBorders>
                    <w:tl2br w:val="nil"/>
                    <w:tr2bl w:val="nil"/>
                  </w:tcBorders>
                  <w:vAlign w:val="center"/>
                </w:tcPr>
                <w:p w14:paraId="34A935CA">
                  <w:pPr>
                    <w:pStyle w:val="138"/>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auto"/>
                    </w:rPr>
                  </w:pPr>
                  <w:r>
                    <w:rPr>
                      <w:rFonts w:hint="default" w:ascii="Times New Roman" w:hAnsi="Times New Roman" w:cs="Times New Roman"/>
                      <w:color w:val="auto"/>
                    </w:rPr>
                    <w:t>委托监测</w:t>
                  </w:r>
                </w:p>
              </w:tc>
            </w:tr>
            <w:tr w14:paraId="57AE8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024" w:type="pct"/>
                  <w:vMerge w:val="continue"/>
                  <w:tcBorders>
                    <w:tl2br w:val="nil"/>
                    <w:tr2bl w:val="nil"/>
                  </w:tcBorders>
                  <w:vAlign w:val="center"/>
                </w:tcPr>
                <w:p w14:paraId="2158B7C3">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auto"/>
                    </w:rPr>
                  </w:pPr>
                </w:p>
              </w:tc>
              <w:tc>
                <w:tcPr>
                  <w:tcW w:w="1435" w:type="pct"/>
                  <w:tcBorders>
                    <w:tl2br w:val="nil"/>
                    <w:tr2bl w:val="nil"/>
                  </w:tcBorders>
                  <w:vAlign w:val="center"/>
                </w:tcPr>
                <w:p w14:paraId="3B7AA52C">
                  <w:pPr>
                    <w:pStyle w:val="138"/>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auto"/>
                    </w:rPr>
                  </w:pPr>
                  <w:r>
                    <w:rPr>
                      <w:rFonts w:hint="default" w:ascii="Times New Roman" w:hAnsi="Times New Roman" w:cs="Times New Roman"/>
                      <w:color w:val="auto"/>
                    </w:rPr>
                    <w:t>SS</w:t>
                  </w:r>
                </w:p>
              </w:tc>
              <w:tc>
                <w:tcPr>
                  <w:tcW w:w="1683" w:type="pct"/>
                  <w:tcBorders>
                    <w:tl2br w:val="nil"/>
                    <w:tr2bl w:val="nil"/>
                  </w:tcBorders>
                  <w:vAlign w:val="center"/>
                </w:tcPr>
                <w:p w14:paraId="48D95C1B">
                  <w:pPr>
                    <w:pStyle w:val="138"/>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auto"/>
                    </w:rPr>
                  </w:pPr>
                  <w:r>
                    <w:rPr>
                      <w:rFonts w:hint="default" w:ascii="Times New Roman" w:hAnsi="Times New Roman" w:cs="Times New Roman"/>
                      <w:color w:val="auto"/>
                    </w:rPr>
                    <w:t>1次/月</w:t>
                  </w:r>
                </w:p>
              </w:tc>
              <w:tc>
                <w:tcPr>
                  <w:tcW w:w="856" w:type="pct"/>
                  <w:tcBorders>
                    <w:tl2br w:val="nil"/>
                    <w:tr2bl w:val="nil"/>
                  </w:tcBorders>
                  <w:vAlign w:val="center"/>
                </w:tcPr>
                <w:p w14:paraId="6952A9E2">
                  <w:pPr>
                    <w:pStyle w:val="138"/>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auto"/>
                    </w:rPr>
                  </w:pPr>
                  <w:r>
                    <w:rPr>
                      <w:rFonts w:hint="default" w:ascii="Times New Roman" w:hAnsi="Times New Roman" w:cs="Times New Roman"/>
                      <w:color w:val="auto"/>
                    </w:rPr>
                    <w:t>委托监测</w:t>
                  </w:r>
                </w:p>
              </w:tc>
            </w:tr>
            <w:tr w14:paraId="2BC64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024" w:type="pct"/>
                  <w:tcBorders>
                    <w:tl2br w:val="nil"/>
                    <w:tr2bl w:val="nil"/>
                  </w:tcBorders>
                  <w:vAlign w:val="center"/>
                </w:tcPr>
                <w:p w14:paraId="613D9F30">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auto"/>
                    </w:rPr>
                  </w:pPr>
                  <w:r>
                    <w:rPr>
                      <w:rFonts w:hint="default" w:ascii="Times New Roman" w:hAnsi="Times New Roman" w:cs="Times New Roman"/>
                      <w:color w:val="auto"/>
                    </w:rPr>
                    <w:t>雨水排放口</w:t>
                  </w:r>
                </w:p>
              </w:tc>
              <w:tc>
                <w:tcPr>
                  <w:tcW w:w="1435" w:type="pct"/>
                  <w:tcBorders>
                    <w:tl2br w:val="nil"/>
                    <w:tr2bl w:val="nil"/>
                  </w:tcBorders>
                  <w:vAlign w:val="center"/>
                </w:tcPr>
                <w:p w14:paraId="53564C0E">
                  <w:pPr>
                    <w:pStyle w:val="138"/>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lang w:eastAsia="zh-CN"/>
                    </w:rPr>
                  </w:pPr>
                  <w:r>
                    <w:rPr>
                      <w:rFonts w:hint="default" w:ascii="Times New Roman" w:hAnsi="Times New Roman" w:cs="Times New Roman"/>
                      <w:color w:val="auto"/>
                    </w:rPr>
                    <w:t>pH</w:t>
                  </w:r>
                </w:p>
              </w:tc>
              <w:tc>
                <w:tcPr>
                  <w:tcW w:w="1683" w:type="pct"/>
                  <w:tcBorders>
                    <w:tl2br w:val="nil"/>
                    <w:tr2bl w:val="nil"/>
                  </w:tcBorders>
                  <w:vAlign w:val="center"/>
                </w:tcPr>
                <w:p w14:paraId="1C10FCF8">
                  <w:pPr>
                    <w:pStyle w:val="138"/>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auto"/>
                    </w:rPr>
                  </w:pPr>
                  <w:r>
                    <w:rPr>
                      <w:rFonts w:hint="default" w:ascii="Times New Roman" w:hAnsi="Times New Roman" w:cs="Times New Roman"/>
                      <w:color w:val="auto"/>
                    </w:rPr>
                    <w:t>排放期间每日至少测一次</w:t>
                  </w:r>
                </w:p>
              </w:tc>
              <w:tc>
                <w:tcPr>
                  <w:tcW w:w="856" w:type="pct"/>
                  <w:tcBorders>
                    <w:tl2br w:val="nil"/>
                    <w:tr2bl w:val="nil"/>
                  </w:tcBorders>
                  <w:vAlign w:val="center"/>
                </w:tcPr>
                <w:p w14:paraId="78659886">
                  <w:pPr>
                    <w:pStyle w:val="138"/>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auto"/>
                    </w:rPr>
                  </w:pPr>
                  <w:r>
                    <w:rPr>
                      <w:rFonts w:hint="default" w:ascii="Times New Roman" w:hAnsi="Times New Roman" w:cs="Times New Roman"/>
                      <w:color w:val="auto"/>
                    </w:rPr>
                    <w:t>委托监测</w:t>
                  </w:r>
                </w:p>
              </w:tc>
            </w:tr>
          </w:tbl>
          <w:p w14:paraId="2ED3443B">
            <w:pPr>
              <w:pStyle w:val="5"/>
              <w:keepNext w:val="0"/>
              <w:keepLines w:val="0"/>
              <w:pageBreakBefore w:val="0"/>
              <w:widowControl w:val="0"/>
              <w:kinsoku/>
              <w:wordWrap/>
              <w:overflowPunct/>
              <w:topLinePunct w:val="0"/>
              <w:autoSpaceDE/>
              <w:autoSpaceDN/>
              <w:bidi w:val="0"/>
              <w:adjustRightInd w:val="0"/>
              <w:snapToGrid w:val="0"/>
              <w:spacing w:before="304" w:beforeLines="80" w:after="189" w:afterLines="50" w:afterAutospacing="0" w:line="240" w:lineRule="auto"/>
              <w:textAlignment w:val="auto"/>
              <w:outlineLvl w:val="2"/>
              <w:rPr>
                <w:rFonts w:hint="default" w:ascii="Times New Roman" w:hAnsi="Times New Roman" w:cs="Times New Roman"/>
                <w:color w:val="auto"/>
              </w:rPr>
            </w:pPr>
            <w:r>
              <w:rPr>
                <w:rFonts w:hint="default" w:ascii="Times New Roman" w:hAnsi="Times New Roman" w:cs="Times New Roman"/>
                <w:color w:val="auto"/>
              </w:rPr>
              <w:t>4.2.3噪声环境影响分析及环保措施</w:t>
            </w:r>
          </w:p>
          <w:p w14:paraId="2B9810DE">
            <w:pPr>
              <w:pStyle w:val="6"/>
              <w:spacing w:before="113" w:beforeLines="30" w:after="189" w:afterLines="50" w:line="240" w:lineRule="auto"/>
              <w:outlineLvl w:val="3"/>
              <w:rPr>
                <w:rFonts w:hint="default" w:ascii="Times New Roman" w:hAnsi="Times New Roman" w:cs="Times New Roman"/>
                <w:color w:val="auto"/>
              </w:rPr>
            </w:pPr>
            <w:r>
              <w:rPr>
                <w:rFonts w:hint="default" w:ascii="Times New Roman" w:hAnsi="Times New Roman" w:cs="Times New Roman"/>
                <w:color w:val="auto"/>
              </w:rPr>
              <w:t>4.2.3.1</w:t>
            </w:r>
            <w:bookmarkStart w:id="235" w:name="_Toc29151"/>
            <w:bookmarkStart w:id="236" w:name="_Toc794"/>
            <w:bookmarkStart w:id="237" w:name="_Toc3903"/>
            <w:bookmarkStart w:id="238" w:name="_Toc7876"/>
            <w:bookmarkStart w:id="239" w:name="_Toc7003"/>
            <w:bookmarkStart w:id="240" w:name="_Toc6738"/>
            <w:r>
              <w:rPr>
                <w:rFonts w:hint="default" w:ascii="Times New Roman" w:hAnsi="Times New Roman" w:cs="Times New Roman"/>
                <w:color w:val="auto"/>
              </w:rPr>
              <w:t>污染源强核算</w:t>
            </w:r>
            <w:bookmarkEnd w:id="235"/>
            <w:bookmarkEnd w:id="236"/>
            <w:bookmarkEnd w:id="237"/>
            <w:bookmarkEnd w:id="238"/>
            <w:bookmarkEnd w:id="239"/>
            <w:bookmarkEnd w:id="240"/>
          </w:p>
          <w:p w14:paraId="0810DE82">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kern w:val="0"/>
                <w:sz w:val="24"/>
              </w:rPr>
              <w:t>本项目噪声主要来源于机械设备运行噪声，室外噪声源主要为废气处理设备风机等产生，优先选用超低噪声室外设备，采取安装隔声罩、基础减振、软性连接等措施加以控制。</w:t>
            </w:r>
            <w:r>
              <w:rPr>
                <w:rFonts w:hint="default" w:ascii="Times New Roman" w:hAnsi="Times New Roman" w:cs="Times New Roman"/>
                <w:color w:val="auto"/>
                <w:sz w:val="24"/>
              </w:rPr>
              <w:t>项目主要设备噪声源强见表4.2-</w:t>
            </w:r>
            <w:r>
              <w:rPr>
                <w:rFonts w:hint="default" w:ascii="Times New Roman" w:hAnsi="Times New Roman" w:cs="Times New Roman"/>
                <w:color w:val="auto"/>
                <w:sz w:val="24"/>
                <w:lang w:val="en-US" w:eastAsia="zh-CN"/>
              </w:rPr>
              <w:t>20</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21</w:t>
            </w:r>
            <w:r>
              <w:rPr>
                <w:rFonts w:hint="default" w:ascii="Times New Roman" w:hAnsi="Times New Roman" w:cs="Times New Roman"/>
                <w:color w:val="auto"/>
                <w:sz w:val="24"/>
              </w:rPr>
              <w:t>。</w:t>
            </w:r>
          </w:p>
          <w:p w14:paraId="70A10618">
            <w:pPr>
              <w:pStyle w:val="6"/>
              <w:spacing w:before="113" w:beforeLines="30" w:after="189" w:afterLines="50" w:line="240" w:lineRule="auto"/>
              <w:outlineLvl w:val="3"/>
              <w:rPr>
                <w:rFonts w:hint="default" w:ascii="Times New Roman" w:hAnsi="Times New Roman" w:cs="Times New Roman"/>
                <w:color w:val="auto"/>
              </w:rPr>
            </w:pPr>
            <w:r>
              <w:rPr>
                <w:rFonts w:hint="default" w:ascii="Times New Roman" w:hAnsi="Times New Roman" w:cs="Times New Roman"/>
                <w:color w:val="auto"/>
              </w:rPr>
              <w:t>4.2.3.2 环境影响分析</w:t>
            </w:r>
          </w:p>
          <w:p w14:paraId="46B87B25">
            <w:pPr>
              <w:adjustRightInd w:val="0"/>
              <w:snapToGrid w:val="0"/>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rPr>
              <w:t>本项目噪声主要来源于除锈机、水泵、空压机、风机等设备，主要采取隔声、消声、减振措施减少源强，拟建项目投产后噪声预测结果见表</w:t>
            </w:r>
            <w:r>
              <w:rPr>
                <w:rFonts w:hint="default" w:ascii="Times New Roman" w:hAnsi="Times New Roman" w:cs="Times New Roman"/>
                <w:color w:val="auto"/>
                <w:sz w:val="24"/>
              </w:rPr>
              <w:t>4.2-</w:t>
            </w:r>
            <w:r>
              <w:rPr>
                <w:rFonts w:hint="default" w:ascii="Times New Roman" w:hAnsi="Times New Roman" w:cs="Times New Roman"/>
                <w:color w:val="auto"/>
                <w:sz w:val="24"/>
                <w:lang w:val="en-US" w:eastAsia="zh-CN"/>
              </w:rPr>
              <w:t>22</w:t>
            </w:r>
            <w:r>
              <w:rPr>
                <w:rFonts w:hint="default" w:ascii="Times New Roman" w:hAnsi="Times New Roman" w:cs="Times New Roman"/>
                <w:color w:val="auto"/>
                <w:kern w:val="0"/>
                <w:sz w:val="24"/>
              </w:rPr>
              <w:t>。</w:t>
            </w:r>
          </w:p>
          <w:p w14:paraId="198884A6">
            <w:pPr>
              <w:pStyle w:val="2"/>
              <w:rPr>
                <w:rFonts w:hint="default" w:ascii="Times New Roman" w:hAnsi="Times New Roman" w:cs="Times New Roman"/>
                <w:color w:val="auto"/>
                <w:kern w:val="0"/>
                <w:sz w:val="24"/>
              </w:rPr>
            </w:pPr>
          </w:p>
          <w:p w14:paraId="33415483">
            <w:pPr>
              <w:pStyle w:val="2"/>
              <w:rPr>
                <w:rFonts w:hint="default" w:ascii="Times New Roman" w:hAnsi="Times New Roman" w:cs="Times New Roman"/>
                <w:color w:val="auto"/>
                <w:kern w:val="0"/>
                <w:sz w:val="24"/>
              </w:rPr>
            </w:pPr>
          </w:p>
          <w:p w14:paraId="57B8A774">
            <w:pPr>
              <w:pStyle w:val="2"/>
              <w:rPr>
                <w:rFonts w:hint="default" w:ascii="Times New Roman" w:hAnsi="Times New Roman" w:cs="Times New Roman"/>
                <w:color w:val="auto"/>
                <w:kern w:val="0"/>
                <w:sz w:val="24"/>
              </w:rPr>
            </w:pPr>
          </w:p>
          <w:p w14:paraId="3B5688D7">
            <w:pPr>
              <w:pStyle w:val="2"/>
              <w:rPr>
                <w:rFonts w:hint="default" w:ascii="Times New Roman" w:hAnsi="Times New Roman" w:cs="Times New Roman"/>
                <w:color w:val="auto"/>
                <w:kern w:val="0"/>
                <w:sz w:val="24"/>
              </w:rPr>
            </w:pPr>
          </w:p>
          <w:p w14:paraId="6851062A">
            <w:pPr>
              <w:pStyle w:val="2"/>
              <w:rPr>
                <w:rFonts w:hint="default" w:ascii="Times New Roman" w:hAnsi="Times New Roman" w:cs="Times New Roman"/>
                <w:color w:val="auto"/>
                <w:kern w:val="0"/>
                <w:sz w:val="24"/>
              </w:rPr>
            </w:pPr>
          </w:p>
          <w:p w14:paraId="6DBD8B89">
            <w:pPr>
              <w:pStyle w:val="2"/>
              <w:rPr>
                <w:rFonts w:hint="default" w:ascii="Times New Roman" w:hAnsi="Times New Roman" w:cs="Times New Roman"/>
                <w:color w:val="auto"/>
                <w:kern w:val="0"/>
                <w:sz w:val="24"/>
              </w:rPr>
            </w:pPr>
          </w:p>
          <w:p w14:paraId="55D42443">
            <w:pPr>
              <w:pStyle w:val="2"/>
              <w:rPr>
                <w:rFonts w:hint="default" w:ascii="Times New Roman" w:hAnsi="Times New Roman" w:cs="Times New Roman"/>
                <w:color w:val="auto"/>
                <w:kern w:val="0"/>
                <w:sz w:val="24"/>
              </w:rPr>
            </w:pPr>
          </w:p>
          <w:p w14:paraId="242FB86B">
            <w:pPr>
              <w:pStyle w:val="2"/>
              <w:rPr>
                <w:rFonts w:hint="default" w:ascii="Times New Roman" w:hAnsi="Times New Roman" w:cs="Times New Roman"/>
                <w:color w:val="auto"/>
                <w:kern w:val="0"/>
                <w:sz w:val="24"/>
              </w:rPr>
            </w:pPr>
          </w:p>
          <w:p w14:paraId="395FEEBE">
            <w:pPr>
              <w:pStyle w:val="2"/>
              <w:rPr>
                <w:rFonts w:hint="default" w:ascii="Times New Roman" w:hAnsi="Times New Roman" w:cs="Times New Roman"/>
                <w:color w:val="auto"/>
                <w:kern w:val="0"/>
                <w:sz w:val="24"/>
              </w:rPr>
            </w:pPr>
          </w:p>
          <w:p w14:paraId="2E1DC9EE">
            <w:pPr>
              <w:pStyle w:val="2"/>
              <w:rPr>
                <w:rFonts w:hint="default" w:ascii="Times New Roman" w:hAnsi="Times New Roman" w:cs="Times New Roman"/>
                <w:color w:val="auto"/>
                <w:kern w:val="0"/>
                <w:sz w:val="24"/>
              </w:rPr>
            </w:pPr>
          </w:p>
          <w:p w14:paraId="1384C81E">
            <w:pPr>
              <w:pStyle w:val="2"/>
              <w:ind w:firstLine="420"/>
              <w:rPr>
                <w:rFonts w:hint="default" w:ascii="Times New Roman" w:hAnsi="Times New Roman" w:cs="Times New Roman"/>
                <w:color w:val="auto"/>
              </w:rPr>
            </w:pPr>
          </w:p>
        </w:tc>
      </w:tr>
    </w:tbl>
    <w:p w14:paraId="19758855">
      <w:pPr>
        <w:pStyle w:val="2"/>
        <w:ind w:firstLine="420"/>
        <w:rPr>
          <w:rFonts w:hint="default" w:ascii="Times New Roman" w:hAnsi="Times New Roman" w:cs="Times New Roman"/>
          <w:color w:val="auto"/>
        </w:rPr>
        <w:sectPr>
          <w:pgSz w:w="11905" w:h="16838"/>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p w14:paraId="59D99185">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表4.2-</w:t>
      </w:r>
      <w:r>
        <w:rPr>
          <w:rFonts w:hint="default" w:ascii="Times New Roman" w:hAnsi="Times New Roman" w:eastAsia="黑体" w:cs="Times New Roman"/>
          <w:b w:val="0"/>
          <w:bCs/>
          <w:color w:val="auto"/>
          <w:lang w:val="en-US" w:eastAsia="zh-CN"/>
        </w:rPr>
        <w:t>20</w:t>
      </w:r>
      <w:r>
        <w:rPr>
          <w:rFonts w:hint="default" w:ascii="Times New Roman" w:hAnsi="Times New Roman" w:eastAsia="黑体" w:cs="Times New Roman"/>
          <w:b w:val="0"/>
          <w:bCs/>
          <w:color w:val="auto"/>
        </w:rPr>
        <w:t xml:space="preserve"> </w:t>
      </w:r>
      <w:r>
        <w:rPr>
          <w:rFonts w:hint="eastAsia" w:eastAsia="黑体" w:cs="Times New Roman"/>
          <w:b w:val="0"/>
          <w:bCs/>
          <w:color w:val="auto"/>
          <w:lang w:val="en-US" w:eastAsia="zh-CN"/>
        </w:rPr>
        <w:t xml:space="preserve"> </w:t>
      </w:r>
      <w:r>
        <w:rPr>
          <w:rFonts w:hint="default" w:ascii="Times New Roman" w:hAnsi="Times New Roman" w:eastAsia="黑体" w:cs="Times New Roman"/>
          <w:b w:val="0"/>
          <w:bCs/>
          <w:color w:val="auto"/>
        </w:rPr>
        <w:t>新增主要生产设备噪声一览表（室内声源）</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1"/>
        <w:gridCol w:w="867"/>
        <w:gridCol w:w="2398"/>
        <w:gridCol w:w="1015"/>
        <w:gridCol w:w="1265"/>
        <w:gridCol w:w="694"/>
        <w:gridCol w:w="694"/>
        <w:gridCol w:w="664"/>
        <w:gridCol w:w="1040"/>
        <w:gridCol w:w="1157"/>
        <w:gridCol w:w="836"/>
        <w:gridCol w:w="1203"/>
        <w:gridCol w:w="970"/>
        <w:gridCol w:w="876"/>
      </w:tblGrid>
      <w:tr w14:paraId="6311B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jc w:val="center"/>
        </w:trPr>
        <w:tc>
          <w:tcPr>
            <w:tcW w:w="0" w:type="auto"/>
            <w:vMerge w:val="restart"/>
            <w:tcBorders>
              <w:tl2br w:val="nil"/>
              <w:tr2bl w:val="nil"/>
            </w:tcBorders>
            <w:vAlign w:val="center"/>
          </w:tcPr>
          <w:p w14:paraId="3AAC2FB4">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序号</w:t>
            </w:r>
          </w:p>
        </w:tc>
        <w:tc>
          <w:tcPr>
            <w:tcW w:w="0" w:type="auto"/>
            <w:vMerge w:val="restart"/>
            <w:tcBorders>
              <w:tl2br w:val="nil"/>
              <w:tr2bl w:val="nil"/>
            </w:tcBorders>
            <w:vAlign w:val="center"/>
          </w:tcPr>
          <w:p w14:paraId="02DC79DD">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车间</w:t>
            </w:r>
          </w:p>
        </w:tc>
        <w:tc>
          <w:tcPr>
            <w:tcW w:w="2398" w:type="dxa"/>
            <w:vMerge w:val="restart"/>
            <w:tcBorders>
              <w:tl2br w:val="nil"/>
              <w:tr2bl w:val="nil"/>
            </w:tcBorders>
            <w:vAlign w:val="center"/>
          </w:tcPr>
          <w:p w14:paraId="20DA37AD">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声源名称</w:t>
            </w:r>
          </w:p>
        </w:tc>
        <w:tc>
          <w:tcPr>
            <w:tcW w:w="1015" w:type="dxa"/>
            <w:vMerge w:val="restart"/>
            <w:tcBorders>
              <w:tl2br w:val="nil"/>
              <w:tr2bl w:val="nil"/>
            </w:tcBorders>
            <w:vAlign w:val="center"/>
          </w:tcPr>
          <w:p w14:paraId="31055EB5">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声压级dB(A)</w:t>
            </w:r>
          </w:p>
        </w:tc>
        <w:tc>
          <w:tcPr>
            <w:tcW w:w="1265" w:type="dxa"/>
            <w:vMerge w:val="restart"/>
            <w:tcBorders>
              <w:tl2br w:val="nil"/>
              <w:tr2bl w:val="nil"/>
            </w:tcBorders>
            <w:vAlign w:val="center"/>
          </w:tcPr>
          <w:p w14:paraId="2F98966B">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声源控制措施</w:t>
            </w:r>
          </w:p>
        </w:tc>
        <w:tc>
          <w:tcPr>
            <w:tcW w:w="0" w:type="auto"/>
            <w:gridSpan w:val="3"/>
            <w:tcBorders>
              <w:tl2br w:val="nil"/>
              <w:tr2bl w:val="nil"/>
            </w:tcBorders>
            <w:vAlign w:val="center"/>
          </w:tcPr>
          <w:p w14:paraId="2DE21A78">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空间相对位置/m</w:t>
            </w:r>
          </w:p>
        </w:tc>
        <w:tc>
          <w:tcPr>
            <w:tcW w:w="1040" w:type="dxa"/>
            <w:vMerge w:val="restart"/>
            <w:tcBorders>
              <w:tl2br w:val="nil"/>
              <w:tr2bl w:val="nil"/>
            </w:tcBorders>
            <w:vAlign w:val="center"/>
          </w:tcPr>
          <w:p w14:paraId="091708E6">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距室内边界距离/m</w:t>
            </w:r>
          </w:p>
        </w:tc>
        <w:tc>
          <w:tcPr>
            <w:tcW w:w="1157" w:type="dxa"/>
            <w:vMerge w:val="restart"/>
            <w:tcBorders>
              <w:tl2br w:val="nil"/>
              <w:tr2bl w:val="nil"/>
            </w:tcBorders>
            <w:vAlign w:val="center"/>
          </w:tcPr>
          <w:p w14:paraId="0C556982">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室内边界声级/dB(A)</w:t>
            </w:r>
          </w:p>
        </w:tc>
        <w:tc>
          <w:tcPr>
            <w:tcW w:w="836" w:type="dxa"/>
            <w:vMerge w:val="restart"/>
            <w:tcBorders>
              <w:tl2br w:val="nil"/>
              <w:tr2bl w:val="nil"/>
            </w:tcBorders>
            <w:vAlign w:val="center"/>
          </w:tcPr>
          <w:p w14:paraId="7DD87F90">
            <w:pPr>
              <w:widowControl/>
              <w:adjustRightInd w:val="0"/>
              <w:snapToGrid w:val="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运行</w:t>
            </w:r>
          </w:p>
          <w:p w14:paraId="27A85727">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时段</w:t>
            </w:r>
          </w:p>
        </w:tc>
        <w:tc>
          <w:tcPr>
            <w:tcW w:w="1203" w:type="dxa"/>
            <w:vMerge w:val="restart"/>
            <w:tcBorders>
              <w:tl2br w:val="nil"/>
              <w:tr2bl w:val="nil"/>
            </w:tcBorders>
            <w:vAlign w:val="center"/>
          </w:tcPr>
          <w:p w14:paraId="7EBD64C1">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建筑物</w:t>
            </w:r>
          </w:p>
          <w:p w14:paraId="6660906D">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插入损</w:t>
            </w:r>
          </w:p>
          <w:p w14:paraId="70200034">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失/ dB(A)</w:t>
            </w:r>
          </w:p>
        </w:tc>
        <w:tc>
          <w:tcPr>
            <w:tcW w:w="0" w:type="auto"/>
            <w:gridSpan w:val="2"/>
            <w:tcBorders>
              <w:tl2br w:val="nil"/>
              <w:tr2bl w:val="nil"/>
            </w:tcBorders>
            <w:vAlign w:val="center"/>
          </w:tcPr>
          <w:p w14:paraId="13CC7460">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建筑物外噪声</w:t>
            </w:r>
          </w:p>
        </w:tc>
      </w:tr>
      <w:tr w14:paraId="64923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jc w:val="center"/>
        </w:trPr>
        <w:tc>
          <w:tcPr>
            <w:tcW w:w="0" w:type="auto"/>
            <w:vMerge w:val="continue"/>
            <w:tcBorders>
              <w:tl2br w:val="nil"/>
              <w:tr2bl w:val="nil"/>
            </w:tcBorders>
            <w:vAlign w:val="center"/>
          </w:tcPr>
          <w:p w14:paraId="360CE538">
            <w:pPr>
              <w:pStyle w:val="2"/>
              <w:spacing w:line="240" w:lineRule="auto"/>
              <w:ind w:firstLine="0" w:firstLineChars="0"/>
              <w:jc w:val="center"/>
              <w:rPr>
                <w:rFonts w:hint="default" w:ascii="Times New Roman" w:hAnsi="Times New Roman" w:cs="Times New Roman"/>
                <w:color w:val="auto"/>
                <w:szCs w:val="21"/>
              </w:rPr>
            </w:pPr>
          </w:p>
        </w:tc>
        <w:tc>
          <w:tcPr>
            <w:tcW w:w="0" w:type="auto"/>
            <w:vMerge w:val="continue"/>
            <w:tcBorders>
              <w:tl2br w:val="nil"/>
              <w:tr2bl w:val="nil"/>
            </w:tcBorders>
            <w:vAlign w:val="center"/>
          </w:tcPr>
          <w:p w14:paraId="0BB5913B">
            <w:pPr>
              <w:pStyle w:val="2"/>
              <w:spacing w:line="240" w:lineRule="auto"/>
              <w:ind w:firstLine="0" w:firstLineChars="0"/>
              <w:jc w:val="center"/>
              <w:rPr>
                <w:rFonts w:hint="default" w:ascii="Times New Roman" w:hAnsi="Times New Roman" w:cs="Times New Roman"/>
                <w:color w:val="auto"/>
                <w:szCs w:val="21"/>
              </w:rPr>
            </w:pPr>
          </w:p>
        </w:tc>
        <w:tc>
          <w:tcPr>
            <w:tcW w:w="2398" w:type="dxa"/>
            <w:vMerge w:val="continue"/>
            <w:tcBorders>
              <w:tl2br w:val="nil"/>
              <w:tr2bl w:val="nil"/>
            </w:tcBorders>
            <w:vAlign w:val="center"/>
          </w:tcPr>
          <w:p w14:paraId="0D7ADC16">
            <w:pPr>
              <w:pStyle w:val="2"/>
              <w:spacing w:line="240" w:lineRule="auto"/>
              <w:ind w:firstLine="0" w:firstLineChars="0"/>
              <w:jc w:val="center"/>
              <w:rPr>
                <w:rFonts w:hint="default" w:ascii="Times New Roman" w:hAnsi="Times New Roman" w:cs="Times New Roman"/>
                <w:color w:val="auto"/>
                <w:szCs w:val="21"/>
              </w:rPr>
            </w:pPr>
          </w:p>
        </w:tc>
        <w:tc>
          <w:tcPr>
            <w:tcW w:w="1015" w:type="dxa"/>
            <w:vMerge w:val="continue"/>
            <w:tcBorders>
              <w:tl2br w:val="nil"/>
              <w:tr2bl w:val="nil"/>
            </w:tcBorders>
            <w:vAlign w:val="center"/>
          </w:tcPr>
          <w:p w14:paraId="2BD8D559">
            <w:pPr>
              <w:pStyle w:val="2"/>
              <w:spacing w:line="240" w:lineRule="auto"/>
              <w:ind w:firstLine="0" w:firstLineChars="0"/>
              <w:jc w:val="center"/>
              <w:rPr>
                <w:rFonts w:hint="default" w:ascii="Times New Roman" w:hAnsi="Times New Roman" w:cs="Times New Roman"/>
                <w:color w:val="auto"/>
                <w:szCs w:val="21"/>
              </w:rPr>
            </w:pPr>
          </w:p>
        </w:tc>
        <w:tc>
          <w:tcPr>
            <w:tcW w:w="1265" w:type="dxa"/>
            <w:vMerge w:val="continue"/>
            <w:tcBorders>
              <w:tl2br w:val="nil"/>
              <w:tr2bl w:val="nil"/>
            </w:tcBorders>
            <w:vAlign w:val="center"/>
          </w:tcPr>
          <w:p w14:paraId="5FF73C0F">
            <w:pPr>
              <w:pStyle w:val="2"/>
              <w:spacing w:line="240" w:lineRule="auto"/>
              <w:ind w:firstLine="0" w:firstLineChars="0"/>
              <w:jc w:val="center"/>
              <w:rPr>
                <w:rFonts w:hint="default" w:ascii="Times New Roman" w:hAnsi="Times New Roman" w:cs="Times New Roman"/>
                <w:color w:val="auto"/>
                <w:szCs w:val="21"/>
              </w:rPr>
            </w:pPr>
          </w:p>
        </w:tc>
        <w:tc>
          <w:tcPr>
            <w:tcW w:w="0" w:type="auto"/>
            <w:tcBorders>
              <w:tl2br w:val="nil"/>
              <w:tr2bl w:val="nil"/>
            </w:tcBorders>
            <w:vAlign w:val="center"/>
          </w:tcPr>
          <w:p w14:paraId="440911C0">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X</w:t>
            </w:r>
            <w:r>
              <w:rPr>
                <w:rStyle w:val="105"/>
                <w:rFonts w:hint="default" w:ascii="Times New Roman" w:hAnsi="Times New Roman" w:cs="Times New Roman"/>
                <w:color w:val="auto"/>
                <w:lang w:bidi="ar"/>
              </w:rPr>
              <w:t>坐标</w:t>
            </w:r>
          </w:p>
        </w:tc>
        <w:tc>
          <w:tcPr>
            <w:tcW w:w="0" w:type="auto"/>
            <w:tcBorders>
              <w:tl2br w:val="nil"/>
              <w:tr2bl w:val="nil"/>
            </w:tcBorders>
            <w:vAlign w:val="center"/>
          </w:tcPr>
          <w:p w14:paraId="4E8E1EED">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Y</w:t>
            </w:r>
            <w:r>
              <w:rPr>
                <w:rStyle w:val="105"/>
                <w:rFonts w:hint="default" w:ascii="Times New Roman" w:hAnsi="Times New Roman" w:cs="Times New Roman"/>
                <w:color w:val="auto"/>
                <w:lang w:bidi="ar"/>
              </w:rPr>
              <w:t>坐标</w:t>
            </w:r>
          </w:p>
        </w:tc>
        <w:tc>
          <w:tcPr>
            <w:tcW w:w="0" w:type="auto"/>
            <w:tcBorders>
              <w:tl2br w:val="nil"/>
              <w:tr2bl w:val="nil"/>
            </w:tcBorders>
            <w:vAlign w:val="center"/>
          </w:tcPr>
          <w:p w14:paraId="07C85710">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Z</w:t>
            </w:r>
            <w:r>
              <w:rPr>
                <w:rStyle w:val="105"/>
                <w:rFonts w:hint="default" w:ascii="Times New Roman" w:hAnsi="Times New Roman" w:cs="Times New Roman"/>
                <w:color w:val="auto"/>
                <w:lang w:bidi="ar"/>
              </w:rPr>
              <w:t>坐标</w:t>
            </w:r>
          </w:p>
        </w:tc>
        <w:tc>
          <w:tcPr>
            <w:tcW w:w="1040" w:type="dxa"/>
            <w:vMerge w:val="continue"/>
            <w:tcBorders>
              <w:tl2br w:val="nil"/>
              <w:tr2bl w:val="nil"/>
            </w:tcBorders>
            <w:vAlign w:val="center"/>
          </w:tcPr>
          <w:p w14:paraId="1F6E3C63">
            <w:pPr>
              <w:pStyle w:val="2"/>
              <w:spacing w:line="240" w:lineRule="auto"/>
              <w:ind w:firstLine="0" w:firstLineChars="0"/>
              <w:jc w:val="center"/>
              <w:rPr>
                <w:rFonts w:hint="default" w:ascii="Times New Roman" w:hAnsi="Times New Roman" w:cs="Times New Roman"/>
                <w:color w:val="auto"/>
                <w:szCs w:val="21"/>
              </w:rPr>
            </w:pPr>
          </w:p>
        </w:tc>
        <w:tc>
          <w:tcPr>
            <w:tcW w:w="1157" w:type="dxa"/>
            <w:vMerge w:val="continue"/>
            <w:tcBorders>
              <w:tl2br w:val="nil"/>
              <w:tr2bl w:val="nil"/>
            </w:tcBorders>
            <w:vAlign w:val="center"/>
          </w:tcPr>
          <w:p w14:paraId="01A54695">
            <w:pPr>
              <w:pStyle w:val="2"/>
              <w:spacing w:line="240" w:lineRule="auto"/>
              <w:ind w:firstLine="0" w:firstLineChars="0"/>
              <w:jc w:val="center"/>
              <w:rPr>
                <w:rFonts w:hint="default" w:ascii="Times New Roman" w:hAnsi="Times New Roman" w:cs="Times New Roman"/>
                <w:color w:val="auto"/>
                <w:szCs w:val="21"/>
              </w:rPr>
            </w:pPr>
          </w:p>
        </w:tc>
        <w:tc>
          <w:tcPr>
            <w:tcW w:w="836" w:type="dxa"/>
            <w:vMerge w:val="continue"/>
            <w:tcBorders>
              <w:tl2br w:val="nil"/>
              <w:tr2bl w:val="nil"/>
            </w:tcBorders>
            <w:vAlign w:val="center"/>
          </w:tcPr>
          <w:p w14:paraId="084C84B2">
            <w:pPr>
              <w:pStyle w:val="2"/>
              <w:spacing w:line="240" w:lineRule="auto"/>
              <w:ind w:firstLine="0" w:firstLineChars="0"/>
              <w:jc w:val="center"/>
              <w:rPr>
                <w:rFonts w:hint="default" w:ascii="Times New Roman" w:hAnsi="Times New Roman" w:cs="Times New Roman"/>
                <w:color w:val="auto"/>
                <w:szCs w:val="21"/>
              </w:rPr>
            </w:pPr>
          </w:p>
        </w:tc>
        <w:tc>
          <w:tcPr>
            <w:tcW w:w="1203" w:type="dxa"/>
            <w:vMerge w:val="continue"/>
            <w:tcBorders>
              <w:tl2br w:val="nil"/>
              <w:tr2bl w:val="nil"/>
            </w:tcBorders>
            <w:vAlign w:val="center"/>
          </w:tcPr>
          <w:p w14:paraId="2A24F020">
            <w:pPr>
              <w:pStyle w:val="2"/>
              <w:spacing w:line="240" w:lineRule="auto"/>
              <w:ind w:firstLine="0" w:firstLineChars="0"/>
              <w:jc w:val="center"/>
              <w:rPr>
                <w:rFonts w:hint="default" w:ascii="Times New Roman" w:hAnsi="Times New Roman" w:cs="Times New Roman"/>
                <w:color w:val="auto"/>
                <w:szCs w:val="21"/>
              </w:rPr>
            </w:pPr>
          </w:p>
        </w:tc>
        <w:tc>
          <w:tcPr>
            <w:tcW w:w="970" w:type="dxa"/>
            <w:tcBorders>
              <w:tl2br w:val="nil"/>
              <w:tr2bl w:val="nil"/>
            </w:tcBorders>
            <w:vAlign w:val="center"/>
          </w:tcPr>
          <w:p w14:paraId="1D308A9F">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声压级</w:t>
            </w:r>
          </w:p>
          <w:p w14:paraId="41B95A20">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/dB(A)</w:t>
            </w:r>
          </w:p>
        </w:tc>
        <w:tc>
          <w:tcPr>
            <w:tcW w:w="876" w:type="dxa"/>
            <w:tcBorders>
              <w:tl2br w:val="nil"/>
              <w:tr2bl w:val="nil"/>
            </w:tcBorders>
            <w:vAlign w:val="center"/>
          </w:tcPr>
          <w:p w14:paraId="7969C65C">
            <w:pPr>
              <w:widowControl/>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建筑物外距离</w:t>
            </w:r>
          </w:p>
        </w:tc>
      </w:tr>
      <w:tr w14:paraId="1919F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0" w:type="auto"/>
            <w:tcBorders>
              <w:tl2br w:val="nil"/>
              <w:tr2bl w:val="nil"/>
            </w:tcBorders>
            <w:vAlign w:val="center"/>
          </w:tcPr>
          <w:p w14:paraId="3FFBCD4C">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867" w:type="dxa"/>
            <w:vMerge w:val="restart"/>
            <w:tcBorders>
              <w:tl2br w:val="nil"/>
              <w:tr2bl w:val="nil"/>
            </w:tcBorders>
            <w:vAlign w:val="center"/>
          </w:tcPr>
          <w:p w14:paraId="316A7219">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4#生产车间</w:t>
            </w:r>
          </w:p>
        </w:tc>
        <w:tc>
          <w:tcPr>
            <w:tcW w:w="2398" w:type="dxa"/>
            <w:tcBorders>
              <w:tl2br w:val="nil"/>
              <w:tr2bl w:val="nil"/>
            </w:tcBorders>
            <w:vAlign w:val="center"/>
          </w:tcPr>
          <w:p w14:paraId="6CFDB7F6">
            <w:pPr>
              <w:jc w:val="center"/>
              <w:rPr>
                <w:rFonts w:hint="default" w:ascii="Times New Roman" w:hAnsi="Times New Roman" w:cs="Times New Roman"/>
                <w:color w:val="auto"/>
              </w:rPr>
            </w:pPr>
            <w:r>
              <w:rPr>
                <w:rFonts w:hint="default" w:ascii="Times New Roman" w:hAnsi="Times New Roman" w:cs="Times New Roman"/>
                <w:color w:val="auto"/>
              </w:rPr>
              <w:t>砂带除锈机1~3#</w:t>
            </w:r>
          </w:p>
        </w:tc>
        <w:tc>
          <w:tcPr>
            <w:tcW w:w="1015" w:type="dxa"/>
            <w:tcBorders>
              <w:tl2br w:val="nil"/>
              <w:tr2bl w:val="nil"/>
            </w:tcBorders>
            <w:vAlign w:val="center"/>
          </w:tcPr>
          <w:p w14:paraId="5DAB3BE8">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70~75</w:t>
            </w:r>
          </w:p>
        </w:tc>
        <w:tc>
          <w:tcPr>
            <w:tcW w:w="1265" w:type="dxa"/>
            <w:vMerge w:val="restart"/>
            <w:tcBorders>
              <w:tl2br w:val="nil"/>
              <w:tr2bl w:val="nil"/>
            </w:tcBorders>
            <w:vAlign w:val="center"/>
          </w:tcPr>
          <w:p w14:paraId="2184AF05">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厂房隔声、基础减振</w:t>
            </w:r>
          </w:p>
        </w:tc>
        <w:tc>
          <w:tcPr>
            <w:tcW w:w="0" w:type="auto"/>
            <w:tcBorders>
              <w:tl2br w:val="nil"/>
              <w:tr2bl w:val="nil"/>
            </w:tcBorders>
            <w:vAlign w:val="center"/>
          </w:tcPr>
          <w:p w14:paraId="727A5B83">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70</w:t>
            </w:r>
          </w:p>
        </w:tc>
        <w:tc>
          <w:tcPr>
            <w:tcW w:w="0" w:type="auto"/>
            <w:tcBorders>
              <w:tl2br w:val="nil"/>
              <w:tr2bl w:val="nil"/>
            </w:tcBorders>
            <w:vAlign w:val="center"/>
          </w:tcPr>
          <w:p w14:paraId="0BE25358">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40</w:t>
            </w:r>
          </w:p>
        </w:tc>
        <w:tc>
          <w:tcPr>
            <w:tcW w:w="0" w:type="auto"/>
            <w:tcBorders>
              <w:tl2br w:val="nil"/>
              <w:tr2bl w:val="nil"/>
            </w:tcBorders>
            <w:vAlign w:val="center"/>
          </w:tcPr>
          <w:p w14:paraId="4A748801">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1.5</w:t>
            </w:r>
          </w:p>
        </w:tc>
        <w:tc>
          <w:tcPr>
            <w:tcW w:w="1040" w:type="dxa"/>
            <w:tcBorders>
              <w:tl2br w:val="nil"/>
              <w:tr2bl w:val="nil"/>
            </w:tcBorders>
            <w:vAlign w:val="center"/>
          </w:tcPr>
          <w:p w14:paraId="611E8083">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1157" w:type="dxa"/>
            <w:tcBorders>
              <w:tl2br w:val="nil"/>
              <w:tr2bl w:val="nil"/>
            </w:tcBorders>
            <w:vAlign w:val="center"/>
          </w:tcPr>
          <w:p w14:paraId="5F59A8B4">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75</w:t>
            </w:r>
          </w:p>
        </w:tc>
        <w:tc>
          <w:tcPr>
            <w:tcW w:w="836" w:type="dxa"/>
            <w:tcBorders>
              <w:tl2br w:val="nil"/>
              <w:tr2bl w:val="nil"/>
            </w:tcBorders>
            <w:vAlign w:val="center"/>
          </w:tcPr>
          <w:p w14:paraId="617DB720">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24</w:t>
            </w:r>
          </w:p>
        </w:tc>
        <w:tc>
          <w:tcPr>
            <w:tcW w:w="1203" w:type="dxa"/>
            <w:tcBorders>
              <w:tl2br w:val="nil"/>
              <w:tr2bl w:val="nil"/>
            </w:tcBorders>
            <w:vAlign w:val="center"/>
          </w:tcPr>
          <w:p w14:paraId="60CB5F26">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15~20</w:t>
            </w:r>
          </w:p>
        </w:tc>
        <w:tc>
          <w:tcPr>
            <w:tcW w:w="970" w:type="dxa"/>
            <w:tcBorders>
              <w:tl2br w:val="nil"/>
              <w:tr2bl w:val="nil"/>
            </w:tcBorders>
            <w:vAlign w:val="center"/>
          </w:tcPr>
          <w:p w14:paraId="70046B30">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60</w:t>
            </w:r>
          </w:p>
        </w:tc>
        <w:tc>
          <w:tcPr>
            <w:tcW w:w="876" w:type="dxa"/>
            <w:tcBorders>
              <w:tl2br w:val="nil"/>
              <w:tr2bl w:val="nil"/>
            </w:tcBorders>
            <w:vAlign w:val="center"/>
          </w:tcPr>
          <w:p w14:paraId="69E11698">
            <w:pPr>
              <w:pStyle w:val="2"/>
              <w:spacing w:line="240" w:lineRule="auto"/>
              <w:ind w:firstLine="0" w:firstLineChars="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1</w:t>
            </w:r>
          </w:p>
        </w:tc>
      </w:tr>
      <w:tr w14:paraId="03758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0" w:type="auto"/>
            <w:tcBorders>
              <w:tl2br w:val="nil"/>
              <w:tr2bl w:val="nil"/>
            </w:tcBorders>
            <w:vAlign w:val="center"/>
          </w:tcPr>
          <w:p w14:paraId="45580149">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2</w:t>
            </w:r>
          </w:p>
        </w:tc>
        <w:tc>
          <w:tcPr>
            <w:tcW w:w="867" w:type="dxa"/>
            <w:vMerge w:val="continue"/>
            <w:tcBorders>
              <w:tl2br w:val="nil"/>
              <w:tr2bl w:val="nil"/>
            </w:tcBorders>
            <w:vAlign w:val="center"/>
          </w:tcPr>
          <w:p w14:paraId="0BAB1FDB">
            <w:pPr>
              <w:pStyle w:val="2"/>
              <w:spacing w:line="240" w:lineRule="auto"/>
              <w:ind w:firstLine="0" w:firstLineChars="0"/>
              <w:jc w:val="center"/>
              <w:rPr>
                <w:rFonts w:hint="default" w:ascii="Times New Roman" w:hAnsi="Times New Roman" w:cs="Times New Roman"/>
                <w:color w:val="auto"/>
                <w:szCs w:val="21"/>
              </w:rPr>
            </w:pPr>
          </w:p>
        </w:tc>
        <w:tc>
          <w:tcPr>
            <w:tcW w:w="2398" w:type="dxa"/>
            <w:tcBorders>
              <w:tl2br w:val="nil"/>
              <w:tr2bl w:val="nil"/>
            </w:tcBorders>
            <w:vAlign w:val="center"/>
          </w:tcPr>
          <w:p w14:paraId="0A4193AF">
            <w:pPr>
              <w:jc w:val="center"/>
              <w:rPr>
                <w:rFonts w:hint="default" w:ascii="Times New Roman" w:hAnsi="Times New Roman" w:cs="Times New Roman"/>
                <w:color w:val="auto"/>
              </w:rPr>
            </w:pPr>
            <w:r>
              <w:rPr>
                <w:rFonts w:hint="default" w:ascii="Times New Roman" w:hAnsi="Times New Roman" w:cs="Times New Roman"/>
                <w:color w:val="auto"/>
              </w:rPr>
              <w:t>砂带除锈机4~6#</w:t>
            </w:r>
          </w:p>
        </w:tc>
        <w:tc>
          <w:tcPr>
            <w:tcW w:w="1015" w:type="dxa"/>
            <w:tcBorders>
              <w:tl2br w:val="nil"/>
              <w:tr2bl w:val="nil"/>
            </w:tcBorders>
            <w:vAlign w:val="center"/>
          </w:tcPr>
          <w:p w14:paraId="1E816A54">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70~75</w:t>
            </w:r>
          </w:p>
        </w:tc>
        <w:tc>
          <w:tcPr>
            <w:tcW w:w="1265" w:type="dxa"/>
            <w:vMerge w:val="continue"/>
            <w:tcBorders>
              <w:tl2br w:val="nil"/>
              <w:tr2bl w:val="nil"/>
            </w:tcBorders>
            <w:vAlign w:val="center"/>
          </w:tcPr>
          <w:p w14:paraId="2D81A41D">
            <w:pPr>
              <w:pStyle w:val="2"/>
              <w:spacing w:line="240" w:lineRule="auto"/>
              <w:ind w:firstLine="0" w:firstLineChars="0"/>
              <w:jc w:val="center"/>
              <w:rPr>
                <w:rFonts w:hint="default" w:ascii="Times New Roman" w:hAnsi="Times New Roman" w:cs="Times New Roman"/>
                <w:color w:val="auto"/>
                <w:szCs w:val="21"/>
              </w:rPr>
            </w:pPr>
          </w:p>
        </w:tc>
        <w:tc>
          <w:tcPr>
            <w:tcW w:w="0" w:type="auto"/>
            <w:tcBorders>
              <w:tl2br w:val="nil"/>
              <w:tr2bl w:val="nil"/>
            </w:tcBorders>
            <w:vAlign w:val="center"/>
          </w:tcPr>
          <w:p w14:paraId="1756E5BA">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85</w:t>
            </w:r>
          </w:p>
        </w:tc>
        <w:tc>
          <w:tcPr>
            <w:tcW w:w="0" w:type="auto"/>
            <w:tcBorders>
              <w:tl2br w:val="nil"/>
              <w:tr2bl w:val="nil"/>
            </w:tcBorders>
            <w:vAlign w:val="center"/>
          </w:tcPr>
          <w:p w14:paraId="1B53E3B6">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50</w:t>
            </w:r>
          </w:p>
        </w:tc>
        <w:tc>
          <w:tcPr>
            <w:tcW w:w="0" w:type="auto"/>
            <w:tcBorders>
              <w:tl2br w:val="nil"/>
              <w:tr2bl w:val="nil"/>
            </w:tcBorders>
            <w:vAlign w:val="center"/>
          </w:tcPr>
          <w:p w14:paraId="416BFF5D">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1.5</w:t>
            </w:r>
          </w:p>
        </w:tc>
        <w:tc>
          <w:tcPr>
            <w:tcW w:w="1040" w:type="dxa"/>
            <w:tcBorders>
              <w:tl2br w:val="nil"/>
              <w:tr2bl w:val="nil"/>
            </w:tcBorders>
            <w:vAlign w:val="center"/>
          </w:tcPr>
          <w:p w14:paraId="10115182">
            <w:pPr>
              <w:jc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1157" w:type="dxa"/>
            <w:tcBorders>
              <w:tl2br w:val="nil"/>
              <w:tr2bl w:val="nil"/>
            </w:tcBorders>
            <w:vAlign w:val="center"/>
          </w:tcPr>
          <w:p w14:paraId="75CD8093">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75</w:t>
            </w:r>
          </w:p>
        </w:tc>
        <w:tc>
          <w:tcPr>
            <w:tcW w:w="836" w:type="dxa"/>
            <w:tcBorders>
              <w:tl2br w:val="nil"/>
              <w:tr2bl w:val="nil"/>
            </w:tcBorders>
            <w:vAlign w:val="center"/>
          </w:tcPr>
          <w:p w14:paraId="17B19D4A">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24</w:t>
            </w:r>
          </w:p>
        </w:tc>
        <w:tc>
          <w:tcPr>
            <w:tcW w:w="1203" w:type="dxa"/>
            <w:tcBorders>
              <w:tl2br w:val="nil"/>
              <w:tr2bl w:val="nil"/>
            </w:tcBorders>
            <w:vAlign w:val="center"/>
          </w:tcPr>
          <w:p w14:paraId="38E1E0E2">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15~20</w:t>
            </w:r>
          </w:p>
        </w:tc>
        <w:tc>
          <w:tcPr>
            <w:tcW w:w="970" w:type="dxa"/>
            <w:tcBorders>
              <w:tl2br w:val="nil"/>
              <w:tr2bl w:val="nil"/>
            </w:tcBorders>
            <w:vAlign w:val="center"/>
          </w:tcPr>
          <w:p w14:paraId="529C9D0D">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60</w:t>
            </w:r>
          </w:p>
        </w:tc>
        <w:tc>
          <w:tcPr>
            <w:tcW w:w="876" w:type="dxa"/>
            <w:tcBorders>
              <w:tl2br w:val="nil"/>
              <w:tr2bl w:val="nil"/>
            </w:tcBorders>
            <w:vAlign w:val="center"/>
          </w:tcPr>
          <w:p w14:paraId="024B2596">
            <w:pPr>
              <w:pStyle w:val="2"/>
              <w:spacing w:line="240" w:lineRule="auto"/>
              <w:ind w:firstLine="0" w:firstLineChars="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1</w:t>
            </w:r>
          </w:p>
        </w:tc>
      </w:tr>
      <w:tr w14:paraId="00C62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0" w:type="auto"/>
            <w:tcBorders>
              <w:tl2br w:val="nil"/>
              <w:tr2bl w:val="nil"/>
            </w:tcBorders>
            <w:vAlign w:val="center"/>
          </w:tcPr>
          <w:p w14:paraId="099C1FD8">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3</w:t>
            </w:r>
          </w:p>
        </w:tc>
        <w:tc>
          <w:tcPr>
            <w:tcW w:w="867" w:type="dxa"/>
            <w:vMerge w:val="continue"/>
            <w:tcBorders>
              <w:tl2br w:val="nil"/>
              <w:tr2bl w:val="nil"/>
            </w:tcBorders>
            <w:vAlign w:val="center"/>
          </w:tcPr>
          <w:p w14:paraId="185884F4">
            <w:pPr>
              <w:pStyle w:val="2"/>
              <w:spacing w:line="240" w:lineRule="auto"/>
              <w:ind w:firstLine="0" w:firstLineChars="0"/>
              <w:jc w:val="center"/>
              <w:rPr>
                <w:rFonts w:hint="default" w:ascii="Times New Roman" w:hAnsi="Times New Roman" w:cs="Times New Roman"/>
                <w:color w:val="auto"/>
                <w:szCs w:val="21"/>
              </w:rPr>
            </w:pPr>
          </w:p>
        </w:tc>
        <w:tc>
          <w:tcPr>
            <w:tcW w:w="2398" w:type="dxa"/>
            <w:tcBorders>
              <w:tl2br w:val="nil"/>
              <w:tr2bl w:val="nil"/>
            </w:tcBorders>
            <w:vAlign w:val="center"/>
          </w:tcPr>
          <w:p w14:paraId="2F475FED">
            <w:pPr>
              <w:jc w:val="center"/>
              <w:rPr>
                <w:rFonts w:hint="default" w:ascii="Times New Roman" w:hAnsi="Times New Roman" w:cs="Times New Roman"/>
                <w:color w:val="auto"/>
              </w:rPr>
            </w:pPr>
            <w:r>
              <w:rPr>
                <w:rFonts w:hint="default" w:ascii="Times New Roman" w:hAnsi="Times New Roman" w:cs="Times New Roman"/>
                <w:color w:val="auto"/>
                <w:szCs w:val="21"/>
              </w:rPr>
              <w:t>拉丝机1~4#</w:t>
            </w:r>
          </w:p>
        </w:tc>
        <w:tc>
          <w:tcPr>
            <w:tcW w:w="1015" w:type="dxa"/>
            <w:tcBorders>
              <w:tl2br w:val="nil"/>
              <w:tr2bl w:val="nil"/>
            </w:tcBorders>
            <w:vAlign w:val="center"/>
          </w:tcPr>
          <w:p w14:paraId="4357C3AF">
            <w:pPr>
              <w:jc w:val="center"/>
              <w:rPr>
                <w:rFonts w:hint="default" w:ascii="Times New Roman" w:hAnsi="Times New Roman" w:cs="Times New Roman"/>
                <w:color w:val="auto"/>
                <w:szCs w:val="21"/>
              </w:rPr>
            </w:pPr>
            <w:r>
              <w:rPr>
                <w:rFonts w:hint="default" w:ascii="Times New Roman" w:hAnsi="Times New Roman" w:cs="Times New Roman"/>
                <w:color w:val="auto"/>
                <w:szCs w:val="21"/>
              </w:rPr>
              <w:t>75~80</w:t>
            </w:r>
          </w:p>
        </w:tc>
        <w:tc>
          <w:tcPr>
            <w:tcW w:w="1265" w:type="dxa"/>
            <w:vMerge w:val="continue"/>
            <w:tcBorders>
              <w:tl2br w:val="nil"/>
              <w:tr2bl w:val="nil"/>
            </w:tcBorders>
            <w:vAlign w:val="center"/>
          </w:tcPr>
          <w:p w14:paraId="7F7A1DAF">
            <w:pPr>
              <w:pStyle w:val="2"/>
              <w:spacing w:line="240" w:lineRule="auto"/>
              <w:ind w:firstLine="0" w:firstLineChars="0"/>
              <w:jc w:val="center"/>
              <w:rPr>
                <w:rFonts w:hint="default" w:ascii="Times New Roman" w:hAnsi="Times New Roman" w:cs="Times New Roman"/>
                <w:color w:val="auto"/>
                <w:szCs w:val="21"/>
              </w:rPr>
            </w:pPr>
          </w:p>
        </w:tc>
        <w:tc>
          <w:tcPr>
            <w:tcW w:w="0" w:type="auto"/>
            <w:tcBorders>
              <w:tl2br w:val="nil"/>
              <w:tr2bl w:val="nil"/>
            </w:tcBorders>
            <w:vAlign w:val="center"/>
          </w:tcPr>
          <w:p w14:paraId="40DAF516">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110</w:t>
            </w:r>
          </w:p>
        </w:tc>
        <w:tc>
          <w:tcPr>
            <w:tcW w:w="0" w:type="auto"/>
            <w:tcBorders>
              <w:tl2br w:val="nil"/>
              <w:tr2bl w:val="nil"/>
            </w:tcBorders>
            <w:vAlign w:val="center"/>
          </w:tcPr>
          <w:p w14:paraId="39F8A0B4">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50</w:t>
            </w:r>
          </w:p>
        </w:tc>
        <w:tc>
          <w:tcPr>
            <w:tcW w:w="0" w:type="auto"/>
            <w:tcBorders>
              <w:tl2br w:val="nil"/>
              <w:tr2bl w:val="nil"/>
            </w:tcBorders>
            <w:vAlign w:val="center"/>
          </w:tcPr>
          <w:p w14:paraId="097D0E90">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1.5</w:t>
            </w:r>
          </w:p>
        </w:tc>
        <w:tc>
          <w:tcPr>
            <w:tcW w:w="1040" w:type="dxa"/>
            <w:tcBorders>
              <w:tl2br w:val="nil"/>
              <w:tr2bl w:val="nil"/>
            </w:tcBorders>
            <w:vAlign w:val="center"/>
          </w:tcPr>
          <w:p w14:paraId="3085E8AE">
            <w:pPr>
              <w:jc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1157" w:type="dxa"/>
            <w:tcBorders>
              <w:tl2br w:val="nil"/>
              <w:tr2bl w:val="nil"/>
            </w:tcBorders>
            <w:vAlign w:val="center"/>
          </w:tcPr>
          <w:p w14:paraId="7BFEFED8">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80</w:t>
            </w:r>
          </w:p>
        </w:tc>
        <w:tc>
          <w:tcPr>
            <w:tcW w:w="836" w:type="dxa"/>
            <w:tcBorders>
              <w:tl2br w:val="nil"/>
              <w:tr2bl w:val="nil"/>
            </w:tcBorders>
            <w:vAlign w:val="center"/>
          </w:tcPr>
          <w:p w14:paraId="5BCA1B69">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24</w:t>
            </w:r>
          </w:p>
        </w:tc>
        <w:tc>
          <w:tcPr>
            <w:tcW w:w="1203" w:type="dxa"/>
            <w:tcBorders>
              <w:tl2br w:val="nil"/>
              <w:tr2bl w:val="nil"/>
            </w:tcBorders>
            <w:vAlign w:val="center"/>
          </w:tcPr>
          <w:p w14:paraId="263BD3C0">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15~20</w:t>
            </w:r>
          </w:p>
        </w:tc>
        <w:tc>
          <w:tcPr>
            <w:tcW w:w="970" w:type="dxa"/>
            <w:tcBorders>
              <w:tl2br w:val="nil"/>
              <w:tr2bl w:val="nil"/>
            </w:tcBorders>
            <w:vAlign w:val="center"/>
          </w:tcPr>
          <w:p w14:paraId="165259D5">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65</w:t>
            </w:r>
          </w:p>
        </w:tc>
        <w:tc>
          <w:tcPr>
            <w:tcW w:w="876" w:type="dxa"/>
            <w:tcBorders>
              <w:tl2br w:val="nil"/>
              <w:tr2bl w:val="nil"/>
            </w:tcBorders>
            <w:vAlign w:val="center"/>
          </w:tcPr>
          <w:p w14:paraId="7D1792AF">
            <w:pPr>
              <w:pStyle w:val="2"/>
              <w:spacing w:line="240" w:lineRule="auto"/>
              <w:ind w:firstLine="0" w:firstLineChars="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1</w:t>
            </w:r>
          </w:p>
        </w:tc>
      </w:tr>
      <w:tr w14:paraId="406FB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0" w:type="auto"/>
            <w:tcBorders>
              <w:tl2br w:val="nil"/>
              <w:tr2bl w:val="nil"/>
            </w:tcBorders>
            <w:vAlign w:val="center"/>
          </w:tcPr>
          <w:p w14:paraId="11BE5749">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4</w:t>
            </w:r>
          </w:p>
        </w:tc>
        <w:tc>
          <w:tcPr>
            <w:tcW w:w="867" w:type="dxa"/>
            <w:vMerge w:val="continue"/>
            <w:tcBorders>
              <w:tl2br w:val="nil"/>
              <w:tr2bl w:val="nil"/>
            </w:tcBorders>
            <w:vAlign w:val="center"/>
          </w:tcPr>
          <w:p w14:paraId="0A16DA3A">
            <w:pPr>
              <w:pStyle w:val="2"/>
              <w:spacing w:line="240" w:lineRule="auto"/>
              <w:ind w:firstLine="0" w:firstLineChars="0"/>
              <w:jc w:val="center"/>
              <w:rPr>
                <w:rFonts w:hint="default" w:ascii="Times New Roman" w:hAnsi="Times New Roman" w:cs="Times New Roman"/>
                <w:color w:val="auto"/>
                <w:szCs w:val="21"/>
              </w:rPr>
            </w:pPr>
          </w:p>
        </w:tc>
        <w:tc>
          <w:tcPr>
            <w:tcW w:w="2398" w:type="dxa"/>
            <w:tcBorders>
              <w:tl2br w:val="nil"/>
              <w:tr2bl w:val="nil"/>
            </w:tcBorders>
            <w:vAlign w:val="center"/>
          </w:tcPr>
          <w:p w14:paraId="5F3DB9E5">
            <w:pPr>
              <w:jc w:val="center"/>
              <w:rPr>
                <w:rFonts w:hint="default" w:ascii="Times New Roman" w:hAnsi="Times New Roman" w:cs="Times New Roman"/>
                <w:color w:val="auto"/>
              </w:rPr>
            </w:pPr>
            <w:r>
              <w:rPr>
                <w:rFonts w:hint="default" w:ascii="Times New Roman" w:hAnsi="Times New Roman" w:cs="Times New Roman"/>
                <w:color w:val="auto"/>
                <w:szCs w:val="21"/>
              </w:rPr>
              <w:t>拉丝机5~8#</w:t>
            </w:r>
          </w:p>
        </w:tc>
        <w:tc>
          <w:tcPr>
            <w:tcW w:w="1015" w:type="dxa"/>
            <w:tcBorders>
              <w:tl2br w:val="nil"/>
              <w:tr2bl w:val="nil"/>
            </w:tcBorders>
            <w:vAlign w:val="center"/>
          </w:tcPr>
          <w:p w14:paraId="28625176">
            <w:pPr>
              <w:jc w:val="center"/>
              <w:rPr>
                <w:rFonts w:hint="default" w:ascii="Times New Roman" w:hAnsi="Times New Roman" w:cs="Times New Roman"/>
                <w:color w:val="auto"/>
                <w:szCs w:val="21"/>
              </w:rPr>
            </w:pPr>
            <w:r>
              <w:rPr>
                <w:rFonts w:hint="default" w:ascii="Times New Roman" w:hAnsi="Times New Roman" w:cs="Times New Roman"/>
                <w:color w:val="auto"/>
                <w:szCs w:val="21"/>
              </w:rPr>
              <w:t>75~80</w:t>
            </w:r>
          </w:p>
        </w:tc>
        <w:tc>
          <w:tcPr>
            <w:tcW w:w="1265" w:type="dxa"/>
            <w:vMerge w:val="continue"/>
            <w:tcBorders>
              <w:tl2br w:val="nil"/>
              <w:tr2bl w:val="nil"/>
            </w:tcBorders>
            <w:vAlign w:val="center"/>
          </w:tcPr>
          <w:p w14:paraId="02B5AECA">
            <w:pPr>
              <w:pStyle w:val="2"/>
              <w:spacing w:line="240" w:lineRule="auto"/>
              <w:ind w:firstLine="0" w:firstLineChars="0"/>
              <w:jc w:val="center"/>
              <w:rPr>
                <w:rFonts w:hint="default" w:ascii="Times New Roman" w:hAnsi="Times New Roman" w:cs="Times New Roman"/>
                <w:color w:val="auto"/>
                <w:szCs w:val="21"/>
              </w:rPr>
            </w:pPr>
          </w:p>
        </w:tc>
        <w:tc>
          <w:tcPr>
            <w:tcW w:w="0" w:type="auto"/>
            <w:tcBorders>
              <w:tl2br w:val="nil"/>
              <w:tr2bl w:val="nil"/>
            </w:tcBorders>
            <w:vAlign w:val="center"/>
          </w:tcPr>
          <w:p w14:paraId="5F965331">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95</w:t>
            </w:r>
          </w:p>
        </w:tc>
        <w:tc>
          <w:tcPr>
            <w:tcW w:w="0" w:type="auto"/>
            <w:tcBorders>
              <w:tl2br w:val="nil"/>
              <w:tr2bl w:val="nil"/>
            </w:tcBorders>
            <w:vAlign w:val="center"/>
          </w:tcPr>
          <w:p w14:paraId="0B0C2AF3">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40</w:t>
            </w:r>
          </w:p>
        </w:tc>
        <w:tc>
          <w:tcPr>
            <w:tcW w:w="0" w:type="auto"/>
            <w:tcBorders>
              <w:tl2br w:val="nil"/>
              <w:tr2bl w:val="nil"/>
            </w:tcBorders>
            <w:vAlign w:val="center"/>
          </w:tcPr>
          <w:p w14:paraId="763AD4FD">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1.5</w:t>
            </w:r>
          </w:p>
        </w:tc>
        <w:tc>
          <w:tcPr>
            <w:tcW w:w="1040" w:type="dxa"/>
            <w:tcBorders>
              <w:tl2br w:val="nil"/>
              <w:tr2bl w:val="nil"/>
            </w:tcBorders>
            <w:vAlign w:val="center"/>
          </w:tcPr>
          <w:p w14:paraId="15317A79">
            <w:pPr>
              <w:jc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1157" w:type="dxa"/>
            <w:tcBorders>
              <w:tl2br w:val="nil"/>
              <w:tr2bl w:val="nil"/>
            </w:tcBorders>
            <w:vAlign w:val="center"/>
          </w:tcPr>
          <w:p w14:paraId="775D66DC">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80</w:t>
            </w:r>
          </w:p>
        </w:tc>
        <w:tc>
          <w:tcPr>
            <w:tcW w:w="836" w:type="dxa"/>
            <w:tcBorders>
              <w:tl2br w:val="nil"/>
              <w:tr2bl w:val="nil"/>
            </w:tcBorders>
            <w:vAlign w:val="center"/>
          </w:tcPr>
          <w:p w14:paraId="06F62EBB">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24</w:t>
            </w:r>
          </w:p>
        </w:tc>
        <w:tc>
          <w:tcPr>
            <w:tcW w:w="1203" w:type="dxa"/>
            <w:tcBorders>
              <w:tl2br w:val="nil"/>
              <w:tr2bl w:val="nil"/>
            </w:tcBorders>
            <w:vAlign w:val="center"/>
          </w:tcPr>
          <w:p w14:paraId="4C126E64">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15~20</w:t>
            </w:r>
          </w:p>
        </w:tc>
        <w:tc>
          <w:tcPr>
            <w:tcW w:w="970" w:type="dxa"/>
            <w:tcBorders>
              <w:tl2br w:val="nil"/>
              <w:tr2bl w:val="nil"/>
            </w:tcBorders>
            <w:vAlign w:val="center"/>
          </w:tcPr>
          <w:p w14:paraId="7FE634E8">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65</w:t>
            </w:r>
          </w:p>
        </w:tc>
        <w:tc>
          <w:tcPr>
            <w:tcW w:w="876" w:type="dxa"/>
            <w:tcBorders>
              <w:tl2br w:val="nil"/>
              <w:tr2bl w:val="nil"/>
            </w:tcBorders>
            <w:vAlign w:val="center"/>
          </w:tcPr>
          <w:p w14:paraId="2F96D6DD">
            <w:pPr>
              <w:pStyle w:val="2"/>
              <w:spacing w:line="240" w:lineRule="auto"/>
              <w:ind w:firstLine="0" w:firstLineChars="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1</w:t>
            </w:r>
          </w:p>
        </w:tc>
      </w:tr>
      <w:tr w14:paraId="2C651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0" w:type="auto"/>
            <w:tcBorders>
              <w:tl2br w:val="nil"/>
              <w:tr2bl w:val="nil"/>
            </w:tcBorders>
            <w:vAlign w:val="center"/>
          </w:tcPr>
          <w:p w14:paraId="13C63308">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5</w:t>
            </w:r>
          </w:p>
        </w:tc>
        <w:tc>
          <w:tcPr>
            <w:tcW w:w="867" w:type="dxa"/>
            <w:vMerge w:val="continue"/>
            <w:tcBorders>
              <w:tl2br w:val="nil"/>
              <w:tr2bl w:val="nil"/>
            </w:tcBorders>
            <w:vAlign w:val="center"/>
          </w:tcPr>
          <w:p w14:paraId="746BCDAC">
            <w:pPr>
              <w:pStyle w:val="2"/>
              <w:spacing w:line="240" w:lineRule="auto"/>
              <w:ind w:firstLine="0" w:firstLineChars="0"/>
              <w:jc w:val="center"/>
              <w:rPr>
                <w:rFonts w:hint="default" w:ascii="Times New Roman" w:hAnsi="Times New Roman" w:cs="Times New Roman"/>
                <w:color w:val="auto"/>
                <w:szCs w:val="21"/>
              </w:rPr>
            </w:pPr>
          </w:p>
        </w:tc>
        <w:tc>
          <w:tcPr>
            <w:tcW w:w="2398" w:type="dxa"/>
            <w:tcBorders>
              <w:tl2br w:val="nil"/>
              <w:tr2bl w:val="nil"/>
            </w:tcBorders>
            <w:vAlign w:val="center"/>
          </w:tcPr>
          <w:p w14:paraId="5A550562">
            <w:pPr>
              <w:jc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拉丝机9~12#</w:t>
            </w:r>
          </w:p>
        </w:tc>
        <w:tc>
          <w:tcPr>
            <w:tcW w:w="1015" w:type="dxa"/>
            <w:tcBorders>
              <w:tl2br w:val="nil"/>
              <w:tr2bl w:val="nil"/>
            </w:tcBorders>
            <w:vAlign w:val="center"/>
          </w:tcPr>
          <w:p w14:paraId="37D1B02D">
            <w:pPr>
              <w:jc w:val="center"/>
              <w:rPr>
                <w:rFonts w:hint="default" w:ascii="Times New Roman" w:hAnsi="Times New Roman" w:cs="Times New Roman"/>
                <w:color w:val="auto"/>
                <w:szCs w:val="21"/>
              </w:rPr>
            </w:pPr>
            <w:r>
              <w:rPr>
                <w:rFonts w:hint="default" w:ascii="Times New Roman" w:hAnsi="Times New Roman" w:cs="Times New Roman"/>
                <w:color w:val="auto"/>
                <w:szCs w:val="21"/>
              </w:rPr>
              <w:t>75~80</w:t>
            </w:r>
          </w:p>
        </w:tc>
        <w:tc>
          <w:tcPr>
            <w:tcW w:w="1265" w:type="dxa"/>
            <w:vMerge w:val="continue"/>
            <w:tcBorders>
              <w:tl2br w:val="nil"/>
              <w:tr2bl w:val="nil"/>
            </w:tcBorders>
            <w:vAlign w:val="center"/>
          </w:tcPr>
          <w:p w14:paraId="3E46DD96">
            <w:pPr>
              <w:pStyle w:val="2"/>
              <w:spacing w:line="240" w:lineRule="auto"/>
              <w:ind w:firstLine="0" w:firstLineChars="0"/>
              <w:jc w:val="center"/>
              <w:rPr>
                <w:rFonts w:hint="default" w:ascii="Times New Roman" w:hAnsi="Times New Roman" w:cs="Times New Roman"/>
                <w:color w:val="auto"/>
                <w:szCs w:val="21"/>
              </w:rPr>
            </w:pPr>
          </w:p>
        </w:tc>
        <w:tc>
          <w:tcPr>
            <w:tcW w:w="0" w:type="auto"/>
            <w:tcBorders>
              <w:tl2br w:val="nil"/>
              <w:tr2bl w:val="nil"/>
            </w:tcBorders>
            <w:vAlign w:val="center"/>
          </w:tcPr>
          <w:p w14:paraId="30AE8EDF">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115</w:t>
            </w:r>
          </w:p>
        </w:tc>
        <w:tc>
          <w:tcPr>
            <w:tcW w:w="0" w:type="auto"/>
            <w:tcBorders>
              <w:tl2br w:val="nil"/>
              <w:tr2bl w:val="nil"/>
            </w:tcBorders>
            <w:vAlign w:val="center"/>
          </w:tcPr>
          <w:p w14:paraId="00FDFF10">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45</w:t>
            </w:r>
          </w:p>
        </w:tc>
        <w:tc>
          <w:tcPr>
            <w:tcW w:w="0" w:type="auto"/>
            <w:tcBorders>
              <w:tl2br w:val="nil"/>
              <w:tr2bl w:val="nil"/>
            </w:tcBorders>
            <w:vAlign w:val="center"/>
          </w:tcPr>
          <w:p w14:paraId="52DF97E6">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1.5</w:t>
            </w:r>
          </w:p>
        </w:tc>
        <w:tc>
          <w:tcPr>
            <w:tcW w:w="1040" w:type="dxa"/>
            <w:tcBorders>
              <w:tl2br w:val="nil"/>
              <w:tr2bl w:val="nil"/>
            </w:tcBorders>
            <w:vAlign w:val="center"/>
          </w:tcPr>
          <w:p w14:paraId="4A6C7CE4">
            <w:pPr>
              <w:jc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1157" w:type="dxa"/>
            <w:tcBorders>
              <w:tl2br w:val="nil"/>
              <w:tr2bl w:val="nil"/>
            </w:tcBorders>
            <w:vAlign w:val="center"/>
          </w:tcPr>
          <w:p w14:paraId="63EB655B">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80</w:t>
            </w:r>
          </w:p>
        </w:tc>
        <w:tc>
          <w:tcPr>
            <w:tcW w:w="836" w:type="dxa"/>
            <w:tcBorders>
              <w:tl2br w:val="nil"/>
              <w:tr2bl w:val="nil"/>
            </w:tcBorders>
            <w:vAlign w:val="center"/>
          </w:tcPr>
          <w:p w14:paraId="2D9C330B">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24</w:t>
            </w:r>
          </w:p>
        </w:tc>
        <w:tc>
          <w:tcPr>
            <w:tcW w:w="1203" w:type="dxa"/>
            <w:tcBorders>
              <w:tl2br w:val="nil"/>
              <w:tr2bl w:val="nil"/>
            </w:tcBorders>
            <w:vAlign w:val="center"/>
          </w:tcPr>
          <w:p w14:paraId="10AA4880">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15~20</w:t>
            </w:r>
          </w:p>
        </w:tc>
        <w:tc>
          <w:tcPr>
            <w:tcW w:w="970" w:type="dxa"/>
            <w:tcBorders>
              <w:tl2br w:val="nil"/>
              <w:tr2bl w:val="nil"/>
            </w:tcBorders>
            <w:vAlign w:val="center"/>
          </w:tcPr>
          <w:p w14:paraId="512BD33B">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65</w:t>
            </w:r>
          </w:p>
        </w:tc>
        <w:tc>
          <w:tcPr>
            <w:tcW w:w="876" w:type="dxa"/>
            <w:tcBorders>
              <w:tl2br w:val="nil"/>
              <w:tr2bl w:val="nil"/>
            </w:tcBorders>
            <w:vAlign w:val="center"/>
          </w:tcPr>
          <w:p w14:paraId="1C31B7BA">
            <w:pPr>
              <w:pStyle w:val="2"/>
              <w:spacing w:line="240" w:lineRule="auto"/>
              <w:ind w:firstLine="0" w:firstLineChars="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1</w:t>
            </w:r>
          </w:p>
        </w:tc>
      </w:tr>
      <w:tr w14:paraId="6809B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0" w:type="auto"/>
            <w:tcBorders>
              <w:tl2br w:val="nil"/>
              <w:tr2bl w:val="nil"/>
            </w:tcBorders>
            <w:vAlign w:val="center"/>
          </w:tcPr>
          <w:p w14:paraId="52DF0B9A">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6</w:t>
            </w:r>
          </w:p>
        </w:tc>
        <w:tc>
          <w:tcPr>
            <w:tcW w:w="867" w:type="dxa"/>
            <w:vMerge w:val="continue"/>
            <w:tcBorders>
              <w:tl2br w:val="nil"/>
              <w:tr2bl w:val="nil"/>
            </w:tcBorders>
            <w:vAlign w:val="center"/>
          </w:tcPr>
          <w:p w14:paraId="489603A3">
            <w:pPr>
              <w:pStyle w:val="2"/>
              <w:spacing w:line="240" w:lineRule="auto"/>
              <w:ind w:firstLine="0" w:firstLineChars="0"/>
              <w:jc w:val="center"/>
              <w:rPr>
                <w:rFonts w:hint="default" w:ascii="Times New Roman" w:hAnsi="Times New Roman" w:cs="Times New Roman"/>
                <w:color w:val="auto"/>
                <w:szCs w:val="21"/>
              </w:rPr>
            </w:pPr>
          </w:p>
        </w:tc>
        <w:tc>
          <w:tcPr>
            <w:tcW w:w="2398" w:type="dxa"/>
            <w:tcBorders>
              <w:tl2br w:val="nil"/>
              <w:tr2bl w:val="nil"/>
            </w:tcBorders>
            <w:vAlign w:val="center"/>
          </w:tcPr>
          <w:p w14:paraId="2E9AC6D8">
            <w:pPr>
              <w:jc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拉丝机13~16#</w:t>
            </w:r>
          </w:p>
        </w:tc>
        <w:tc>
          <w:tcPr>
            <w:tcW w:w="1015" w:type="dxa"/>
            <w:tcBorders>
              <w:tl2br w:val="nil"/>
              <w:tr2bl w:val="nil"/>
            </w:tcBorders>
            <w:vAlign w:val="center"/>
          </w:tcPr>
          <w:p w14:paraId="64AAE7F7">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75~80</w:t>
            </w:r>
          </w:p>
        </w:tc>
        <w:tc>
          <w:tcPr>
            <w:tcW w:w="1265" w:type="dxa"/>
            <w:vMerge w:val="continue"/>
            <w:tcBorders>
              <w:tl2br w:val="nil"/>
              <w:tr2bl w:val="nil"/>
            </w:tcBorders>
            <w:vAlign w:val="center"/>
          </w:tcPr>
          <w:p w14:paraId="5B346945">
            <w:pPr>
              <w:pStyle w:val="2"/>
              <w:spacing w:line="240" w:lineRule="auto"/>
              <w:ind w:firstLine="0" w:firstLineChars="0"/>
              <w:jc w:val="center"/>
              <w:rPr>
                <w:rFonts w:hint="default" w:ascii="Times New Roman" w:hAnsi="Times New Roman" w:cs="Times New Roman"/>
                <w:color w:val="auto"/>
                <w:szCs w:val="21"/>
              </w:rPr>
            </w:pPr>
          </w:p>
        </w:tc>
        <w:tc>
          <w:tcPr>
            <w:tcW w:w="694" w:type="dxa"/>
            <w:tcBorders>
              <w:tl2br w:val="nil"/>
              <w:tr2bl w:val="nil"/>
            </w:tcBorders>
            <w:vAlign w:val="center"/>
          </w:tcPr>
          <w:p w14:paraId="1067EB9B">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130</w:t>
            </w:r>
          </w:p>
        </w:tc>
        <w:tc>
          <w:tcPr>
            <w:tcW w:w="694" w:type="dxa"/>
            <w:tcBorders>
              <w:tl2br w:val="nil"/>
              <w:tr2bl w:val="nil"/>
            </w:tcBorders>
            <w:vAlign w:val="center"/>
          </w:tcPr>
          <w:p w14:paraId="1D4254DF">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50</w:t>
            </w:r>
          </w:p>
        </w:tc>
        <w:tc>
          <w:tcPr>
            <w:tcW w:w="0" w:type="auto"/>
            <w:tcBorders>
              <w:tl2br w:val="nil"/>
              <w:tr2bl w:val="nil"/>
            </w:tcBorders>
            <w:vAlign w:val="center"/>
          </w:tcPr>
          <w:p w14:paraId="75BBFEF9">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1.5</w:t>
            </w:r>
          </w:p>
        </w:tc>
        <w:tc>
          <w:tcPr>
            <w:tcW w:w="1040" w:type="dxa"/>
            <w:tcBorders>
              <w:tl2br w:val="nil"/>
              <w:tr2bl w:val="nil"/>
            </w:tcBorders>
            <w:vAlign w:val="center"/>
          </w:tcPr>
          <w:p w14:paraId="298148E0">
            <w:pPr>
              <w:jc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1157" w:type="dxa"/>
            <w:tcBorders>
              <w:tl2br w:val="nil"/>
              <w:tr2bl w:val="nil"/>
            </w:tcBorders>
            <w:vAlign w:val="center"/>
          </w:tcPr>
          <w:p w14:paraId="62FA92A5">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80</w:t>
            </w:r>
          </w:p>
        </w:tc>
        <w:tc>
          <w:tcPr>
            <w:tcW w:w="836" w:type="dxa"/>
            <w:tcBorders>
              <w:tl2br w:val="nil"/>
              <w:tr2bl w:val="nil"/>
            </w:tcBorders>
            <w:vAlign w:val="center"/>
          </w:tcPr>
          <w:p w14:paraId="1EF37210">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24</w:t>
            </w:r>
          </w:p>
        </w:tc>
        <w:tc>
          <w:tcPr>
            <w:tcW w:w="1203" w:type="dxa"/>
            <w:tcBorders>
              <w:tl2br w:val="nil"/>
              <w:tr2bl w:val="nil"/>
            </w:tcBorders>
            <w:vAlign w:val="center"/>
          </w:tcPr>
          <w:p w14:paraId="2F46A1EE">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15~20</w:t>
            </w:r>
          </w:p>
        </w:tc>
        <w:tc>
          <w:tcPr>
            <w:tcW w:w="970" w:type="dxa"/>
            <w:tcBorders>
              <w:tl2br w:val="nil"/>
              <w:tr2bl w:val="nil"/>
            </w:tcBorders>
            <w:vAlign w:val="center"/>
          </w:tcPr>
          <w:p w14:paraId="174C7D0F">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65</w:t>
            </w:r>
          </w:p>
        </w:tc>
        <w:tc>
          <w:tcPr>
            <w:tcW w:w="876" w:type="dxa"/>
            <w:tcBorders>
              <w:tl2br w:val="nil"/>
              <w:tr2bl w:val="nil"/>
            </w:tcBorders>
            <w:vAlign w:val="center"/>
          </w:tcPr>
          <w:p w14:paraId="1CC60900">
            <w:pPr>
              <w:pStyle w:val="2"/>
              <w:spacing w:line="240" w:lineRule="auto"/>
              <w:ind w:firstLine="0" w:firstLineChars="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1</w:t>
            </w:r>
          </w:p>
        </w:tc>
      </w:tr>
      <w:tr w14:paraId="45A90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0" w:type="auto"/>
            <w:tcBorders>
              <w:tl2br w:val="nil"/>
              <w:tr2bl w:val="nil"/>
            </w:tcBorders>
            <w:vAlign w:val="center"/>
          </w:tcPr>
          <w:p w14:paraId="75F5E5A7">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7</w:t>
            </w:r>
          </w:p>
        </w:tc>
        <w:tc>
          <w:tcPr>
            <w:tcW w:w="867" w:type="dxa"/>
            <w:vMerge w:val="continue"/>
            <w:tcBorders>
              <w:tl2br w:val="nil"/>
              <w:tr2bl w:val="nil"/>
            </w:tcBorders>
            <w:vAlign w:val="center"/>
          </w:tcPr>
          <w:p w14:paraId="2918D289">
            <w:pPr>
              <w:pStyle w:val="2"/>
              <w:spacing w:line="240" w:lineRule="auto"/>
              <w:ind w:firstLine="0" w:firstLineChars="0"/>
              <w:jc w:val="center"/>
              <w:rPr>
                <w:rFonts w:hint="default" w:ascii="Times New Roman" w:hAnsi="Times New Roman" w:cs="Times New Roman"/>
                <w:color w:val="auto"/>
                <w:szCs w:val="21"/>
              </w:rPr>
            </w:pPr>
          </w:p>
        </w:tc>
        <w:tc>
          <w:tcPr>
            <w:tcW w:w="2398" w:type="dxa"/>
            <w:tcBorders>
              <w:tl2br w:val="nil"/>
              <w:tr2bl w:val="nil"/>
            </w:tcBorders>
            <w:vAlign w:val="center"/>
          </w:tcPr>
          <w:p w14:paraId="545601C7">
            <w:pPr>
              <w:jc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拉丝机17~20#</w:t>
            </w:r>
          </w:p>
        </w:tc>
        <w:tc>
          <w:tcPr>
            <w:tcW w:w="1015" w:type="dxa"/>
            <w:tcBorders>
              <w:tl2br w:val="nil"/>
              <w:tr2bl w:val="nil"/>
            </w:tcBorders>
            <w:vAlign w:val="center"/>
          </w:tcPr>
          <w:p w14:paraId="30DE0ACB">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75~80</w:t>
            </w:r>
          </w:p>
        </w:tc>
        <w:tc>
          <w:tcPr>
            <w:tcW w:w="1265" w:type="dxa"/>
            <w:vMerge w:val="continue"/>
            <w:tcBorders>
              <w:tl2br w:val="nil"/>
              <w:tr2bl w:val="nil"/>
            </w:tcBorders>
            <w:vAlign w:val="center"/>
          </w:tcPr>
          <w:p w14:paraId="24108BAE">
            <w:pPr>
              <w:pStyle w:val="2"/>
              <w:spacing w:line="240" w:lineRule="auto"/>
              <w:ind w:firstLine="0" w:firstLineChars="0"/>
              <w:jc w:val="center"/>
              <w:rPr>
                <w:rFonts w:hint="default" w:ascii="Times New Roman" w:hAnsi="Times New Roman" w:cs="Times New Roman"/>
                <w:color w:val="auto"/>
                <w:szCs w:val="21"/>
              </w:rPr>
            </w:pPr>
          </w:p>
        </w:tc>
        <w:tc>
          <w:tcPr>
            <w:tcW w:w="0" w:type="auto"/>
            <w:tcBorders>
              <w:tl2br w:val="nil"/>
              <w:tr2bl w:val="nil"/>
            </w:tcBorders>
            <w:vAlign w:val="center"/>
          </w:tcPr>
          <w:p w14:paraId="1A6C6D6A">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145</w:t>
            </w:r>
          </w:p>
        </w:tc>
        <w:tc>
          <w:tcPr>
            <w:tcW w:w="694" w:type="dxa"/>
            <w:tcBorders>
              <w:tl2br w:val="nil"/>
              <w:tr2bl w:val="nil"/>
            </w:tcBorders>
            <w:vAlign w:val="center"/>
          </w:tcPr>
          <w:p w14:paraId="6D7F47A3">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55</w:t>
            </w:r>
          </w:p>
        </w:tc>
        <w:tc>
          <w:tcPr>
            <w:tcW w:w="0" w:type="auto"/>
            <w:tcBorders>
              <w:tl2br w:val="nil"/>
              <w:tr2bl w:val="nil"/>
            </w:tcBorders>
            <w:vAlign w:val="center"/>
          </w:tcPr>
          <w:p w14:paraId="3411657C">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1.5</w:t>
            </w:r>
          </w:p>
        </w:tc>
        <w:tc>
          <w:tcPr>
            <w:tcW w:w="1040" w:type="dxa"/>
            <w:tcBorders>
              <w:tl2br w:val="nil"/>
              <w:tr2bl w:val="nil"/>
            </w:tcBorders>
            <w:vAlign w:val="center"/>
          </w:tcPr>
          <w:p w14:paraId="7F314300">
            <w:pPr>
              <w:jc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1157" w:type="dxa"/>
            <w:tcBorders>
              <w:tl2br w:val="nil"/>
              <w:tr2bl w:val="nil"/>
            </w:tcBorders>
            <w:vAlign w:val="center"/>
          </w:tcPr>
          <w:p w14:paraId="67CF1911">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80</w:t>
            </w:r>
          </w:p>
        </w:tc>
        <w:tc>
          <w:tcPr>
            <w:tcW w:w="836" w:type="dxa"/>
            <w:tcBorders>
              <w:tl2br w:val="nil"/>
              <w:tr2bl w:val="nil"/>
            </w:tcBorders>
            <w:vAlign w:val="center"/>
          </w:tcPr>
          <w:p w14:paraId="692B8B06">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24</w:t>
            </w:r>
          </w:p>
        </w:tc>
        <w:tc>
          <w:tcPr>
            <w:tcW w:w="1203" w:type="dxa"/>
            <w:tcBorders>
              <w:tl2br w:val="nil"/>
              <w:tr2bl w:val="nil"/>
            </w:tcBorders>
            <w:vAlign w:val="center"/>
          </w:tcPr>
          <w:p w14:paraId="5B3CC62A">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15~20</w:t>
            </w:r>
          </w:p>
        </w:tc>
        <w:tc>
          <w:tcPr>
            <w:tcW w:w="970" w:type="dxa"/>
            <w:tcBorders>
              <w:tl2br w:val="nil"/>
              <w:tr2bl w:val="nil"/>
            </w:tcBorders>
            <w:vAlign w:val="center"/>
          </w:tcPr>
          <w:p w14:paraId="4B578D3C">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65</w:t>
            </w:r>
          </w:p>
        </w:tc>
        <w:tc>
          <w:tcPr>
            <w:tcW w:w="876" w:type="dxa"/>
            <w:tcBorders>
              <w:tl2br w:val="nil"/>
              <w:tr2bl w:val="nil"/>
            </w:tcBorders>
            <w:vAlign w:val="center"/>
          </w:tcPr>
          <w:p w14:paraId="37FE9EF4">
            <w:pPr>
              <w:pStyle w:val="2"/>
              <w:spacing w:line="240" w:lineRule="auto"/>
              <w:ind w:firstLine="0" w:firstLineChars="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1</w:t>
            </w:r>
          </w:p>
        </w:tc>
      </w:tr>
      <w:tr w14:paraId="06020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0" w:type="auto"/>
            <w:tcBorders>
              <w:tl2br w:val="nil"/>
              <w:tr2bl w:val="nil"/>
            </w:tcBorders>
            <w:vAlign w:val="center"/>
          </w:tcPr>
          <w:p w14:paraId="22DBA9DE">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8</w:t>
            </w:r>
          </w:p>
        </w:tc>
        <w:tc>
          <w:tcPr>
            <w:tcW w:w="867" w:type="dxa"/>
            <w:vMerge w:val="continue"/>
            <w:tcBorders>
              <w:tl2br w:val="nil"/>
              <w:tr2bl w:val="nil"/>
            </w:tcBorders>
            <w:vAlign w:val="center"/>
          </w:tcPr>
          <w:p w14:paraId="18644C70">
            <w:pPr>
              <w:pStyle w:val="2"/>
              <w:spacing w:line="240" w:lineRule="auto"/>
              <w:ind w:firstLine="0" w:firstLineChars="0"/>
              <w:jc w:val="center"/>
              <w:rPr>
                <w:rFonts w:hint="default" w:ascii="Times New Roman" w:hAnsi="Times New Roman" w:cs="Times New Roman"/>
                <w:color w:val="auto"/>
                <w:szCs w:val="21"/>
              </w:rPr>
            </w:pPr>
          </w:p>
        </w:tc>
        <w:tc>
          <w:tcPr>
            <w:tcW w:w="2398" w:type="dxa"/>
            <w:tcBorders>
              <w:tl2br w:val="nil"/>
              <w:tr2bl w:val="nil"/>
            </w:tcBorders>
            <w:vAlign w:val="center"/>
          </w:tcPr>
          <w:p w14:paraId="1A5B0249">
            <w:pPr>
              <w:jc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拉丝机21~24#</w:t>
            </w:r>
          </w:p>
        </w:tc>
        <w:tc>
          <w:tcPr>
            <w:tcW w:w="1015" w:type="dxa"/>
            <w:tcBorders>
              <w:tl2br w:val="nil"/>
              <w:tr2bl w:val="nil"/>
            </w:tcBorders>
            <w:vAlign w:val="center"/>
          </w:tcPr>
          <w:p w14:paraId="75CDB40E">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75~80</w:t>
            </w:r>
          </w:p>
        </w:tc>
        <w:tc>
          <w:tcPr>
            <w:tcW w:w="1265" w:type="dxa"/>
            <w:vMerge w:val="continue"/>
            <w:tcBorders>
              <w:tl2br w:val="nil"/>
              <w:tr2bl w:val="nil"/>
            </w:tcBorders>
            <w:vAlign w:val="center"/>
          </w:tcPr>
          <w:p w14:paraId="6CF6D52E">
            <w:pPr>
              <w:pStyle w:val="2"/>
              <w:spacing w:line="240" w:lineRule="auto"/>
              <w:ind w:firstLine="0" w:firstLineChars="0"/>
              <w:jc w:val="center"/>
              <w:rPr>
                <w:rFonts w:hint="default" w:ascii="Times New Roman" w:hAnsi="Times New Roman" w:cs="Times New Roman"/>
                <w:color w:val="auto"/>
                <w:szCs w:val="21"/>
              </w:rPr>
            </w:pPr>
          </w:p>
        </w:tc>
        <w:tc>
          <w:tcPr>
            <w:tcW w:w="0" w:type="auto"/>
            <w:tcBorders>
              <w:tl2br w:val="nil"/>
              <w:tr2bl w:val="nil"/>
            </w:tcBorders>
            <w:vAlign w:val="center"/>
          </w:tcPr>
          <w:p w14:paraId="66DC56E1">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160</w:t>
            </w:r>
          </w:p>
        </w:tc>
        <w:tc>
          <w:tcPr>
            <w:tcW w:w="694" w:type="dxa"/>
            <w:tcBorders>
              <w:tl2br w:val="nil"/>
              <w:tr2bl w:val="nil"/>
            </w:tcBorders>
            <w:vAlign w:val="center"/>
          </w:tcPr>
          <w:p w14:paraId="0D1DD9C6">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50</w:t>
            </w:r>
          </w:p>
        </w:tc>
        <w:tc>
          <w:tcPr>
            <w:tcW w:w="0" w:type="auto"/>
            <w:tcBorders>
              <w:tl2br w:val="nil"/>
              <w:tr2bl w:val="nil"/>
            </w:tcBorders>
            <w:vAlign w:val="center"/>
          </w:tcPr>
          <w:p w14:paraId="2C623E1D">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1.5</w:t>
            </w:r>
          </w:p>
        </w:tc>
        <w:tc>
          <w:tcPr>
            <w:tcW w:w="1040" w:type="dxa"/>
            <w:tcBorders>
              <w:tl2br w:val="nil"/>
              <w:tr2bl w:val="nil"/>
            </w:tcBorders>
            <w:vAlign w:val="center"/>
          </w:tcPr>
          <w:p w14:paraId="5E8FB713">
            <w:pPr>
              <w:jc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1157" w:type="dxa"/>
            <w:tcBorders>
              <w:tl2br w:val="nil"/>
              <w:tr2bl w:val="nil"/>
            </w:tcBorders>
            <w:vAlign w:val="center"/>
          </w:tcPr>
          <w:p w14:paraId="4553CA6C">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80</w:t>
            </w:r>
          </w:p>
        </w:tc>
        <w:tc>
          <w:tcPr>
            <w:tcW w:w="836" w:type="dxa"/>
            <w:tcBorders>
              <w:tl2br w:val="nil"/>
              <w:tr2bl w:val="nil"/>
            </w:tcBorders>
            <w:vAlign w:val="center"/>
          </w:tcPr>
          <w:p w14:paraId="2FD84D82">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24</w:t>
            </w:r>
          </w:p>
        </w:tc>
        <w:tc>
          <w:tcPr>
            <w:tcW w:w="1203" w:type="dxa"/>
            <w:tcBorders>
              <w:tl2br w:val="nil"/>
              <w:tr2bl w:val="nil"/>
            </w:tcBorders>
            <w:vAlign w:val="center"/>
          </w:tcPr>
          <w:p w14:paraId="3F388E90">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15~20</w:t>
            </w:r>
          </w:p>
        </w:tc>
        <w:tc>
          <w:tcPr>
            <w:tcW w:w="970" w:type="dxa"/>
            <w:tcBorders>
              <w:tl2br w:val="nil"/>
              <w:tr2bl w:val="nil"/>
            </w:tcBorders>
            <w:vAlign w:val="center"/>
          </w:tcPr>
          <w:p w14:paraId="53A6182E">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65</w:t>
            </w:r>
          </w:p>
        </w:tc>
        <w:tc>
          <w:tcPr>
            <w:tcW w:w="876" w:type="dxa"/>
            <w:tcBorders>
              <w:tl2br w:val="nil"/>
              <w:tr2bl w:val="nil"/>
            </w:tcBorders>
            <w:vAlign w:val="center"/>
          </w:tcPr>
          <w:p w14:paraId="7267CAF7">
            <w:pPr>
              <w:pStyle w:val="2"/>
              <w:spacing w:line="240" w:lineRule="auto"/>
              <w:ind w:firstLine="0" w:firstLineChars="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1</w:t>
            </w:r>
          </w:p>
        </w:tc>
      </w:tr>
      <w:tr w14:paraId="7A961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0" w:type="auto"/>
            <w:tcBorders>
              <w:tl2br w:val="nil"/>
              <w:tr2bl w:val="nil"/>
            </w:tcBorders>
            <w:vAlign w:val="center"/>
          </w:tcPr>
          <w:p w14:paraId="0B1D0FBB">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9</w:t>
            </w:r>
          </w:p>
        </w:tc>
        <w:tc>
          <w:tcPr>
            <w:tcW w:w="867" w:type="dxa"/>
            <w:vMerge w:val="continue"/>
            <w:tcBorders>
              <w:tl2br w:val="nil"/>
              <w:tr2bl w:val="nil"/>
            </w:tcBorders>
            <w:vAlign w:val="center"/>
          </w:tcPr>
          <w:p w14:paraId="7C860E44">
            <w:pPr>
              <w:pStyle w:val="2"/>
              <w:spacing w:line="240" w:lineRule="auto"/>
              <w:ind w:firstLine="0" w:firstLineChars="0"/>
              <w:jc w:val="center"/>
              <w:rPr>
                <w:rFonts w:hint="default" w:ascii="Times New Roman" w:hAnsi="Times New Roman" w:cs="Times New Roman"/>
                <w:color w:val="auto"/>
                <w:szCs w:val="21"/>
              </w:rPr>
            </w:pPr>
          </w:p>
        </w:tc>
        <w:tc>
          <w:tcPr>
            <w:tcW w:w="2398" w:type="dxa"/>
            <w:tcBorders>
              <w:tl2br w:val="nil"/>
              <w:tr2bl w:val="nil"/>
            </w:tcBorders>
            <w:vAlign w:val="center"/>
          </w:tcPr>
          <w:p w14:paraId="06157944">
            <w:pPr>
              <w:jc w:val="center"/>
              <w:rPr>
                <w:rFonts w:hint="default" w:ascii="Times New Roman" w:hAnsi="Times New Roman" w:cs="Times New Roman"/>
                <w:color w:val="auto"/>
              </w:rPr>
            </w:pPr>
            <w:r>
              <w:rPr>
                <w:rFonts w:hint="default" w:ascii="Times New Roman" w:hAnsi="Times New Roman" w:cs="Times New Roman"/>
                <w:color w:val="auto"/>
              </w:rPr>
              <w:t>空压机1</w:t>
            </w:r>
          </w:p>
        </w:tc>
        <w:tc>
          <w:tcPr>
            <w:tcW w:w="1015" w:type="dxa"/>
            <w:tcBorders>
              <w:tl2br w:val="nil"/>
              <w:tr2bl w:val="nil"/>
            </w:tcBorders>
            <w:vAlign w:val="center"/>
          </w:tcPr>
          <w:p w14:paraId="28A3E683">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85~90</w:t>
            </w:r>
          </w:p>
        </w:tc>
        <w:tc>
          <w:tcPr>
            <w:tcW w:w="1265" w:type="dxa"/>
            <w:vMerge w:val="continue"/>
            <w:tcBorders>
              <w:tl2br w:val="nil"/>
              <w:tr2bl w:val="nil"/>
            </w:tcBorders>
            <w:vAlign w:val="center"/>
          </w:tcPr>
          <w:p w14:paraId="7FC3904F">
            <w:pPr>
              <w:pStyle w:val="2"/>
              <w:spacing w:line="240" w:lineRule="auto"/>
              <w:ind w:firstLine="0" w:firstLineChars="0"/>
              <w:jc w:val="center"/>
              <w:rPr>
                <w:rFonts w:hint="default" w:ascii="Times New Roman" w:hAnsi="Times New Roman" w:cs="Times New Roman"/>
                <w:color w:val="auto"/>
                <w:szCs w:val="21"/>
              </w:rPr>
            </w:pPr>
          </w:p>
        </w:tc>
        <w:tc>
          <w:tcPr>
            <w:tcW w:w="0" w:type="auto"/>
            <w:tcBorders>
              <w:tl2br w:val="nil"/>
              <w:tr2bl w:val="nil"/>
            </w:tcBorders>
            <w:vAlign w:val="center"/>
          </w:tcPr>
          <w:p w14:paraId="4941F26A">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80</w:t>
            </w:r>
          </w:p>
        </w:tc>
        <w:tc>
          <w:tcPr>
            <w:tcW w:w="0" w:type="auto"/>
            <w:tcBorders>
              <w:tl2br w:val="nil"/>
              <w:tr2bl w:val="nil"/>
            </w:tcBorders>
            <w:vAlign w:val="center"/>
          </w:tcPr>
          <w:p w14:paraId="19BC745C">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55</w:t>
            </w:r>
          </w:p>
        </w:tc>
        <w:tc>
          <w:tcPr>
            <w:tcW w:w="0" w:type="auto"/>
            <w:tcBorders>
              <w:tl2br w:val="nil"/>
              <w:tr2bl w:val="nil"/>
            </w:tcBorders>
            <w:vAlign w:val="center"/>
          </w:tcPr>
          <w:p w14:paraId="5499D3DD">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1.5</w:t>
            </w:r>
          </w:p>
        </w:tc>
        <w:tc>
          <w:tcPr>
            <w:tcW w:w="1040" w:type="dxa"/>
            <w:tcBorders>
              <w:tl2br w:val="nil"/>
              <w:tr2bl w:val="nil"/>
            </w:tcBorders>
            <w:vAlign w:val="center"/>
          </w:tcPr>
          <w:p w14:paraId="2FAD3737">
            <w:pPr>
              <w:jc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1157" w:type="dxa"/>
            <w:tcBorders>
              <w:tl2br w:val="nil"/>
              <w:tr2bl w:val="nil"/>
            </w:tcBorders>
            <w:vAlign w:val="center"/>
          </w:tcPr>
          <w:p w14:paraId="35D5182E">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90</w:t>
            </w:r>
          </w:p>
        </w:tc>
        <w:tc>
          <w:tcPr>
            <w:tcW w:w="836" w:type="dxa"/>
            <w:tcBorders>
              <w:tl2br w:val="nil"/>
              <w:tr2bl w:val="nil"/>
            </w:tcBorders>
            <w:vAlign w:val="center"/>
          </w:tcPr>
          <w:p w14:paraId="52551E40">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24</w:t>
            </w:r>
          </w:p>
        </w:tc>
        <w:tc>
          <w:tcPr>
            <w:tcW w:w="1203" w:type="dxa"/>
            <w:tcBorders>
              <w:tl2br w:val="nil"/>
              <w:tr2bl w:val="nil"/>
            </w:tcBorders>
            <w:vAlign w:val="center"/>
          </w:tcPr>
          <w:p w14:paraId="14AB9F4C">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15~20</w:t>
            </w:r>
          </w:p>
        </w:tc>
        <w:tc>
          <w:tcPr>
            <w:tcW w:w="970" w:type="dxa"/>
            <w:tcBorders>
              <w:tl2br w:val="nil"/>
              <w:tr2bl w:val="nil"/>
            </w:tcBorders>
            <w:vAlign w:val="center"/>
          </w:tcPr>
          <w:p w14:paraId="488ED7A6">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75</w:t>
            </w:r>
          </w:p>
        </w:tc>
        <w:tc>
          <w:tcPr>
            <w:tcW w:w="876" w:type="dxa"/>
            <w:tcBorders>
              <w:tl2br w:val="nil"/>
              <w:tr2bl w:val="nil"/>
            </w:tcBorders>
            <w:vAlign w:val="center"/>
          </w:tcPr>
          <w:p w14:paraId="041A584F">
            <w:pPr>
              <w:pStyle w:val="2"/>
              <w:spacing w:line="240" w:lineRule="auto"/>
              <w:ind w:firstLine="0" w:firstLineChars="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1</w:t>
            </w:r>
          </w:p>
        </w:tc>
      </w:tr>
      <w:tr w14:paraId="726F6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0" w:type="auto"/>
            <w:tcBorders>
              <w:tl2br w:val="nil"/>
              <w:tr2bl w:val="nil"/>
            </w:tcBorders>
            <w:vAlign w:val="center"/>
          </w:tcPr>
          <w:p w14:paraId="70F786DB">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867" w:type="dxa"/>
            <w:vMerge w:val="continue"/>
            <w:tcBorders>
              <w:tl2br w:val="nil"/>
              <w:tr2bl w:val="nil"/>
            </w:tcBorders>
            <w:vAlign w:val="center"/>
          </w:tcPr>
          <w:p w14:paraId="6C9AB86B">
            <w:pPr>
              <w:pStyle w:val="2"/>
              <w:spacing w:line="240" w:lineRule="auto"/>
              <w:ind w:firstLine="0" w:firstLineChars="0"/>
              <w:jc w:val="center"/>
              <w:rPr>
                <w:rFonts w:hint="default" w:ascii="Times New Roman" w:hAnsi="Times New Roman" w:cs="Times New Roman"/>
                <w:color w:val="auto"/>
                <w:szCs w:val="21"/>
              </w:rPr>
            </w:pPr>
          </w:p>
        </w:tc>
        <w:tc>
          <w:tcPr>
            <w:tcW w:w="2398" w:type="dxa"/>
            <w:tcBorders>
              <w:tl2br w:val="nil"/>
              <w:tr2bl w:val="nil"/>
            </w:tcBorders>
            <w:vAlign w:val="center"/>
          </w:tcPr>
          <w:p w14:paraId="632A2C4D">
            <w:pPr>
              <w:pStyle w:val="2"/>
              <w:spacing w:line="240" w:lineRule="auto"/>
              <w:ind w:firstLine="0" w:firstLineChars="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rPr>
              <w:t>空压机2</w:t>
            </w:r>
          </w:p>
        </w:tc>
        <w:tc>
          <w:tcPr>
            <w:tcW w:w="1015" w:type="dxa"/>
            <w:tcBorders>
              <w:tl2br w:val="nil"/>
              <w:tr2bl w:val="nil"/>
            </w:tcBorders>
            <w:vAlign w:val="center"/>
          </w:tcPr>
          <w:p w14:paraId="6230BA49">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85~90</w:t>
            </w:r>
          </w:p>
        </w:tc>
        <w:tc>
          <w:tcPr>
            <w:tcW w:w="1265" w:type="dxa"/>
            <w:vMerge w:val="continue"/>
            <w:tcBorders>
              <w:tl2br w:val="nil"/>
              <w:tr2bl w:val="nil"/>
            </w:tcBorders>
            <w:vAlign w:val="center"/>
          </w:tcPr>
          <w:p w14:paraId="3BBB5767">
            <w:pPr>
              <w:pStyle w:val="2"/>
              <w:spacing w:line="240" w:lineRule="auto"/>
              <w:ind w:firstLine="0" w:firstLineChars="0"/>
              <w:jc w:val="center"/>
              <w:rPr>
                <w:rFonts w:hint="default" w:ascii="Times New Roman" w:hAnsi="Times New Roman" w:cs="Times New Roman"/>
                <w:color w:val="auto"/>
                <w:szCs w:val="21"/>
              </w:rPr>
            </w:pPr>
          </w:p>
        </w:tc>
        <w:tc>
          <w:tcPr>
            <w:tcW w:w="0" w:type="auto"/>
            <w:tcBorders>
              <w:tl2br w:val="nil"/>
              <w:tr2bl w:val="nil"/>
            </w:tcBorders>
            <w:vAlign w:val="center"/>
          </w:tcPr>
          <w:p w14:paraId="6DB02967">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75</w:t>
            </w:r>
          </w:p>
        </w:tc>
        <w:tc>
          <w:tcPr>
            <w:tcW w:w="0" w:type="auto"/>
            <w:tcBorders>
              <w:tl2br w:val="nil"/>
              <w:tr2bl w:val="nil"/>
            </w:tcBorders>
            <w:vAlign w:val="center"/>
          </w:tcPr>
          <w:p w14:paraId="73352073">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30</w:t>
            </w:r>
          </w:p>
        </w:tc>
        <w:tc>
          <w:tcPr>
            <w:tcW w:w="0" w:type="auto"/>
            <w:tcBorders>
              <w:tl2br w:val="nil"/>
              <w:tr2bl w:val="nil"/>
            </w:tcBorders>
            <w:vAlign w:val="center"/>
          </w:tcPr>
          <w:p w14:paraId="51E867FB">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1.5</w:t>
            </w:r>
          </w:p>
        </w:tc>
        <w:tc>
          <w:tcPr>
            <w:tcW w:w="1040" w:type="dxa"/>
            <w:tcBorders>
              <w:tl2br w:val="nil"/>
              <w:tr2bl w:val="nil"/>
            </w:tcBorders>
            <w:vAlign w:val="center"/>
          </w:tcPr>
          <w:p w14:paraId="2E618BD5">
            <w:pPr>
              <w:jc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1157" w:type="dxa"/>
            <w:tcBorders>
              <w:tl2br w:val="nil"/>
              <w:tr2bl w:val="nil"/>
            </w:tcBorders>
            <w:vAlign w:val="center"/>
          </w:tcPr>
          <w:p w14:paraId="12593C4C">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90</w:t>
            </w:r>
          </w:p>
        </w:tc>
        <w:tc>
          <w:tcPr>
            <w:tcW w:w="836" w:type="dxa"/>
            <w:tcBorders>
              <w:tl2br w:val="nil"/>
              <w:tr2bl w:val="nil"/>
            </w:tcBorders>
            <w:vAlign w:val="center"/>
          </w:tcPr>
          <w:p w14:paraId="6111D3C4">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24</w:t>
            </w:r>
          </w:p>
        </w:tc>
        <w:tc>
          <w:tcPr>
            <w:tcW w:w="1203" w:type="dxa"/>
            <w:tcBorders>
              <w:tl2br w:val="nil"/>
              <w:tr2bl w:val="nil"/>
            </w:tcBorders>
            <w:vAlign w:val="center"/>
          </w:tcPr>
          <w:p w14:paraId="57B8994B">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15~20</w:t>
            </w:r>
          </w:p>
        </w:tc>
        <w:tc>
          <w:tcPr>
            <w:tcW w:w="970" w:type="dxa"/>
            <w:tcBorders>
              <w:tl2br w:val="nil"/>
              <w:tr2bl w:val="nil"/>
            </w:tcBorders>
            <w:vAlign w:val="center"/>
          </w:tcPr>
          <w:p w14:paraId="5C9400C3">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75</w:t>
            </w:r>
          </w:p>
        </w:tc>
        <w:tc>
          <w:tcPr>
            <w:tcW w:w="876" w:type="dxa"/>
            <w:tcBorders>
              <w:tl2br w:val="nil"/>
              <w:tr2bl w:val="nil"/>
            </w:tcBorders>
            <w:vAlign w:val="center"/>
          </w:tcPr>
          <w:p w14:paraId="4E62B8A4">
            <w:pPr>
              <w:pStyle w:val="2"/>
              <w:spacing w:line="240" w:lineRule="auto"/>
              <w:ind w:firstLine="0" w:firstLineChars="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1</w:t>
            </w:r>
          </w:p>
        </w:tc>
      </w:tr>
      <w:tr w14:paraId="4DF3B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0" w:type="auto"/>
            <w:tcBorders>
              <w:tl2br w:val="nil"/>
              <w:tr2bl w:val="nil"/>
            </w:tcBorders>
            <w:vAlign w:val="center"/>
          </w:tcPr>
          <w:p w14:paraId="5B035891">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11</w:t>
            </w:r>
          </w:p>
        </w:tc>
        <w:tc>
          <w:tcPr>
            <w:tcW w:w="867" w:type="dxa"/>
            <w:vMerge w:val="continue"/>
            <w:tcBorders>
              <w:tl2br w:val="nil"/>
              <w:tr2bl w:val="nil"/>
            </w:tcBorders>
            <w:vAlign w:val="center"/>
          </w:tcPr>
          <w:p w14:paraId="2EE79F30">
            <w:pPr>
              <w:pStyle w:val="2"/>
              <w:spacing w:line="240" w:lineRule="auto"/>
              <w:ind w:firstLine="0" w:firstLineChars="0"/>
              <w:jc w:val="center"/>
              <w:rPr>
                <w:rFonts w:hint="default" w:ascii="Times New Roman" w:hAnsi="Times New Roman" w:cs="Times New Roman"/>
                <w:color w:val="auto"/>
                <w:szCs w:val="21"/>
              </w:rPr>
            </w:pPr>
          </w:p>
        </w:tc>
        <w:tc>
          <w:tcPr>
            <w:tcW w:w="2398" w:type="dxa"/>
            <w:tcBorders>
              <w:tl2br w:val="nil"/>
              <w:tr2bl w:val="nil"/>
            </w:tcBorders>
            <w:vAlign w:val="center"/>
          </w:tcPr>
          <w:p w14:paraId="2D9A34C5">
            <w:pPr>
              <w:pStyle w:val="2"/>
              <w:spacing w:line="240" w:lineRule="auto"/>
              <w:ind w:firstLine="0" w:firstLineChars="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rPr>
              <w:t>空压机3</w:t>
            </w:r>
          </w:p>
        </w:tc>
        <w:tc>
          <w:tcPr>
            <w:tcW w:w="1015" w:type="dxa"/>
            <w:tcBorders>
              <w:tl2br w:val="nil"/>
              <w:tr2bl w:val="nil"/>
            </w:tcBorders>
            <w:vAlign w:val="center"/>
          </w:tcPr>
          <w:p w14:paraId="0EC50919">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85~90</w:t>
            </w:r>
          </w:p>
        </w:tc>
        <w:tc>
          <w:tcPr>
            <w:tcW w:w="1265" w:type="dxa"/>
            <w:vMerge w:val="continue"/>
            <w:tcBorders>
              <w:tl2br w:val="nil"/>
              <w:tr2bl w:val="nil"/>
            </w:tcBorders>
            <w:vAlign w:val="center"/>
          </w:tcPr>
          <w:p w14:paraId="4E8558BF">
            <w:pPr>
              <w:pStyle w:val="2"/>
              <w:spacing w:line="240" w:lineRule="auto"/>
              <w:ind w:firstLine="0" w:firstLineChars="0"/>
              <w:jc w:val="center"/>
              <w:rPr>
                <w:rFonts w:hint="default" w:ascii="Times New Roman" w:hAnsi="Times New Roman" w:cs="Times New Roman"/>
                <w:color w:val="auto"/>
                <w:szCs w:val="21"/>
              </w:rPr>
            </w:pPr>
          </w:p>
        </w:tc>
        <w:tc>
          <w:tcPr>
            <w:tcW w:w="0" w:type="auto"/>
            <w:tcBorders>
              <w:tl2br w:val="nil"/>
              <w:tr2bl w:val="nil"/>
            </w:tcBorders>
            <w:vAlign w:val="center"/>
          </w:tcPr>
          <w:p w14:paraId="3C33830E">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70</w:t>
            </w:r>
          </w:p>
        </w:tc>
        <w:tc>
          <w:tcPr>
            <w:tcW w:w="0" w:type="auto"/>
            <w:tcBorders>
              <w:tl2br w:val="nil"/>
              <w:tr2bl w:val="nil"/>
            </w:tcBorders>
            <w:vAlign w:val="center"/>
          </w:tcPr>
          <w:p w14:paraId="6F667776">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40</w:t>
            </w:r>
          </w:p>
        </w:tc>
        <w:tc>
          <w:tcPr>
            <w:tcW w:w="0" w:type="auto"/>
            <w:tcBorders>
              <w:tl2br w:val="nil"/>
              <w:tr2bl w:val="nil"/>
            </w:tcBorders>
            <w:vAlign w:val="center"/>
          </w:tcPr>
          <w:p w14:paraId="5FA06663">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1.5</w:t>
            </w:r>
          </w:p>
        </w:tc>
        <w:tc>
          <w:tcPr>
            <w:tcW w:w="1040" w:type="dxa"/>
            <w:tcBorders>
              <w:tl2br w:val="nil"/>
              <w:tr2bl w:val="nil"/>
            </w:tcBorders>
            <w:vAlign w:val="center"/>
          </w:tcPr>
          <w:p w14:paraId="2489D7CE">
            <w:pPr>
              <w:jc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1157" w:type="dxa"/>
            <w:tcBorders>
              <w:tl2br w:val="nil"/>
              <w:tr2bl w:val="nil"/>
            </w:tcBorders>
            <w:vAlign w:val="center"/>
          </w:tcPr>
          <w:p w14:paraId="1B91DB09">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90</w:t>
            </w:r>
          </w:p>
        </w:tc>
        <w:tc>
          <w:tcPr>
            <w:tcW w:w="836" w:type="dxa"/>
            <w:tcBorders>
              <w:tl2br w:val="nil"/>
              <w:tr2bl w:val="nil"/>
            </w:tcBorders>
            <w:vAlign w:val="center"/>
          </w:tcPr>
          <w:p w14:paraId="261A57FF">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24</w:t>
            </w:r>
          </w:p>
        </w:tc>
        <w:tc>
          <w:tcPr>
            <w:tcW w:w="1203" w:type="dxa"/>
            <w:tcBorders>
              <w:tl2br w:val="nil"/>
              <w:tr2bl w:val="nil"/>
            </w:tcBorders>
            <w:vAlign w:val="center"/>
          </w:tcPr>
          <w:p w14:paraId="65E0F72C">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15~20</w:t>
            </w:r>
          </w:p>
        </w:tc>
        <w:tc>
          <w:tcPr>
            <w:tcW w:w="970" w:type="dxa"/>
            <w:tcBorders>
              <w:tl2br w:val="nil"/>
              <w:tr2bl w:val="nil"/>
            </w:tcBorders>
            <w:vAlign w:val="center"/>
          </w:tcPr>
          <w:p w14:paraId="2DC65E7A">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75</w:t>
            </w:r>
          </w:p>
        </w:tc>
        <w:tc>
          <w:tcPr>
            <w:tcW w:w="876" w:type="dxa"/>
            <w:tcBorders>
              <w:tl2br w:val="nil"/>
              <w:tr2bl w:val="nil"/>
            </w:tcBorders>
            <w:vAlign w:val="center"/>
          </w:tcPr>
          <w:p w14:paraId="4B367306">
            <w:pPr>
              <w:pStyle w:val="2"/>
              <w:spacing w:line="240" w:lineRule="auto"/>
              <w:ind w:firstLine="0" w:firstLineChars="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1</w:t>
            </w:r>
          </w:p>
        </w:tc>
      </w:tr>
      <w:tr w14:paraId="73DCE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0" w:type="auto"/>
            <w:tcBorders>
              <w:tl2br w:val="nil"/>
              <w:tr2bl w:val="nil"/>
            </w:tcBorders>
            <w:vAlign w:val="center"/>
          </w:tcPr>
          <w:p w14:paraId="2E8D17C8">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12</w:t>
            </w:r>
          </w:p>
        </w:tc>
        <w:tc>
          <w:tcPr>
            <w:tcW w:w="867" w:type="dxa"/>
            <w:vMerge w:val="continue"/>
            <w:tcBorders>
              <w:tl2br w:val="nil"/>
              <w:tr2bl w:val="nil"/>
            </w:tcBorders>
            <w:vAlign w:val="center"/>
          </w:tcPr>
          <w:p w14:paraId="10EE6226">
            <w:pPr>
              <w:pStyle w:val="2"/>
              <w:spacing w:line="240" w:lineRule="auto"/>
              <w:ind w:firstLine="0" w:firstLineChars="0"/>
              <w:jc w:val="center"/>
              <w:rPr>
                <w:rFonts w:hint="default" w:ascii="Times New Roman" w:hAnsi="Times New Roman" w:cs="Times New Roman"/>
                <w:color w:val="auto"/>
                <w:szCs w:val="21"/>
              </w:rPr>
            </w:pPr>
          </w:p>
        </w:tc>
        <w:tc>
          <w:tcPr>
            <w:tcW w:w="2398" w:type="dxa"/>
            <w:tcBorders>
              <w:tl2br w:val="nil"/>
              <w:tr2bl w:val="nil"/>
            </w:tcBorders>
            <w:vAlign w:val="center"/>
          </w:tcPr>
          <w:p w14:paraId="7DDF17DE">
            <w:pPr>
              <w:pStyle w:val="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水泵</w:t>
            </w:r>
            <w:r>
              <w:rPr>
                <w:rFonts w:hint="default" w:ascii="Times New Roman" w:hAnsi="Times New Roman" w:cs="Times New Roman"/>
                <w:color w:val="auto"/>
                <w:szCs w:val="21"/>
              </w:rPr>
              <w:t>房</w:t>
            </w:r>
          </w:p>
        </w:tc>
        <w:tc>
          <w:tcPr>
            <w:tcW w:w="1015" w:type="dxa"/>
            <w:tcBorders>
              <w:tl2br w:val="nil"/>
              <w:tr2bl w:val="nil"/>
            </w:tcBorders>
            <w:vAlign w:val="center"/>
          </w:tcPr>
          <w:p w14:paraId="37CBDEF3">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95~100</w:t>
            </w:r>
          </w:p>
        </w:tc>
        <w:tc>
          <w:tcPr>
            <w:tcW w:w="1265" w:type="dxa"/>
            <w:vMerge w:val="continue"/>
            <w:tcBorders>
              <w:tl2br w:val="nil"/>
              <w:tr2bl w:val="nil"/>
            </w:tcBorders>
            <w:vAlign w:val="center"/>
          </w:tcPr>
          <w:p w14:paraId="42960A70">
            <w:pPr>
              <w:pStyle w:val="2"/>
              <w:spacing w:line="240" w:lineRule="auto"/>
              <w:ind w:firstLine="0" w:firstLineChars="0"/>
              <w:jc w:val="center"/>
              <w:rPr>
                <w:rFonts w:hint="default" w:ascii="Times New Roman" w:hAnsi="Times New Roman" w:cs="Times New Roman"/>
                <w:color w:val="auto"/>
                <w:szCs w:val="21"/>
              </w:rPr>
            </w:pPr>
          </w:p>
        </w:tc>
        <w:tc>
          <w:tcPr>
            <w:tcW w:w="0" w:type="auto"/>
            <w:tcBorders>
              <w:tl2br w:val="nil"/>
              <w:tr2bl w:val="nil"/>
            </w:tcBorders>
            <w:vAlign w:val="center"/>
          </w:tcPr>
          <w:p w14:paraId="05669887">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60</w:t>
            </w:r>
          </w:p>
        </w:tc>
        <w:tc>
          <w:tcPr>
            <w:tcW w:w="0" w:type="auto"/>
            <w:tcBorders>
              <w:tl2br w:val="nil"/>
              <w:tr2bl w:val="nil"/>
            </w:tcBorders>
            <w:vAlign w:val="center"/>
          </w:tcPr>
          <w:p w14:paraId="349D4467">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50</w:t>
            </w:r>
          </w:p>
        </w:tc>
        <w:tc>
          <w:tcPr>
            <w:tcW w:w="0" w:type="auto"/>
            <w:tcBorders>
              <w:tl2br w:val="nil"/>
              <w:tr2bl w:val="nil"/>
            </w:tcBorders>
            <w:vAlign w:val="center"/>
          </w:tcPr>
          <w:p w14:paraId="7697BBF9">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1.5</w:t>
            </w:r>
          </w:p>
        </w:tc>
        <w:tc>
          <w:tcPr>
            <w:tcW w:w="1040" w:type="dxa"/>
            <w:tcBorders>
              <w:tl2br w:val="nil"/>
              <w:tr2bl w:val="nil"/>
            </w:tcBorders>
            <w:vAlign w:val="center"/>
          </w:tcPr>
          <w:p w14:paraId="62BE2530">
            <w:pPr>
              <w:jc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1157" w:type="dxa"/>
            <w:tcBorders>
              <w:tl2br w:val="nil"/>
              <w:tr2bl w:val="nil"/>
            </w:tcBorders>
            <w:vAlign w:val="center"/>
          </w:tcPr>
          <w:p w14:paraId="1409EF1D">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100</w:t>
            </w:r>
          </w:p>
        </w:tc>
        <w:tc>
          <w:tcPr>
            <w:tcW w:w="836" w:type="dxa"/>
            <w:tcBorders>
              <w:tl2br w:val="nil"/>
              <w:tr2bl w:val="nil"/>
            </w:tcBorders>
            <w:vAlign w:val="center"/>
          </w:tcPr>
          <w:p w14:paraId="26FA7C9C">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24</w:t>
            </w:r>
          </w:p>
        </w:tc>
        <w:tc>
          <w:tcPr>
            <w:tcW w:w="1203" w:type="dxa"/>
            <w:tcBorders>
              <w:tl2br w:val="nil"/>
              <w:tr2bl w:val="nil"/>
            </w:tcBorders>
            <w:vAlign w:val="center"/>
          </w:tcPr>
          <w:p w14:paraId="384717B8">
            <w:pPr>
              <w:pStyle w:val="2"/>
              <w:spacing w:line="240" w:lineRule="auto"/>
              <w:ind w:firstLine="0" w:firstLineChars="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15~20</w:t>
            </w:r>
          </w:p>
        </w:tc>
        <w:tc>
          <w:tcPr>
            <w:tcW w:w="970" w:type="dxa"/>
            <w:tcBorders>
              <w:tl2br w:val="nil"/>
              <w:tr2bl w:val="nil"/>
            </w:tcBorders>
            <w:vAlign w:val="center"/>
          </w:tcPr>
          <w:p w14:paraId="294ED6F5">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85</w:t>
            </w:r>
          </w:p>
        </w:tc>
        <w:tc>
          <w:tcPr>
            <w:tcW w:w="876" w:type="dxa"/>
            <w:tcBorders>
              <w:tl2br w:val="nil"/>
              <w:tr2bl w:val="nil"/>
            </w:tcBorders>
            <w:vAlign w:val="center"/>
          </w:tcPr>
          <w:p w14:paraId="46A02502">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r>
      <w:tr w14:paraId="67F39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0" w:type="auto"/>
            <w:tcBorders>
              <w:tl2br w:val="nil"/>
              <w:tr2bl w:val="nil"/>
            </w:tcBorders>
            <w:vAlign w:val="center"/>
          </w:tcPr>
          <w:p w14:paraId="26AD26AC">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13</w:t>
            </w:r>
          </w:p>
        </w:tc>
        <w:tc>
          <w:tcPr>
            <w:tcW w:w="867" w:type="dxa"/>
            <w:vMerge w:val="continue"/>
            <w:tcBorders>
              <w:tl2br w:val="nil"/>
              <w:tr2bl w:val="nil"/>
            </w:tcBorders>
            <w:vAlign w:val="center"/>
          </w:tcPr>
          <w:p w14:paraId="62D27F31">
            <w:pPr>
              <w:pStyle w:val="2"/>
              <w:spacing w:line="240" w:lineRule="auto"/>
              <w:ind w:firstLine="0" w:firstLineChars="0"/>
              <w:jc w:val="center"/>
              <w:rPr>
                <w:rFonts w:hint="default" w:ascii="Times New Roman" w:hAnsi="Times New Roman" w:cs="Times New Roman"/>
                <w:color w:val="auto"/>
                <w:szCs w:val="21"/>
              </w:rPr>
            </w:pPr>
          </w:p>
        </w:tc>
        <w:tc>
          <w:tcPr>
            <w:tcW w:w="2398" w:type="dxa"/>
            <w:tcBorders>
              <w:tl2br w:val="nil"/>
              <w:tr2bl w:val="nil"/>
            </w:tcBorders>
            <w:vAlign w:val="center"/>
          </w:tcPr>
          <w:p w14:paraId="6B0512B9">
            <w:pPr>
              <w:pStyle w:val="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szCs w:val="21"/>
              </w:rPr>
              <w:t>压滤机</w:t>
            </w:r>
          </w:p>
        </w:tc>
        <w:tc>
          <w:tcPr>
            <w:tcW w:w="1015" w:type="dxa"/>
            <w:tcBorders>
              <w:tl2br w:val="nil"/>
              <w:tr2bl w:val="nil"/>
            </w:tcBorders>
            <w:vAlign w:val="center"/>
          </w:tcPr>
          <w:p w14:paraId="40736681">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80~85</w:t>
            </w:r>
          </w:p>
        </w:tc>
        <w:tc>
          <w:tcPr>
            <w:tcW w:w="1265" w:type="dxa"/>
            <w:vMerge w:val="continue"/>
            <w:tcBorders>
              <w:tl2br w:val="nil"/>
              <w:tr2bl w:val="nil"/>
            </w:tcBorders>
            <w:vAlign w:val="center"/>
          </w:tcPr>
          <w:p w14:paraId="49D68104">
            <w:pPr>
              <w:pStyle w:val="2"/>
              <w:spacing w:line="240" w:lineRule="auto"/>
              <w:ind w:firstLine="0" w:firstLineChars="0"/>
              <w:jc w:val="center"/>
              <w:rPr>
                <w:rFonts w:hint="default" w:ascii="Times New Roman" w:hAnsi="Times New Roman" w:cs="Times New Roman"/>
                <w:color w:val="auto"/>
                <w:szCs w:val="21"/>
              </w:rPr>
            </w:pPr>
          </w:p>
        </w:tc>
        <w:tc>
          <w:tcPr>
            <w:tcW w:w="0" w:type="auto"/>
            <w:tcBorders>
              <w:tl2br w:val="nil"/>
              <w:tr2bl w:val="nil"/>
            </w:tcBorders>
            <w:vAlign w:val="center"/>
          </w:tcPr>
          <w:p w14:paraId="6BB47841">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80</w:t>
            </w:r>
          </w:p>
        </w:tc>
        <w:tc>
          <w:tcPr>
            <w:tcW w:w="0" w:type="auto"/>
            <w:tcBorders>
              <w:tl2br w:val="nil"/>
              <w:tr2bl w:val="nil"/>
            </w:tcBorders>
            <w:vAlign w:val="center"/>
          </w:tcPr>
          <w:p w14:paraId="42A6C87D">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40</w:t>
            </w:r>
          </w:p>
        </w:tc>
        <w:tc>
          <w:tcPr>
            <w:tcW w:w="0" w:type="auto"/>
            <w:tcBorders>
              <w:tl2br w:val="nil"/>
              <w:tr2bl w:val="nil"/>
            </w:tcBorders>
            <w:vAlign w:val="center"/>
          </w:tcPr>
          <w:p w14:paraId="528D7C8C">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1.5</w:t>
            </w:r>
          </w:p>
        </w:tc>
        <w:tc>
          <w:tcPr>
            <w:tcW w:w="1040" w:type="dxa"/>
            <w:tcBorders>
              <w:tl2br w:val="nil"/>
              <w:tr2bl w:val="nil"/>
            </w:tcBorders>
            <w:vAlign w:val="center"/>
          </w:tcPr>
          <w:p w14:paraId="77120EDB">
            <w:pPr>
              <w:jc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1157" w:type="dxa"/>
            <w:tcBorders>
              <w:tl2br w:val="nil"/>
              <w:tr2bl w:val="nil"/>
            </w:tcBorders>
            <w:vAlign w:val="center"/>
          </w:tcPr>
          <w:p w14:paraId="3BB44036">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85</w:t>
            </w:r>
          </w:p>
        </w:tc>
        <w:tc>
          <w:tcPr>
            <w:tcW w:w="836" w:type="dxa"/>
            <w:tcBorders>
              <w:tl2br w:val="nil"/>
              <w:tr2bl w:val="nil"/>
            </w:tcBorders>
            <w:vAlign w:val="center"/>
          </w:tcPr>
          <w:p w14:paraId="1EDFD7CE">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24</w:t>
            </w:r>
          </w:p>
        </w:tc>
        <w:tc>
          <w:tcPr>
            <w:tcW w:w="1203" w:type="dxa"/>
            <w:tcBorders>
              <w:tl2br w:val="nil"/>
              <w:tr2bl w:val="nil"/>
            </w:tcBorders>
            <w:vAlign w:val="center"/>
          </w:tcPr>
          <w:p w14:paraId="17EA2CCA">
            <w:pPr>
              <w:pStyle w:val="2"/>
              <w:spacing w:line="240" w:lineRule="auto"/>
              <w:ind w:firstLine="0" w:firstLineChars="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15~20</w:t>
            </w:r>
          </w:p>
        </w:tc>
        <w:tc>
          <w:tcPr>
            <w:tcW w:w="970" w:type="dxa"/>
            <w:tcBorders>
              <w:tl2br w:val="nil"/>
              <w:tr2bl w:val="nil"/>
            </w:tcBorders>
            <w:vAlign w:val="center"/>
          </w:tcPr>
          <w:p w14:paraId="42159F89">
            <w:pPr>
              <w:widowControl/>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70</w:t>
            </w:r>
          </w:p>
        </w:tc>
        <w:tc>
          <w:tcPr>
            <w:tcW w:w="876" w:type="dxa"/>
            <w:tcBorders>
              <w:tl2br w:val="nil"/>
              <w:tr2bl w:val="nil"/>
            </w:tcBorders>
            <w:vAlign w:val="center"/>
          </w:tcPr>
          <w:p w14:paraId="6158A05F">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r>
    </w:tbl>
    <w:p w14:paraId="0E55DA12">
      <w:pPr>
        <w:keepNext w:val="0"/>
        <w:keepLines w:val="0"/>
        <w:pageBreakBefore w:val="0"/>
        <w:widowControl w:val="0"/>
        <w:kinsoku/>
        <w:wordWrap/>
        <w:overflowPunct/>
        <w:topLinePunct w:val="0"/>
        <w:autoSpaceDE/>
        <w:autoSpaceDN/>
        <w:bidi w:val="0"/>
        <w:adjustRightInd/>
        <w:snapToGrid w:val="0"/>
        <w:spacing w:before="115" w:beforeLines="30" w:after="189" w:afterLines="50"/>
        <w:textAlignment w:val="auto"/>
        <w:rPr>
          <w:rFonts w:hint="default" w:ascii="Times New Roman" w:hAnsi="Times New Roman" w:cs="Times New Roman"/>
          <w:b/>
          <w:bCs/>
          <w:color w:val="auto"/>
          <w:sz w:val="24"/>
        </w:rPr>
      </w:pPr>
      <w:r>
        <w:rPr>
          <w:rFonts w:hint="default" w:ascii="Times New Roman" w:hAnsi="Times New Roman" w:cs="Times New Roman"/>
          <w:color w:val="auto"/>
        </w:rPr>
        <w:t>注：以本项目4#车间西南角为坐标原点（0,0）。</w:t>
      </w:r>
    </w:p>
    <w:p w14:paraId="0AD2F01C">
      <w:pPr>
        <w:keepNext w:val="0"/>
        <w:keepLines w:val="0"/>
        <w:pageBreakBefore w:val="0"/>
        <w:widowControl w:val="0"/>
        <w:kinsoku/>
        <w:wordWrap/>
        <w:overflowPunct/>
        <w:topLinePunct w:val="0"/>
        <w:autoSpaceDE/>
        <w:autoSpaceDN/>
        <w:bidi w:val="0"/>
        <w:adjustRightInd/>
        <w:snapToGrid w:val="0"/>
        <w:spacing w:before="115" w:beforeLines="30" w:after="189" w:afterLines="50"/>
        <w:jc w:val="center"/>
        <w:textAlignment w:val="auto"/>
        <w:rPr>
          <w:rFonts w:hint="default" w:ascii="Times New Roman" w:hAnsi="Times New Roman" w:cs="Times New Roman"/>
          <w:b/>
          <w:bCs/>
          <w:color w:val="auto"/>
          <w:sz w:val="24"/>
        </w:rPr>
        <w:sectPr>
          <w:pgSz w:w="16838" w:h="11905" w:orient="landscape"/>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p w14:paraId="48728DDA">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表4.2-</w:t>
      </w:r>
      <w:r>
        <w:rPr>
          <w:rFonts w:hint="default" w:ascii="Times New Roman" w:hAnsi="Times New Roman" w:eastAsia="黑体" w:cs="Times New Roman"/>
          <w:b w:val="0"/>
          <w:bCs/>
          <w:color w:val="auto"/>
          <w:lang w:val="en-US" w:eastAsia="zh-CN"/>
        </w:rPr>
        <w:t>21</w:t>
      </w:r>
      <w:r>
        <w:rPr>
          <w:rFonts w:hint="default" w:ascii="Times New Roman" w:hAnsi="Times New Roman" w:eastAsia="黑体" w:cs="Times New Roman"/>
          <w:b w:val="0"/>
          <w:bCs/>
          <w:color w:val="auto"/>
        </w:rPr>
        <w:t xml:space="preserve">  新增生产设备噪声一览表（室外声源）</w:t>
      </w:r>
    </w:p>
    <w:tbl>
      <w:tblPr>
        <w:tblStyle w:val="3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19"/>
        <w:gridCol w:w="2019"/>
        <w:gridCol w:w="1208"/>
        <w:gridCol w:w="1208"/>
        <w:gridCol w:w="1169"/>
        <w:gridCol w:w="2745"/>
        <w:gridCol w:w="3222"/>
        <w:gridCol w:w="1621"/>
      </w:tblGrid>
      <w:tr w14:paraId="3F365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tblHeader/>
          <w:jc w:val="center"/>
        </w:trPr>
        <w:tc>
          <w:tcPr>
            <w:tcW w:w="292" w:type="pct"/>
            <w:vMerge w:val="restart"/>
            <w:tcBorders>
              <w:tl2br w:val="nil"/>
              <w:tr2bl w:val="nil"/>
            </w:tcBorders>
            <w:vAlign w:val="center"/>
          </w:tcPr>
          <w:p w14:paraId="3563348E">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序号</w:t>
            </w:r>
          </w:p>
        </w:tc>
        <w:tc>
          <w:tcPr>
            <w:tcW w:w="720" w:type="pct"/>
            <w:vMerge w:val="restart"/>
            <w:tcBorders>
              <w:tl2br w:val="nil"/>
              <w:tr2bl w:val="nil"/>
            </w:tcBorders>
            <w:vAlign w:val="center"/>
          </w:tcPr>
          <w:p w14:paraId="28BE1E94">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声源名称</w:t>
            </w:r>
          </w:p>
        </w:tc>
        <w:tc>
          <w:tcPr>
            <w:tcW w:w="1279" w:type="pct"/>
            <w:gridSpan w:val="3"/>
            <w:tcBorders>
              <w:tl2br w:val="nil"/>
              <w:tr2bl w:val="nil"/>
            </w:tcBorders>
            <w:vAlign w:val="center"/>
          </w:tcPr>
          <w:p w14:paraId="5C215FE3">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lang w:bidi="ar"/>
              </w:rPr>
              <w:t>空间相对位置/m</w:t>
            </w:r>
          </w:p>
        </w:tc>
        <w:tc>
          <w:tcPr>
            <w:tcW w:w="979" w:type="pct"/>
            <w:vMerge w:val="restart"/>
            <w:tcBorders>
              <w:tl2br w:val="nil"/>
              <w:tr2bl w:val="nil"/>
            </w:tcBorders>
            <w:vAlign w:val="center"/>
          </w:tcPr>
          <w:p w14:paraId="44F72700">
            <w:pPr>
              <w:widowControl/>
              <w:jc w:val="center"/>
              <w:rPr>
                <w:rFonts w:hint="default" w:ascii="Times New Roman" w:hAnsi="Times New Roman" w:cs="Times New Roman"/>
                <w:snapToGrid w:val="0"/>
                <w:color w:val="auto"/>
                <w:kern w:val="0"/>
                <w:szCs w:val="21"/>
              </w:rPr>
            </w:pPr>
            <w:r>
              <w:rPr>
                <w:rFonts w:hint="default" w:ascii="Times New Roman" w:hAnsi="Times New Roman" w:cs="Times New Roman"/>
                <w:snapToGrid w:val="0"/>
                <w:color w:val="auto"/>
                <w:kern w:val="0"/>
                <w:szCs w:val="21"/>
              </w:rPr>
              <w:t>声功率级dB(A)</w:t>
            </w:r>
          </w:p>
        </w:tc>
        <w:tc>
          <w:tcPr>
            <w:tcW w:w="1149" w:type="pct"/>
            <w:vMerge w:val="restart"/>
            <w:tcBorders>
              <w:tl2br w:val="nil"/>
              <w:tr2bl w:val="nil"/>
            </w:tcBorders>
            <w:vAlign w:val="center"/>
          </w:tcPr>
          <w:p w14:paraId="67767CE6">
            <w:pPr>
              <w:widowControl/>
              <w:jc w:val="center"/>
              <w:rPr>
                <w:rFonts w:hint="default" w:ascii="Times New Roman" w:hAnsi="Times New Roman" w:cs="Times New Roman"/>
                <w:snapToGrid w:val="0"/>
                <w:color w:val="auto"/>
                <w:kern w:val="0"/>
                <w:szCs w:val="21"/>
              </w:rPr>
            </w:pPr>
            <w:r>
              <w:rPr>
                <w:rFonts w:hint="default" w:ascii="Times New Roman" w:hAnsi="Times New Roman" w:cs="Times New Roman"/>
                <w:snapToGrid w:val="0"/>
                <w:color w:val="auto"/>
                <w:kern w:val="0"/>
                <w:szCs w:val="21"/>
              </w:rPr>
              <w:t>声源控制措施</w:t>
            </w:r>
          </w:p>
        </w:tc>
        <w:tc>
          <w:tcPr>
            <w:tcW w:w="578" w:type="pct"/>
            <w:vMerge w:val="restart"/>
            <w:tcBorders>
              <w:tl2br w:val="nil"/>
              <w:tr2bl w:val="nil"/>
            </w:tcBorders>
            <w:vAlign w:val="center"/>
          </w:tcPr>
          <w:p w14:paraId="55788570">
            <w:pPr>
              <w:widowControl/>
              <w:adjustRightInd w:val="0"/>
              <w:snapToGrid w:val="0"/>
              <w:jc w:val="center"/>
              <w:rPr>
                <w:rFonts w:hint="default" w:ascii="Times New Roman" w:hAnsi="Times New Roman" w:cs="Times New Roman"/>
                <w:snapToGrid w:val="0"/>
                <w:color w:val="auto"/>
                <w:kern w:val="0"/>
                <w:szCs w:val="21"/>
              </w:rPr>
            </w:pPr>
            <w:r>
              <w:rPr>
                <w:rFonts w:hint="default" w:ascii="Times New Roman" w:hAnsi="Times New Roman" w:cs="Times New Roman"/>
                <w:snapToGrid w:val="0"/>
                <w:color w:val="auto"/>
                <w:kern w:val="0"/>
                <w:szCs w:val="21"/>
              </w:rPr>
              <w:t>运行时段</w:t>
            </w:r>
          </w:p>
        </w:tc>
      </w:tr>
      <w:tr w14:paraId="21D66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tblHeader/>
          <w:jc w:val="center"/>
        </w:trPr>
        <w:tc>
          <w:tcPr>
            <w:tcW w:w="292" w:type="pct"/>
            <w:vMerge w:val="continue"/>
            <w:tcBorders>
              <w:tl2br w:val="nil"/>
              <w:tr2bl w:val="nil"/>
            </w:tcBorders>
            <w:vAlign w:val="center"/>
          </w:tcPr>
          <w:p w14:paraId="032921D4">
            <w:pPr>
              <w:pStyle w:val="2"/>
              <w:spacing w:line="240" w:lineRule="auto"/>
              <w:ind w:firstLine="0" w:firstLineChars="0"/>
              <w:jc w:val="center"/>
              <w:rPr>
                <w:rFonts w:hint="default" w:ascii="Times New Roman" w:hAnsi="Times New Roman" w:cs="Times New Roman"/>
                <w:color w:val="auto"/>
                <w:szCs w:val="21"/>
              </w:rPr>
            </w:pPr>
          </w:p>
        </w:tc>
        <w:tc>
          <w:tcPr>
            <w:tcW w:w="720" w:type="pct"/>
            <w:vMerge w:val="continue"/>
            <w:tcBorders>
              <w:tl2br w:val="nil"/>
              <w:tr2bl w:val="nil"/>
            </w:tcBorders>
            <w:vAlign w:val="center"/>
          </w:tcPr>
          <w:p w14:paraId="68D89970">
            <w:pPr>
              <w:pStyle w:val="2"/>
              <w:spacing w:line="240" w:lineRule="auto"/>
              <w:ind w:firstLine="0" w:firstLineChars="0"/>
              <w:jc w:val="center"/>
              <w:rPr>
                <w:rFonts w:hint="default" w:ascii="Times New Roman" w:hAnsi="Times New Roman" w:cs="Times New Roman"/>
                <w:color w:val="auto"/>
                <w:szCs w:val="21"/>
              </w:rPr>
            </w:pPr>
          </w:p>
        </w:tc>
        <w:tc>
          <w:tcPr>
            <w:tcW w:w="431" w:type="pct"/>
            <w:tcBorders>
              <w:tl2br w:val="nil"/>
              <w:tr2bl w:val="nil"/>
            </w:tcBorders>
            <w:vAlign w:val="center"/>
          </w:tcPr>
          <w:p w14:paraId="116CD1C8">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X</w:t>
            </w:r>
            <w:r>
              <w:rPr>
                <w:rStyle w:val="105"/>
                <w:rFonts w:hint="default" w:ascii="Times New Roman" w:hAnsi="Times New Roman" w:cs="Times New Roman"/>
                <w:color w:val="auto"/>
                <w:lang w:bidi="ar"/>
              </w:rPr>
              <w:t>坐标</w:t>
            </w:r>
          </w:p>
        </w:tc>
        <w:tc>
          <w:tcPr>
            <w:tcW w:w="431" w:type="pct"/>
            <w:tcBorders>
              <w:tl2br w:val="nil"/>
              <w:tr2bl w:val="nil"/>
            </w:tcBorders>
            <w:vAlign w:val="center"/>
          </w:tcPr>
          <w:p w14:paraId="67B7E016">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Y</w:t>
            </w:r>
            <w:r>
              <w:rPr>
                <w:rStyle w:val="105"/>
                <w:rFonts w:hint="default" w:ascii="Times New Roman" w:hAnsi="Times New Roman" w:cs="Times New Roman"/>
                <w:color w:val="auto"/>
                <w:lang w:bidi="ar"/>
              </w:rPr>
              <w:t>坐标</w:t>
            </w:r>
          </w:p>
        </w:tc>
        <w:tc>
          <w:tcPr>
            <w:tcW w:w="416" w:type="pct"/>
            <w:tcBorders>
              <w:tl2br w:val="nil"/>
              <w:tr2bl w:val="nil"/>
            </w:tcBorders>
            <w:vAlign w:val="center"/>
          </w:tcPr>
          <w:p w14:paraId="3569594F">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Z</w:t>
            </w:r>
            <w:r>
              <w:rPr>
                <w:rStyle w:val="105"/>
                <w:rFonts w:hint="default" w:ascii="Times New Roman" w:hAnsi="Times New Roman" w:cs="Times New Roman"/>
                <w:color w:val="auto"/>
                <w:lang w:bidi="ar"/>
              </w:rPr>
              <w:t>坐标</w:t>
            </w:r>
          </w:p>
        </w:tc>
        <w:tc>
          <w:tcPr>
            <w:tcW w:w="979" w:type="pct"/>
            <w:vMerge w:val="continue"/>
            <w:tcBorders>
              <w:tl2br w:val="nil"/>
              <w:tr2bl w:val="nil"/>
            </w:tcBorders>
            <w:vAlign w:val="center"/>
          </w:tcPr>
          <w:p w14:paraId="517663C8">
            <w:pPr>
              <w:pStyle w:val="2"/>
              <w:spacing w:line="240" w:lineRule="auto"/>
              <w:ind w:firstLine="0" w:firstLineChars="0"/>
              <w:jc w:val="center"/>
              <w:rPr>
                <w:rFonts w:hint="default" w:ascii="Times New Roman" w:hAnsi="Times New Roman" w:cs="Times New Roman"/>
                <w:color w:val="auto"/>
                <w:szCs w:val="21"/>
              </w:rPr>
            </w:pPr>
          </w:p>
        </w:tc>
        <w:tc>
          <w:tcPr>
            <w:tcW w:w="1149" w:type="pct"/>
            <w:vMerge w:val="continue"/>
            <w:tcBorders>
              <w:tl2br w:val="nil"/>
              <w:tr2bl w:val="nil"/>
            </w:tcBorders>
            <w:vAlign w:val="center"/>
          </w:tcPr>
          <w:p w14:paraId="14F2DA3D">
            <w:pPr>
              <w:pStyle w:val="2"/>
              <w:spacing w:line="240" w:lineRule="auto"/>
              <w:ind w:firstLine="0" w:firstLineChars="0"/>
              <w:jc w:val="center"/>
              <w:rPr>
                <w:rFonts w:hint="default" w:ascii="Times New Roman" w:hAnsi="Times New Roman" w:cs="Times New Roman"/>
                <w:color w:val="auto"/>
                <w:szCs w:val="21"/>
              </w:rPr>
            </w:pPr>
          </w:p>
        </w:tc>
        <w:tc>
          <w:tcPr>
            <w:tcW w:w="578" w:type="pct"/>
            <w:vMerge w:val="continue"/>
            <w:tcBorders>
              <w:tl2br w:val="nil"/>
              <w:tr2bl w:val="nil"/>
            </w:tcBorders>
            <w:vAlign w:val="center"/>
          </w:tcPr>
          <w:p w14:paraId="15EF7134">
            <w:pPr>
              <w:pStyle w:val="2"/>
              <w:spacing w:line="240" w:lineRule="auto"/>
              <w:ind w:firstLine="0" w:firstLineChars="0"/>
              <w:jc w:val="center"/>
              <w:rPr>
                <w:rFonts w:hint="default" w:ascii="Times New Roman" w:hAnsi="Times New Roman" w:cs="Times New Roman"/>
                <w:color w:val="auto"/>
                <w:szCs w:val="21"/>
              </w:rPr>
            </w:pPr>
          </w:p>
        </w:tc>
      </w:tr>
      <w:tr w14:paraId="50637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292" w:type="pct"/>
            <w:tcBorders>
              <w:tl2br w:val="nil"/>
              <w:tr2bl w:val="nil"/>
            </w:tcBorders>
            <w:vAlign w:val="center"/>
          </w:tcPr>
          <w:p w14:paraId="0E49700E">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720" w:type="pct"/>
            <w:tcBorders>
              <w:tl2br w:val="nil"/>
              <w:tr2bl w:val="nil"/>
            </w:tcBorders>
            <w:vAlign w:val="center"/>
          </w:tcPr>
          <w:p w14:paraId="20245115">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循环冷却塔</w:t>
            </w:r>
          </w:p>
        </w:tc>
        <w:tc>
          <w:tcPr>
            <w:tcW w:w="431" w:type="pct"/>
            <w:tcBorders>
              <w:tl2br w:val="nil"/>
              <w:tr2bl w:val="nil"/>
            </w:tcBorders>
            <w:vAlign w:val="center"/>
          </w:tcPr>
          <w:p w14:paraId="11264C00">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431" w:type="pct"/>
            <w:tcBorders>
              <w:tl2br w:val="nil"/>
              <w:tr2bl w:val="nil"/>
            </w:tcBorders>
            <w:vAlign w:val="center"/>
          </w:tcPr>
          <w:p w14:paraId="76816E3C">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60</w:t>
            </w:r>
          </w:p>
        </w:tc>
        <w:tc>
          <w:tcPr>
            <w:tcW w:w="416" w:type="pct"/>
            <w:tcBorders>
              <w:tl2br w:val="nil"/>
              <w:tr2bl w:val="nil"/>
            </w:tcBorders>
            <w:vAlign w:val="center"/>
          </w:tcPr>
          <w:p w14:paraId="2B93379C">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1.5</w:t>
            </w:r>
          </w:p>
        </w:tc>
        <w:tc>
          <w:tcPr>
            <w:tcW w:w="979" w:type="pct"/>
            <w:tcBorders>
              <w:tl2br w:val="nil"/>
              <w:tr2bl w:val="nil"/>
            </w:tcBorders>
            <w:vAlign w:val="center"/>
          </w:tcPr>
          <w:p w14:paraId="06953E2A">
            <w:pPr>
              <w:adjustRightInd w:val="0"/>
              <w:snapToGrid w:val="0"/>
              <w:jc w:val="center"/>
              <w:rPr>
                <w:rFonts w:hint="default" w:ascii="Times New Roman" w:hAnsi="Times New Roman" w:cs="Times New Roman"/>
                <w:color w:val="auto"/>
                <w:szCs w:val="21"/>
              </w:rPr>
            </w:pPr>
            <w:bookmarkStart w:id="241" w:name="OLE_LINK56"/>
            <w:r>
              <w:rPr>
                <w:rFonts w:hint="default" w:ascii="Times New Roman" w:hAnsi="Times New Roman" w:cs="Times New Roman"/>
                <w:color w:val="auto"/>
                <w:szCs w:val="21"/>
              </w:rPr>
              <w:t>85~90</w:t>
            </w:r>
            <w:bookmarkEnd w:id="241"/>
          </w:p>
        </w:tc>
        <w:tc>
          <w:tcPr>
            <w:tcW w:w="1149" w:type="pct"/>
            <w:vMerge w:val="restart"/>
            <w:tcBorders>
              <w:tl2br w:val="nil"/>
              <w:tr2bl w:val="nil"/>
            </w:tcBorders>
            <w:vAlign w:val="center"/>
          </w:tcPr>
          <w:p w14:paraId="042B0B46">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基础减振、消声器</w:t>
            </w:r>
          </w:p>
        </w:tc>
        <w:tc>
          <w:tcPr>
            <w:tcW w:w="578" w:type="pct"/>
            <w:tcBorders>
              <w:tl2br w:val="nil"/>
              <w:tr2bl w:val="nil"/>
            </w:tcBorders>
            <w:vAlign w:val="center"/>
          </w:tcPr>
          <w:p w14:paraId="18173C9C">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6</w:t>
            </w:r>
          </w:p>
        </w:tc>
      </w:tr>
      <w:tr w14:paraId="2C5F1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292" w:type="pct"/>
            <w:tcBorders>
              <w:tl2br w:val="nil"/>
              <w:tr2bl w:val="nil"/>
            </w:tcBorders>
            <w:vAlign w:val="center"/>
          </w:tcPr>
          <w:p w14:paraId="15823BCA">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2</w:t>
            </w:r>
          </w:p>
        </w:tc>
        <w:tc>
          <w:tcPr>
            <w:tcW w:w="720" w:type="pct"/>
            <w:tcBorders>
              <w:tl2br w:val="nil"/>
              <w:tr2bl w:val="nil"/>
            </w:tcBorders>
            <w:vAlign w:val="center"/>
          </w:tcPr>
          <w:p w14:paraId="50B42F63">
            <w:pPr>
              <w:widowControl/>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风机1</w:t>
            </w:r>
          </w:p>
        </w:tc>
        <w:tc>
          <w:tcPr>
            <w:tcW w:w="431" w:type="pct"/>
            <w:tcBorders>
              <w:tl2br w:val="nil"/>
              <w:tr2bl w:val="nil"/>
            </w:tcBorders>
            <w:vAlign w:val="center"/>
          </w:tcPr>
          <w:p w14:paraId="00F84E34">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80</w:t>
            </w:r>
          </w:p>
        </w:tc>
        <w:tc>
          <w:tcPr>
            <w:tcW w:w="431" w:type="pct"/>
            <w:tcBorders>
              <w:tl2br w:val="nil"/>
              <w:tr2bl w:val="nil"/>
            </w:tcBorders>
            <w:vAlign w:val="center"/>
          </w:tcPr>
          <w:p w14:paraId="3408D39C">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80</w:t>
            </w:r>
          </w:p>
        </w:tc>
        <w:tc>
          <w:tcPr>
            <w:tcW w:w="416" w:type="pct"/>
            <w:tcBorders>
              <w:tl2br w:val="nil"/>
              <w:tr2bl w:val="nil"/>
            </w:tcBorders>
            <w:vAlign w:val="center"/>
          </w:tcPr>
          <w:p w14:paraId="43EE33B2">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1.5</w:t>
            </w:r>
          </w:p>
        </w:tc>
        <w:tc>
          <w:tcPr>
            <w:tcW w:w="979" w:type="pct"/>
            <w:tcBorders>
              <w:tl2br w:val="nil"/>
              <w:tr2bl w:val="nil"/>
            </w:tcBorders>
            <w:vAlign w:val="center"/>
          </w:tcPr>
          <w:p w14:paraId="476BB403">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85~90</w:t>
            </w:r>
          </w:p>
        </w:tc>
        <w:tc>
          <w:tcPr>
            <w:tcW w:w="1149" w:type="pct"/>
            <w:vMerge w:val="continue"/>
            <w:tcBorders>
              <w:tl2br w:val="nil"/>
              <w:tr2bl w:val="nil"/>
            </w:tcBorders>
            <w:vAlign w:val="center"/>
          </w:tcPr>
          <w:p w14:paraId="6983B5BD">
            <w:pPr>
              <w:adjustRightInd w:val="0"/>
              <w:snapToGrid w:val="0"/>
              <w:jc w:val="center"/>
              <w:rPr>
                <w:rFonts w:hint="default" w:ascii="Times New Roman" w:hAnsi="Times New Roman" w:cs="Times New Roman"/>
                <w:color w:val="auto"/>
                <w:kern w:val="0"/>
                <w:szCs w:val="21"/>
                <w:lang w:bidi="ar"/>
              </w:rPr>
            </w:pPr>
          </w:p>
        </w:tc>
        <w:tc>
          <w:tcPr>
            <w:tcW w:w="578" w:type="pct"/>
            <w:tcBorders>
              <w:tl2br w:val="nil"/>
              <w:tr2bl w:val="nil"/>
            </w:tcBorders>
            <w:vAlign w:val="center"/>
          </w:tcPr>
          <w:p w14:paraId="05DAD64D">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24</w:t>
            </w:r>
          </w:p>
        </w:tc>
      </w:tr>
      <w:tr w14:paraId="3AAE3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292" w:type="pct"/>
            <w:tcBorders>
              <w:tl2br w:val="nil"/>
              <w:tr2bl w:val="nil"/>
            </w:tcBorders>
            <w:vAlign w:val="center"/>
          </w:tcPr>
          <w:p w14:paraId="0112E946">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3</w:t>
            </w:r>
          </w:p>
        </w:tc>
        <w:tc>
          <w:tcPr>
            <w:tcW w:w="720" w:type="pct"/>
            <w:tcBorders>
              <w:tl2br w:val="nil"/>
              <w:tr2bl w:val="nil"/>
            </w:tcBorders>
            <w:vAlign w:val="center"/>
          </w:tcPr>
          <w:p w14:paraId="6EA633BC">
            <w:pPr>
              <w:widowControl/>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风机2</w:t>
            </w:r>
          </w:p>
        </w:tc>
        <w:tc>
          <w:tcPr>
            <w:tcW w:w="431" w:type="pct"/>
            <w:tcBorders>
              <w:tl2br w:val="nil"/>
              <w:tr2bl w:val="nil"/>
            </w:tcBorders>
            <w:vAlign w:val="center"/>
          </w:tcPr>
          <w:p w14:paraId="176F5DD9">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431" w:type="pct"/>
            <w:tcBorders>
              <w:tl2br w:val="nil"/>
              <w:tr2bl w:val="nil"/>
            </w:tcBorders>
            <w:vAlign w:val="center"/>
          </w:tcPr>
          <w:p w14:paraId="3F1D0763">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20</w:t>
            </w:r>
          </w:p>
        </w:tc>
        <w:tc>
          <w:tcPr>
            <w:tcW w:w="416" w:type="pct"/>
            <w:tcBorders>
              <w:tl2br w:val="nil"/>
              <w:tr2bl w:val="nil"/>
            </w:tcBorders>
            <w:vAlign w:val="center"/>
          </w:tcPr>
          <w:p w14:paraId="42200891">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1.5</w:t>
            </w:r>
          </w:p>
        </w:tc>
        <w:tc>
          <w:tcPr>
            <w:tcW w:w="979" w:type="pct"/>
            <w:tcBorders>
              <w:tl2br w:val="nil"/>
              <w:tr2bl w:val="nil"/>
            </w:tcBorders>
            <w:vAlign w:val="center"/>
          </w:tcPr>
          <w:p w14:paraId="4F85333C">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85~90</w:t>
            </w:r>
          </w:p>
        </w:tc>
        <w:tc>
          <w:tcPr>
            <w:tcW w:w="1149" w:type="pct"/>
            <w:vMerge w:val="continue"/>
            <w:tcBorders>
              <w:tl2br w:val="nil"/>
              <w:tr2bl w:val="nil"/>
            </w:tcBorders>
            <w:vAlign w:val="center"/>
          </w:tcPr>
          <w:p w14:paraId="41E0FAE1">
            <w:pPr>
              <w:adjustRightInd w:val="0"/>
              <w:snapToGrid w:val="0"/>
              <w:jc w:val="center"/>
              <w:rPr>
                <w:rFonts w:hint="default" w:ascii="Times New Roman" w:hAnsi="Times New Roman" w:cs="Times New Roman"/>
                <w:color w:val="auto"/>
                <w:kern w:val="0"/>
                <w:szCs w:val="21"/>
                <w:lang w:bidi="ar"/>
              </w:rPr>
            </w:pPr>
          </w:p>
        </w:tc>
        <w:tc>
          <w:tcPr>
            <w:tcW w:w="578" w:type="pct"/>
            <w:tcBorders>
              <w:tl2br w:val="nil"/>
              <w:tr2bl w:val="nil"/>
            </w:tcBorders>
            <w:vAlign w:val="center"/>
          </w:tcPr>
          <w:p w14:paraId="0BA82A6E">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24</w:t>
            </w:r>
          </w:p>
        </w:tc>
      </w:tr>
      <w:tr w14:paraId="36F3C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292" w:type="pct"/>
            <w:tcBorders>
              <w:tl2br w:val="nil"/>
              <w:tr2bl w:val="nil"/>
            </w:tcBorders>
            <w:vAlign w:val="center"/>
          </w:tcPr>
          <w:p w14:paraId="5ECD88DD">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4</w:t>
            </w:r>
          </w:p>
        </w:tc>
        <w:tc>
          <w:tcPr>
            <w:tcW w:w="720" w:type="pct"/>
            <w:tcBorders>
              <w:tl2br w:val="nil"/>
              <w:tr2bl w:val="nil"/>
            </w:tcBorders>
            <w:vAlign w:val="center"/>
          </w:tcPr>
          <w:p w14:paraId="546E03E2">
            <w:pPr>
              <w:widowControl/>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rPr>
              <w:t>风机3</w:t>
            </w:r>
          </w:p>
        </w:tc>
        <w:tc>
          <w:tcPr>
            <w:tcW w:w="431" w:type="pct"/>
            <w:tcBorders>
              <w:tl2br w:val="nil"/>
              <w:tr2bl w:val="nil"/>
            </w:tcBorders>
            <w:vAlign w:val="center"/>
          </w:tcPr>
          <w:p w14:paraId="094939D4">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431" w:type="pct"/>
            <w:tcBorders>
              <w:tl2br w:val="nil"/>
              <w:tr2bl w:val="nil"/>
            </w:tcBorders>
            <w:vAlign w:val="center"/>
          </w:tcPr>
          <w:p w14:paraId="40749B53">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25</w:t>
            </w:r>
          </w:p>
        </w:tc>
        <w:tc>
          <w:tcPr>
            <w:tcW w:w="416" w:type="pct"/>
            <w:tcBorders>
              <w:tl2br w:val="nil"/>
              <w:tr2bl w:val="nil"/>
            </w:tcBorders>
            <w:vAlign w:val="center"/>
          </w:tcPr>
          <w:p w14:paraId="351B88CD">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1.5</w:t>
            </w:r>
          </w:p>
        </w:tc>
        <w:tc>
          <w:tcPr>
            <w:tcW w:w="979" w:type="pct"/>
            <w:tcBorders>
              <w:tl2br w:val="nil"/>
              <w:tr2bl w:val="nil"/>
            </w:tcBorders>
            <w:vAlign w:val="center"/>
          </w:tcPr>
          <w:p w14:paraId="77D43015">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85~90</w:t>
            </w:r>
          </w:p>
        </w:tc>
        <w:tc>
          <w:tcPr>
            <w:tcW w:w="1149" w:type="pct"/>
            <w:vMerge w:val="continue"/>
            <w:tcBorders>
              <w:tl2br w:val="nil"/>
              <w:tr2bl w:val="nil"/>
            </w:tcBorders>
            <w:vAlign w:val="center"/>
          </w:tcPr>
          <w:p w14:paraId="7A049A3C">
            <w:pPr>
              <w:adjustRightInd w:val="0"/>
              <w:snapToGrid w:val="0"/>
              <w:jc w:val="center"/>
              <w:rPr>
                <w:rFonts w:hint="default" w:ascii="Times New Roman" w:hAnsi="Times New Roman" w:cs="Times New Roman"/>
                <w:color w:val="auto"/>
                <w:kern w:val="0"/>
                <w:szCs w:val="21"/>
                <w:lang w:bidi="ar"/>
              </w:rPr>
            </w:pPr>
          </w:p>
        </w:tc>
        <w:tc>
          <w:tcPr>
            <w:tcW w:w="578" w:type="pct"/>
            <w:tcBorders>
              <w:tl2br w:val="nil"/>
              <w:tr2bl w:val="nil"/>
            </w:tcBorders>
            <w:vAlign w:val="center"/>
          </w:tcPr>
          <w:p w14:paraId="49C9CA2D">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24</w:t>
            </w:r>
          </w:p>
        </w:tc>
      </w:tr>
      <w:tr w14:paraId="45600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292" w:type="pct"/>
            <w:tcBorders>
              <w:tl2br w:val="nil"/>
              <w:tr2bl w:val="nil"/>
            </w:tcBorders>
            <w:vAlign w:val="center"/>
          </w:tcPr>
          <w:p w14:paraId="0142F71E">
            <w:pPr>
              <w:pStyle w:val="2"/>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5</w:t>
            </w:r>
          </w:p>
        </w:tc>
        <w:tc>
          <w:tcPr>
            <w:tcW w:w="720" w:type="pct"/>
            <w:tcBorders>
              <w:tl2br w:val="nil"/>
              <w:tr2bl w:val="nil"/>
            </w:tcBorders>
            <w:vAlign w:val="center"/>
          </w:tcPr>
          <w:p w14:paraId="04C0A410">
            <w:pPr>
              <w:widowControl/>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风机4</w:t>
            </w:r>
          </w:p>
        </w:tc>
        <w:tc>
          <w:tcPr>
            <w:tcW w:w="431" w:type="pct"/>
            <w:tcBorders>
              <w:tl2br w:val="nil"/>
              <w:tr2bl w:val="nil"/>
            </w:tcBorders>
            <w:vAlign w:val="center"/>
          </w:tcPr>
          <w:p w14:paraId="013A1378">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-200</w:t>
            </w:r>
          </w:p>
        </w:tc>
        <w:tc>
          <w:tcPr>
            <w:tcW w:w="431" w:type="pct"/>
            <w:tcBorders>
              <w:tl2br w:val="nil"/>
              <w:tr2bl w:val="nil"/>
            </w:tcBorders>
            <w:vAlign w:val="center"/>
          </w:tcPr>
          <w:p w14:paraId="01D9F3FC">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-55</w:t>
            </w:r>
          </w:p>
        </w:tc>
        <w:tc>
          <w:tcPr>
            <w:tcW w:w="416" w:type="pct"/>
            <w:tcBorders>
              <w:tl2br w:val="nil"/>
              <w:tr2bl w:val="nil"/>
            </w:tcBorders>
            <w:vAlign w:val="center"/>
          </w:tcPr>
          <w:p w14:paraId="38C19439">
            <w:pPr>
              <w:widowControl/>
              <w:adjustRightInd w:val="0"/>
              <w:snapToGrid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1.5</w:t>
            </w:r>
          </w:p>
        </w:tc>
        <w:tc>
          <w:tcPr>
            <w:tcW w:w="979" w:type="pct"/>
            <w:tcBorders>
              <w:tl2br w:val="nil"/>
              <w:tr2bl w:val="nil"/>
            </w:tcBorders>
            <w:vAlign w:val="center"/>
          </w:tcPr>
          <w:p w14:paraId="4D029120">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85~90</w:t>
            </w:r>
          </w:p>
        </w:tc>
        <w:tc>
          <w:tcPr>
            <w:tcW w:w="1149" w:type="pct"/>
            <w:vMerge w:val="continue"/>
            <w:tcBorders>
              <w:tl2br w:val="nil"/>
              <w:tr2bl w:val="nil"/>
            </w:tcBorders>
            <w:vAlign w:val="center"/>
          </w:tcPr>
          <w:p w14:paraId="19C58ECE">
            <w:pPr>
              <w:adjustRightInd w:val="0"/>
              <w:snapToGrid w:val="0"/>
              <w:jc w:val="center"/>
              <w:rPr>
                <w:rFonts w:hint="default" w:ascii="Times New Roman" w:hAnsi="Times New Roman" w:cs="Times New Roman"/>
                <w:color w:val="auto"/>
                <w:kern w:val="0"/>
                <w:szCs w:val="21"/>
                <w:lang w:bidi="ar"/>
              </w:rPr>
            </w:pPr>
          </w:p>
        </w:tc>
        <w:tc>
          <w:tcPr>
            <w:tcW w:w="578" w:type="pct"/>
            <w:tcBorders>
              <w:tl2br w:val="nil"/>
              <w:tr2bl w:val="nil"/>
            </w:tcBorders>
            <w:vAlign w:val="center"/>
          </w:tcPr>
          <w:p w14:paraId="55C2FAF4">
            <w:pPr>
              <w:jc w:val="center"/>
              <w:rPr>
                <w:rFonts w:hint="default" w:ascii="Times New Roman" w:hAnsi="Times New Roman" w:cs="Times New Roman"/>
                <w:color w:val="auto"/>
                <w:szCs w:val="21"/>
              </w:rPr>
            </w:pPr>
            <w:r>
              <w:rPr>
                <w:rFonts w:hint="default" w:ascii="Times New Roman" w:hAnsi="Times New Roman" w:cs="Times New Roman"/>
                <w:color w:val="auto"/>
                <w:szCs w:val="21"/>
              </w:rPr>
              <w:t>24</w:t>
            </w:r>
          </w:p>
        </w:tc>
      </w:tr>
    </w:tbl>
    <w:p w14:paraId="54671C57">
      <w:pPr>
        <w:pStyle w:val="2"/>
        <w:ind w:firstLine="0" w:firstLineChars="0"/>
        <w:rPr>
          <w:rFonts w:hint="default" w:ascii="Times New Roman" w:hAnsi="Times New Roman" w:cs="Times New Roman"/>
          <w:color w:val="auto"/>
        </w:rPr>
      </w:pPr>
      <w:r>
        <w:rPr>
          <w:rFonts w:hint="default" w:ascii="Times New Roman" w:hAnsi="Times New Roman" w:cs="Times New Roman"/>
          <w:color w:val="auto"/>
        </w:rPr>
        <w:t>注：以本项目4#车间西南角为坐标原点（0,0）。</w:t>
      </w:r>
    </w:p>
    <w:p w14:paraId="59009E67">
      <w:pPr>
        <w:pStyle w:val="2"/>
        <w:ind w:firstLine="0" w:firstLineChars="0"/>
        <w:rPr>
          <w:rFonts w:hint="default" w:ascii="Times New Roman" w:hAnsi="Times New Roman" w:cs="Times New Roman"/>
          <w:color w:val="auto"/>
        </w:rPr>
      </w:pPr>
    </w:p>
    <w:p w14:paraId="709DC12D">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表4.2-</w:t>
      </w:r>
      <w:r>
        <w:rPr>
          <w:rFonts w:hint="default" w:ascii="Times New Roman" w:hAnsi="Times New Roman" w:eastAsia="黑体" w:cs="Times New Roman"/>
          <w:b w:val="0"/>
          <w:bCs/>
          <w:color w:val="auto"/>
          <w:lang w:val="en-US" w:eastAsia="zh-CN"/>
        </w:rPr>
        <w:t>22</w:t>
      </w:r>
      <w:r>
        <w:rPr>
          <w:rFonts w:hint="eastAsia" w:eastAsia="黑体" w:cs="Times New Roman"/>
          <w:b w:val="0"/>
          <w:bCs/>
          <w:color w:val="auto"/>
          <w:lang w:val="en-US" w:eastAsia="zh-CN"/>
        </w:rPr>
        <w:t xml:space="preserve">  </w:t>
      </w:r>
      <w:r>
        <w:rPr>
          <w:rFonts w:hint="default" w:ascii="Times New Roman" w:hAnsi="Times New Roman" w:eastAsia="黑体" w:cs="Times New Roman"/>
          <w:b w:val="0"/>
          <w:bCs/>
          <w:color w:val="auto"/>
        </w:rPr>
        <w:t>厂界噪声预测结果  单位：dB</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8"/>
        <w:gridCol w:w="1389"/>
        <w:gridCol w:w="1390"/>
        <w:gridCol w:w="1127"/>
        <w:gridCol w:w="1130"/>
        <w:gridCol w:w="1390"/>
        <w:gridCol w:w="1390"/>
        <w:gridCol w:w="1127"/>
        <w:gridCol w:w="1130"/>
        <w:gridCol w:w="1127"/>
        <w:gridCol w:w="1130"/>
      </w:tblGrid>
      <w:tr w14:paraId="15F81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restart"/>
            <w:tcBorders>
              <w:tl2br w:val="nil"/>
              <w:tr2bl w:val="nil"/>
            </w:tcBorders>
            <w:tcMar>
              <w:left w:w="0" w:type="dxa"/>
              <w:right w:w="0" w:type="dxa"/>
            </w:tcMar>
            <w:vAlign w:val="center"/>
          </w:tcPr>
          <w:p w14:paraId="0B4E2258">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位置</w:t>
            </w:r>
          </w:p>
        </w:tc>
        <w:tc>
          <w:tcPr>
            <w:tcW w:w="992" w:type="pct"/>
            <w:gridSpan w:val="2"/>
            <w:tcBorders>
              <w:tl2br w:val="nil"/>
              <w:tr2bl w:val="nil"/>
            </w:tcBorders>
            <w:tcMar>
              <w:left w:w="0" w:type="dxa"/>
              <w:right w:w="0" w:type="dxa"/>
            </w:tcMar>
            <w:vAlign w:val="center"/>
          </w:tcPr>
          <w:p w14:paraId="5AEF3694">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现状监测值</w:t>
            </w:r>
          </w:p>
        </w:tc>
        <w:tc>
          <w:tcPr>
            <w:tcW w:w="805" w:type="pct"/>
            <w:gridSpan w:val="2"/>
            <w:tcBorders>
              <w:tl2br w:val="nil"/>
              <w:tr2bl w:val="nil"/>
            </w:tcBorders>
            <w:tcMar>
              <w:left w:w="0" w:type="dxa"/>
              <w:right w:w="0" w:type="dxa"/>
            </w:tcMar>
            <w:vAlign w:val="center"/>
          </w:tcPr>
          <w:p w14:paraId="20880421">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贡献值</w:t>
            </w:r>
          </w:p>
        </w:tc>
        <w:tc>
          <w:tcPr>
            <w:tcW w:w="992" w:type="pct"/>
            <w:gridSpan w:val="2"/>
            <w:tcBorders>
              <w:tl2br w:val="nil"/>
              <w:tr2bl w:val="nil"/>
            </w:tcBorders>
            <w:tcMar>
              <w:left w:w="0" w:type="dxa"/>
              <w:right w:w="0" w:type="dxa"/>
            </w:tcMar>
            <w:vAlign w:val="center"/>
          </w:tcPr>
          <w:p w14:paraId="5409483A">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叠加预测值</w:t>
            </w:r>
          </w:p>
        </w:tc>
        <w:tc>
          <w:tcPr>
            <w:tcW w:w="805" w:type="pct"/>
            <w:gridSpan w:val="2"/>
            <w:tcBorders>
              <w:tl2br w:val="nil"/>
              <w:tr2bl w:val="nil"/>
            </w:tcBorders>
            <w:tcMar>
              <w:left w:w="0" w:type="dxa"/>
              <w:right w:w="0" w:type="dxa"/>
            </w:tcMar>
            <w:vAlign w:val="center"/>
          </w:tcPr>
          <w:p w14:paraId="389B92DA">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执行标准</w:t>
            </w:r>
          </w:p>
        </w:tc>
        <w:tc>
          <w:tcPr>
            <w:tcW w:w="805" w:type="pct"/>
            <w:gridSpan w:val="2"/>
            <w:tcBorders>
              <w:tl2br w:val="nil"/>
              <w:tr2bl w:val="nil"/>
            </w:tcBorders>
            <w:tcMar>
              <w:left w:w="0" w:type="dxa"/>
              <w:right w:w="0" w:type="dxa"/>
            </w:tcMar>
            <w:vAlign w:val="center"/>
          </w:tcPr>
          <w:p w14:paraId="6456AA5C">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达标情况</w:t>
            </w:r>
          </w:p>
        </w:tc>
      </w:tr>
      <w:tr w14:paraId="32B5E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tcBorders>
              <w:tl2br w:val="nil"/>
              <w:tr2bl w:val="nil"/>
            </w:tcBorders>
            <w:tcMar>
              <w:left w:w="0" w:type="dxa"/>
              <w:right w:w="0" w:type="dxa"/>
            </w:tcMar>
            <w:vAlign w:val="center"/>
          </w:tcPr>
          <w:p w14:paraId="3E685EBF">
            <w:pPr>
              <w:pStyle w:val="10"/>
              <w:adjustRightInd w:val="0"/>
              <w:ind w:firstLine="0"/>
              <w:jc w:val="center"/>
              <w:rPr>
                <w:rFonts w:hint="default" w:ascii="Times New Roman" w:hAnsi="Times New Roman" w:cs="Times New Roman"/>
                <w:color w:val="auto"/>
                <w:szCs w:val="21"/>
              </w:rPr>
            </w:pPr>
          </w:p>
        </w:tc>
        <w:tc>
          <w:tcPr>
            <w:tcW w:w="496" w:type="pct"/>
            <w:tcBorders>
              <w:tl2br w:val="nil"/>
              <w:tr2bl w:val="nil"/>
            </w:tcBorders>
            <w:tcMar>
              <w:left w:w="0" w:type="dxa"/>
              <w:right w:w="0" w:type="dxa"/>
            </w:tcMar>
            <w:vAlign w:val="center"/>
          </w:tcPr>
          <w:p w14:paraId="6267AC02">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昼间</w:t>
            </w:r>
          </w:p>
        </w:tc>
        <w:tc>
          <w:tcPr>
            <w:tcW w:w="496" w:type="pct"/>
            <w:tcBorders>
              <w:tl2br w:val="nil"/>
              <w:tr2bl w:val="nil"/>
            </w:tcBorders>
            <w:tcMar>
              <w:left w:w="0" w:type="dxa"/>
              <w:right w:w="0" w:type="dxa"/>
            </w:tcMar>
            <w:vAlign w:val="center"/>
          </w:tcPr>
          <w:p w14:paraId="46E033AF">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夜间</w:t>
            </w:r>
          </w:p>
        </w:tc>
        <w:tc>
          <w:tcPr>
            <w:tcW w:w="402" w:type="pct"/>
            <w:tcBorders>
              <w:tl2br w:val="nil"/>
              <w:tr2bl w:val="nil"/>
            </w:tcBorders>
            <w:tcMar>
              <w:left w:w="0" w:type="dxa"/>
              <w:right w:w="0" w:type="dxa"/>
            </w:tcMar>
            <w:vAlign w:val="center"/>
          </w:tcPr>
          <w:p w14:paraId="3674E45A">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昼间</w:t>
            </w:r>
          </w:p>
        </w:tc>
        <w:tc>
          <w:tcPr>
            <w:tcW w:w="402" w:type="pct"/>
            <w:tcBorders>
              <w:tl2br w:val="nil"/>
              <w:tr2bl w:val="nil"/>
            </w:tcBorders>
            <w:tcMar>
              <w:left w:w="0" w:type="dxa"/>
              <w:right w:w="0" w:type="dxa"/>
            </w:tcMar>
            <w:vAlign w:val="center"/>
          </w:tcPr>
          <w:p w14:paraId="7F06AA82">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夜间</w:t>
            </w:r>
          </w:p>
        </w:tc>
        <w:tc>
          <w:tcPr>
            <w:tcW w:w="496" w:type="pct"/>
            <w:tcBorders>
              <w:tl2br w:val="nil"/>
              <w:tr2bl w:val="nil"/>
            </w:tcBorders>
            <w:tcMar>
              <w:left w:w="0" w:type="dxa"/>
              <w:right w:w="0" w:type="dxa"/>
            </w:tcMar>
            <w:vAlign w:val="center"/>
          </w:tcPr>
          <w:p w14:paraId="045CA355">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昼间</w:t>
            </w:r>
          </w:p>
        </w:tc>
        <w:tc>
          <w:tcPr>
            <w:tcW w:w="496" w:type="pct"/>
            <w:tcBorders>
              <w:tl2br w:val="nil"/>
              <w:tr2bl w:val="nil"/>
            </w:tcBorders>
            <w:tcMar>
              <w:left w:w="0" w:type="dxa"/>
              <w:right w:w="0" w:type="dxa"/>
            </w:tcMar>
            <w:vAlign w:val="center"/>
          </w:tcPr>
          <w:p w14:paraId="04321B2A">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夜间</w:t>
            </w:r>
          </w:p>
        </w:tc>
        <w:tc>
          <w:tcPr>
            <w:tcW w:w="402" w:type="pct"/>
            <w:tcBorders>
              <w:tl2br w:val="nil"/>
              <w:tr2bl w:val="nil"/>
            </w:tcBorders>
            <w:tcMar>
              <w:left w:w="0" w:type="dxa"/>
              <w:right w:w="0" w:type="dxa"/>
            </w:tcMar>
            <w:vAlign w:val="center"/>
          </w:tcPr>
          <w:p w14:paraId="7C243FCA">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昼间</w:t>
            </w:r>
          </w:p>
        </w:tc>
        <w:tc>
          <w:tcPr>
            <w:tcW w:w="402" w:type="pct"/>
            <w:tcBorders>
              <w:tl2br w:val="nil"/>
              <w:tr2bl w:val="nil"/>
            </w:tcBorders>
            <w:tcMar>
              <w:left w:w="0" w:type="dxa"/>
              <w:right w:w="0" w:type="dxa"/>
            </w:tcMar>
            <w:vAlign w:val="center"/>
          </w:tcPr>
          <w:p w14:paraId="797A856F">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夜间</w:t>
            </w:r>
          </w:p>
        </w:tc>
        <w:tc>
          <w:tcPr>
            <w:tcW w:w="402" w:type="pct"/>
            <w:tcBorders>
              <w:tl2br w:val="nil"/>
              <w:tr2bl w:val="nil"/>
            </w:tcBorders>
            <w:tcMar>
              <w:left w:w="0" w:type="dxa"/>
              <w:right w:w="0" w:type="dxa"/>
            </w:tcMar>
            <w:vAlign w:val="center"/>
          </w:tcPr>
          <w:p w14:paraId="3AA32DC2">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昼间</w:t>
            </w:r>
          </w:p>
        </w:tc>
        <w:tc>
          <w:tcPr>
            <w:tcW w:w="402" w:type="pct"/>
            <w:tcBorders>
              <w:tl2br w:val="nil"/>
              <w:tr2bl w:val="nil"/>
            </w:tcBorders>
            <w:tcMar>
              <w:left w:w="0" w:type="dxa"/>
              <w:right w:w="0" w:type="dxa"/>
            </w:tcMar>
            <w:vAlign w:val="center"/>
          </w:tcPr>
          <w:p w14:paraId="53AFDC9B">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夜间</w:t>
            </w:r>
          </w:p>
        </w:tc>
      </w:tr>
      <w:tr w14:paraId="336DC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tcBorders>
              <w:tl2br w:val="nil"/>
              <w:tr2bl w:val="nil"/>
            </w:tcBorders>
            <w:tcMar>
              <w:left w:w="0" w:type="dxa"/>
              <w:right w:w="0" w:type="dxa"/>
            </w:tcMar>
            <w:vAlign w:val="center"/>
          </w:tcPr>
          <w:p w14:paraId="636E574F">
            <w:pPr>
              <w:widowControl/>
              <w:jc w:val="center"/>
              <w:rPr>
                <w:rFonts w:hint="default" w:ascii="Times New Roman" w:hAnsi="Times New Roman" w:cs="Times New Roman"/>
                <w:color w:val="auto"/>
                <w:szCs w:val="21"/>
              </w:rPr>
            </w:pPr>
            <w:r>
              <w:rPr>
                <w:rFonts w:hint="default" w:ascii="Times New Roman" w:hAnsi="Times New Roman" w:cs="Times New Roman"/>
                <w:bCs/>
                <w:color w:val="auto"/>
                <w:szCs w:val="21"/>
              </w:rPr>
              <w:t>东</w:t>
            </w:r>
            <w:r>
              <w:rPr>
                <w:rFonts w:hint="default" w:ascii="Times New Roman" w:hAnsi="Times New Roman" w:cs="Times New Roman"/>
                <w:color w:val="auto"/>
                <w:szCs w:val="21"/>
              </w:rPr>
              <w:t>厂界</w:t>
            </w:r>
          </w:p>
        </w:tc>
        <w:tc>
          <w:tcPr>
            <w:tcW w:w="496" w:type="pct"/>
            <w:tcBorders>
              <w:tl2br w:val="nil"/>
              <w:tr2bl w:val="nil"/>
            </w:tcBorders>
            <w:tcMar>
              <w:left w:w="0" w:type="dxa"/>
              <w:right w:w="0" w:type="dxa"/>
            </w:tcMar>
            <w:vAlign w:val="center"/>
          </w:tcPr>
          <w:p w14:paraId="7DBD8C80">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58.6</w:t>
            </w:r>
          </w:p>
        </w:tc>
        <w:tc>
          <w:tcPr>
            <w:tcW w:w="496" w:type="pct"/>
            <w:tcBorders>
              <w:tl2br w:val="nil"/>
              <w:tr2bl w:val="nil"/>
            </w:tcBorders>
            <w:tcMar>
              <w:left w:w="0" w:type="dxa"/>
              <w:right w:w="0" w:type="dxa"/>
            </w:tcMar>
            <w:vAlign w:val="center"/>
          </w:tcPr>
          <w:p w14:paraId="47B09634">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54.3</w:t>
            </w:r>
          </w:p>
        </w:tc>
        <w:tc>
          <w:tcPr>
            <w:tcW w:w="402" w:type="pct"/>
            <w:tcBorders>
              <w:tl2br w:val="nil"/>
              <w:tr2bl w:val="nil"/>
            </w:tcBorders>
            <w:tcMar>
              <w:left w:w="0" w:type="dxa"/>
              <w:right w:w="0" w:type="dxa"/>
            </w:tcMar>
            <w:vAlign w:val="center"/>
          </w:tcPr>
          <w:p w14:paraId="1FFB67B0">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46.5</w:t>
            </w:r>
          </w:p>
        </w:tc>
        <w:tc>
          <w:tcPr>
            <w:tcW w:w="402" w:type="pct"/>
            <w:tcBorders>
              <w:tl2br w:val="nil"/>
              <w:tr2bl w:val="nil"/>
            </w:tcBorders>
            <w:tcMar>
              <w:left w:w="0" w:type="dxa"/>
              <w:right w:w="0" w:type="dxa"/>
            </w:tcMar>
            <w:vAlign w:val="center"/>
          </w:tcPr>
          <w:p w14:paraId="706BEE36">
            <w:pPr>
              <w:pStyle w:val="87"/>
              <w:adjustRightInd w:val="0"/>
              <w:snapToGrid w:val="0"/>
              <w:rPr>
                <w:rFonts w:hint="default" w:ascii="Times New Roman" w:hAnsi="Times New Roman" w:cs="Times New Roman"/>
                <w:color w:val="auto"/>
              </w:rPr>
            </w:pPr>
            <w:bookmarkStart w:id="242" w:name="OLE_LINK13"/>
            <w:r>
              <w:rPr>
                <w:rFonts w:hint="default" w:ascii="Times New Roman" w:hAnsi="Times New Roman" w:cs="Times New Roman"/>
                <w:color w:val="auto"/>
              </w:rPr>
              <w:t>46.5</w:t>
            </w:r>
            <w:bookmarkEnd w:id="242"/>
          </w:p>
        </w:tc>
        <w:tc>
          <w:tcPr>
            <w:tcW w:w="496" w:type="pct"/>
            <w:tcBorders>
              <w:tl2br w:val="nil"/>
              <w:tr2bl w:val="nil"/>
            </w:tcBorders>
            <w:tcMar>
              <w:left w:w="0" w:type="dxa"/>
              <w:right w:w="0" w:type="dxa"/>
            </w:tcMar>
            <w:vAlign w:val="center"/>
          </w:tcPr>
          <w:p w14:paraId="78A1D688">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58.9</w:t>
            </w:r>
          </w:p>
        </w:tc>
        <w:tc>
          <w:tcPr>
            <w:tcW w:w="496" w:type="pct"/>
            <w:tcBorders>
              <w:tl2br w:val="nil"/>
              <w:tr2bl w:val="nil"/>
            </w:tcBorders>
            <w:tcMar>
              <w:left w:w="0" w:type="dxa"/>
              <w:right w:w="0" w:type="dxa"/>
            </w:tcMar>
            <w:vAlign w:val="center"/>
          </w:tcPr>
          <w:p w14:paraId="7E8DBA44">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46.5</w:t>
            </w:r>
          </w:p>
        </w:tc>
        <w:tc>
          <w:tcPr>
            <w:tcW w:w="402" w:type="pct"/>
            <w:tcBorders>
              <w:tl2br w:val="nil"/>
              <w:tr2bl w:val="nil"/>
            </w:tcBorders>
            <w:tcMar>
              <w:left w:w="0" w:type="dxa"/>
              <w:right w:w="0" w:type="dxa"/>
            </w:tcMar>
            <w:vAlign w:val="center"/>
          </w:tcPr>
          <w:p w14:paraId="773ECE39">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65</w:t>
            </w:r>
          </w:p>
        </w:tc>
        <w:tc>
          <w:tcPr>
            <w:tcW w:w="402" w:type="pct"/>
            <w:tcBorders>
              <w:tl2br w:val="nil"/>
              <w:tr2bl w:val="nil"/>
            </w:tcBorders>
            <w:tcMar>
              <w:left w:w="0" w:type="dxa"/>
              <w:right w:w="0" w:type="dxa"/>
            </w:tcMar>
            <w:vAlign w:val="center"/>
          </w:tcPr>
          <w:p w14:paraId="0244AB5A">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55</w:t>
            </w:r>
          </w:p>
        </w:tc>
        <w:tc>
          <w:tcPr>
            <w:tcW w:w="402" w:type="pct"/>
            <w:tcBorders>
              <w:tl2br w:val="nil"/>
              <w:tr2bl w:val="nil"/>
            </w:tcBorders>
            <w:tcMar>
              <w:left w:w="0" w:type="dxa"/>
              <w:right w:w="0" w:type="dxa"/>
            </w:tcMar>
            <w:vAlign w:val="center"/>
          </w:tcPr>
          <w:p w14:paraId="747296B4">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c>
          <w:tcPr>
            <w:tcW w:w="402" w:type="pct"/>
            <w:tcBorders>
              <w:tl2br w:val="nil"/>
              <w:tr2bl w:val="nil"/>
            </w:tcBorders>
            <w:tcMar>
              <w:left w:w="0" w:type="dxa"/>
              <w:right w:w="0" w:type="dxa"/>
            </w:tcMar>
            <w:vAlign w:val="center"/>
          </w:tcPr>
          <w:p w14:paraId="1CC55E6F">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14:paraId="437C4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tcBorders>
              <w:tl2br w:val="nil"/>
              <w:tr2bl w:val="nil"/>
            </w:tcBorders>
            <w:tcMar>
              <w:left w:w="0" w:type="dxa"/>
              <w:right w:w="0" w:type="dxa"/>
            </w:tcMar>
            <w:vAlign w:val="center"/>
          </w:tcPr>
          <w:p w14:paraId="1B20D994">
            <w:pPr>
              <w:widowControl/>
              <w:jc w:val="center"/>
              <w:rPr>
                <w:rFonts w:hint="default" w:ascii="Times New Roman" w:hAnsi="Times New Roman" w:cs="Times New Roman"/>
                <w:color w:val="auto"/>
                <w:szCs w:val="21"/>
              </w:rPr>
            </w:pPr>
            <w:r>
              <w:rPr>
                <w:rFonts w:hint="default" w:ascii="Times New Roman" w:hAnsi="Times New Roman" w:cs="Times New Roman"/>
                <w:bCs/>
                <w:color w:val="auto"/>
                <w:szCs w:val="21"/>
              </w:rPr>
              <w:t>南</w:t>
            </w:r>
            <w:r>
              <w:rPr>
                <w:rFonts w:hint="default" w:ascii="Times New Roman" w:hAnsi="Times New Roman" w:cs="Times New Roman"/>
                <w:color w:val="auto"/>
                <w:szCs w:val="21"/>
              </w:rPr>
              <w:t>厂界</w:t>
            </w:r>
          </w:p>
        </w:tc>
        <w:tc>
          <w:tcPr>
            <w:tcW w:w="496" w:type="pct"/>
            <w:tcBorders>
              <w:tl2br w:val="nil"/>
              <w:tr2bl w:val="nil"/>
            </w:tcBorders>
            <w:tcMar>
              <w:left w:w="0" w:type="dxa"/>
              <w:right w:w="0" w:type="dxa"/>
            </w:tcMar>
            <w:vAlign w:val="center"/>
          </w:tcPr>
          <w:p w14:paraId="0186803D">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59.2</w:t>
            </w:r>
          </w:p>
        </w:tc>
        <w:tc>
          <w:tcPr>
            <w:tcW w:w="496" w:type="pct"/>
            <w:tcBorders>
              <w:tl2br w:val="nil"/>
              <w:tr2bl w:val="nil"/>
            </w:tcBorders>
            <w:tcMar>
              <w:left w:w="0" w:type="dxa"/>
              <w:right w:w="0" w:type="dxa"/>
            </w:tcMar>
            <w:vAlign w:val="center"/>
          </w:tcPr>
          <w:p w14:paraId="4E1BC61B">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53.7</w:t>
            </w:r>
          </w:p>
        </w:tc>
        <w:tc>
          <w:tcPr>
            <w:tcW w:w="402" w:type="pct"/>
            <w:tcBorders>
              <w:tl2br w:val="nil"/>
              <w:tr2bl w:val="nil"/>
            </w:tcBorders>
            <w:tcMar>
              <w:left w:w="0" w:type="dxa"/>
              <w:right w:w="0" w:type="dxa"/>
            </w:tcMar>
            <w:vAlign w:val="center"/>
          </w:tcPr>
          <w:p w14:paraId="3D41048D">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45.4</w:t>
            </w:r>
          </w:p>
        </w:tc>
        <w:tc>
          <w:tcPr>
            <w:tcW w:w="402" w:type="pct"/>
            <w:tcBorders>
              <w:tl2br w:val="nil"/>
              <w:tr2bl w:val="nil"/>
            </w:tcBorders>
            <w:tcMar>
              <w:left w:w="0" w:type="dxa"/>
              <w:right w:w="0" w:type="dxa"/>
            </w:tcMar>
            <w:vAlign w:val="center"/>
          </w:tcPr>
          <w:p w14:paraId="33096891">
            <w:pPr>
              <w:pStyle w:val="87"/>
              <w:adjustRightInd w:val="0"/>
              <w:snapToGrid w:val="0"/>
              <w:rPr>
                <w:rFonts w:hint="default" w:ascii="Times New Roman" w:hAnsi="Times New Roman" w:cs="Times New Roman"/>
                <w:color w:val="auto"/>
              </w:rPr>
            </w:pPr>
            <w:bookmarkStart w:id="243" w:name="OLE_LINK14"/>
            <w:r>
              <w:rPr>
                <w:rFonts w:hint="default" w:ascii="Times New Roman" w:hAnsi="Times New Roman" w:cs="Times New Roman"/>
                <w:color w:val="auto"/>
              </w:rPr>
              <w:t>45.4</w:t>
            </w:r>
            <w:bookmarkEnd w:id="243"/>
          </w:p>
        </w:tc>
        <w:tc>
          <w:tcPr>
            <w:tcW w:w="496" w:type="pct"/>
            <w:tcBorders>
              <w:tl2br w:val="nil"/>
              <w:tr2bl w:val="nil"/>
            </w:tcBorders>
            <w:tcMar>
              <w:left w:w="0" w:type="dxa"/>
              <w:right w:w="0" w:type="dxa"/>
            </w:tcMar>
            <w:vAlign w:val="center"/>
          </w:tcPr>
          <w:p w14:paraId="5BBC3B85">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59.4</w:t>
            </w:r>
          </w:p>
        </w:tc>
        <w:tc>
          <w:tcPr>
            <w:tcW w:w="496" w:type="pct"/>
            <w:tcBorders>
              <w:tl2br w:val="nil"/>
              <w:tr2bl w:val="nil"/>
            </w:tcBorders>
            <w:tcMar>
              <w:left w:w="0" w:type="dxa"/>
              <w:right w:w="0" w:type="dxa"/>
            </w:tcMar>
            <w:vAlign w:val="center"/>
          </w:tcPr>
          <w:p w14:paraId="72C13F9A">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54.3</w:t>
            </w:r>
          </w:p>
        </w:tc>
        <w:tc>
          <w:tcPr>
            <w:tcW w:w="402" w:type="pct"/>
            <w:tcBorders>
              <w:tl2br w:val="nil"/>
              <w:tr2bl w:val="nil"/>
            </w:tcBorders>
            <w:tcMar>
              <w:left w:w="0" w:type="dxa"/>
              <w:right w:w="0" w:type="dxa"/>
            </w:tcMar>
            <w:vAlign w:val="center"/>
          </w:tcPr>
          <w:p w14:paraId="7EB57BC1">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65</w:t>
            </w:r>
          </w:p>
        </w:tc>
        <w:tc>
          <w:tcPr>
            <w:tcW w:w="402" w:type="pct"/>
            <w:tcBorders>
              <w:tl2br w:val="nil"/>
              <w:tr2bl w:val="nil"/>
            </w:tcBorders>
            <w:tcMar>
              <w:left w:w="0" w:type="dxa"/>
              <w:right w:w="0" w:type="dxa"/>
            </w:tcMar>
            <w:vAlign w:val="center"/>
          </w:tcPr>
          <w:p w14:paraId="049C861F">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55</w:t>
            </w:r>
          </w:p>
        </w:tc>
        <w:tc>
          <w:tcPr>
            <w:tcW w:w="402" w:type="pct"/>
            <w:tcBorders>
              <w:tl2br w:val="nil"/>
              <w:tr2bl w:val="nil"/>
            </w:tcBorders>
            <w:tcMar>
              <w:left w:w="0" w:type="dxa"/>
              <w:right w:w="0" w:type="dxa"/>
            </w:tcMar>
            <w:vAlign w:val="center"/>
          </w:tcPr>
          <w:p w14:paraId="336FB6CF">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c>
          <w:tcPr>
            <w:tcW w:w="402" w:type="pct"/>
            <w:tcBorders>
              <w:tl2br w:val="nil"/>
              <w:tr2bl w:val="nil"/>
            </w:tcBorders>
            <w:tcMar>
              <w:left w:w="0" w:type="dxa"/>
              <w:right w:w="0" w:type="dxa"/>
            </w:tcMar>
            <w:vAlign w:val="center"/>
          </w:tcPr>
          <w:p w14:paraId="50DCCE75">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14:paraId="6A2C7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tcBorders>
              <w:tl2br w:val="nil"/>
              <w:tr2bl w:val="nil"/>
            </w:tcBorders>
            <w:tcMar>
              <w:left w:w="0" w:type="dxa"/>
              <w:right w:w="0" w:type="dxa"/>
            </w:tcMar>
            <w:vAlign w:val="center"/>
          </w:tcPr>
          <w:p w14:paraId="57C7C79F">
            <w:pPr>
              <w:widowControl/>
              <w:jc w:val="center"/>
              <w:rPr>
                <w:rFonts w:hint="default" w:ascii="Times New Roman" w:hAnsi="Times New Roman" w:cs="Times New Roman"/>
                <w:color w:val="auto"/>
                <w:szCs w:val="21"/>
              </w:rPr>
            </w:pPr>
            <w:r>
              <w:rPr>
                <w:rFonts w:hint="default" w:ascii="Times New Roman" w:hAnsi="Times New Roman" w:cs="Times New Roman"/>
                <w:bCs/>
                <w:color w:val="auto"/>
                <w:szCs w:val="21"/>
              </w:rPr>
              <w:t>西</w:t>
            </w:r>
            <w:r>
              <w:rPr>
                <w:rFonts w:hint="default" w:ascii="Times New Roman" w:hAnsi="Times New Roman" w:cs="Times New Roman"/>
                <w:color w:val="auto"/>
                <w:szCs w:val="21"/>
              </w:rPr>
              <w:t>厂界</w:t>
            </w:r>
          </w:p>
        </w:tc>
        <w:tc>
          <w:tcPr>
            <w:tcW w:w="496" w:type="pct"/>
            <w:tcBorders>
              <w:tl2br w:val="nil"/>
              <w:tr2bl w:val="nil"/>
            </w:tcBorders>
            <w:tcMar>
              <w:left w:w="0" w:type="dxa"/>
              <w:right w:w="0" w:type="dxa"/>
            </w:tcMar>
            <w:vAlign w:val="center"/>
          </w:tcPr>
          <w:p w14:paraId="264FF643">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56.0</w:t>
            </w:r>
          </w:p>
        </w:tc>
        <w:tc>
          <w:tcPr>
            <w:tcW w:w="496" w:type="pct"/>
            <w:tcBorders>
              <w:tl2br w:val="nil"/>
              <w:tr2bl w:val="nil"/>
            </w:tcBorders>
            <w:tcMar>
              <w:left w:w="0" w:type="dxa"/>
              <w:right w:w="0" w:type="dxa"/>
            </w:tcMar>
            <w:vAlign w:val="center"/>
          </w:tcPr>
          <w:p w14:paraId="6647BBE3">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53.6</w:t>
            </w:r>
          </w:p>
        </w:tc>
        <w:tc>
          <w:tcPr>
            <w:tcW w:w="402" w:type="pct"/>
            <w:tcBorders>
              <w:tl2br w:val="nil"/>
              <w:tr2bl w:val="nil"/>
            </w:tcBorders>
            <w:tcMar>
              <w:left w:w="0" w:type="dxa"/>
              <w:right w:w="0" w:type="dxa"/>
            </w:tcMar>
            <w:vAlign w:val="center"/>
          </w:tcPr>
          <w:p w14:paraId="2364FAAD">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44.7</w:t>
            </w:r>
          </w:p>
        </w:tc>
        <w:tc>
          <w:tcPr>
            <w:tcW w:w="402" w:type="pct"/>
            <w:tcBorders>
              <w:tl2br w:val="nil"/>
              <w:tr2bl w:val="nil"/>
            </w:tcBorders>
            <w:tcMar>
              <w:left w:w="0" w:type="dxa"/>
              <w:right w:w="0" w:type="dxa"/>
            </w:tcMar>
            <w:vAlign w:val="center"/>
          </w:tcPr>
          <w:p w14:paraId="62EB353E">
            <w:pPr>
              <w:pStyle w:val="87"/>
              <w:adjustRightInd w:val="0"/>
              <w:snapToGrid w:val="0"/>
              <w:rPr>
                <w:rFonts w:hint="default" w:ascii="Times New Roman" w:hAnsi="Times New Roman" w:cs="Times New Roman"/>
                <w:color w:val="auto"/>
              </w:rPr>
            </w:pPr>
            <w:bookmarkStart w:id="244" w:name="OLE_LINK16"/>
            <w:r>
              <w:rPr>
                <w:rFonts w:hint="default" w:ascii="Times New Roman" w:hAnsi="Times New Roman" w:cs="Times New Roman"/>
                <w:color w:val="auto"/>
              </w:rPr>
              <w:t>44.7</w:t>
            </w:r>
            <w:bookmarkEnd w:id="244"/>
          </w:p>
        </w:tc>
        <w:tc>
          <w:tcPr>
            <w:tcW w:w="496" w:type="pct"/>
            <w:tcBorders>
              <w:tl2br w:val="nil"/>
              <w:tr2bl w:val="nil"/>
            </w:tcBorders>
            <w:tcMar>
              <w:left w:w="0" w:type="dxa"/>
              <w:right w:w="0" w:type="dxa"/>
            </w:tcMar>
            <w:vAlign w:val="center"/>
          </w:tcPr>
          <w:p w14:paraId="3CE069ED">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56.3</w:t>
            </w:r>
          </w:p>
        </w:tc>
        <w:tc>
          <w:tcPr>
            <w:tcW w:w="496" w:type="pct"/>
            <w:tcBorders>
              <w:tl2br w:val="nil"/>
              <w:tr2bl w:val="nil"/>
            </w:tcBorders>
            <w:tcMar>
              <w:left w:w="0" w:type="dxa"/>
              <w:right w:w="0" w:type="dxa"/>
            </w:tcMar>
            <w:vAlign w:val="center"/>
          </w:tcPr>
          <w:p w14:paraId="27AABD9C">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54.1</w:t>
            </w:r>
          </w:p>
        </w:tc>
        <w:tc>
          <w:tcPr>
            <w:tcW w:w="402" w:type="pct"/>
            <w:tcBorders>
              <w:tl2br w:val="nil"/>
              <w:tr2bl w:val="nil"/>
            </w:tcBorders>
            <w:tcMar>
              <w:left w:w="0" w:type="dxa"/>
              <w:right w:w="0" w:type="dxa"/>
            </w:tcMar>
            <w:vAlign w:val="center"/>
          </w:tcPr>
          <w:p w14:paraId="1BCEC886">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65</w:t>
            </w:r>
          </w:p>
        </w:tc>
        <w:tc>
          <w:tcPr>
            <w:tcW w:w="402" w:type="pct"/>
            <w:tcBorders>
              <w:tl2br w:val="nil"/>
              <w:tr2bl w:val="nil"/>
            </w:tcBorders>
            <w:tcMar>
              <w:left w:w="0" w:type="dxa"/>
              <w:right w:w="0" w:type="dxa"/>
            </w:tcMar>
            <w:vAlign w:val="center"/>
          </w:tcPr>
          <w:p w14:paraId="08A07368">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55</w:t>
            </w:r>
          </w:p>
        </w:tc>
        <w:tc>
          <w:tcPr>
            <w:tcW w:w="402" w:type="pct"/>
            <w:tcBorders>
              <w:tl2br w:val="nil"/>
              <w:tr2bl w:val="nil"/>
            </w:tcBorders>
            <w:tcMar>
              <w:left w:w="0" w:type="dxa"/>
              <w:right w:w="0" w:type="dxa"/>
            </w:tcMar>
            <w:vAlign w:val="center"/>
          </w:tcPr>
          <w:p w14:paraId="381F6065">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c>
          <w:tcPr>
            <w:tcW w:w="402" w:type="pct"/>
            <w:tcBorders>
              <w:tl2br w:val="nil"/>
              <w:tr2bl w:val="nil"/>
            </w:tcBorders>
            <w:tcMar>
              <w:left w:w="0" w:type="dxa"/>
              <w:right w:w="0" w:type="dxa"/>
            </w:tcMar>
            <w:vAlign w:val="center"/>
          </w:tcPr>
          <w:p w14:paraId="76B19A0E">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14:paraId="04119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tcBorders>
              <w:tl2br w:val="nil"/>
              <w:tr2bl w:val="nil"/>
            </w:tcBorders>
            <w:tcMar>
              <w:left w:w="0" w:type="dxa"/>
              <w:right w:w="0" w:type="dxa"/>
            </w:tcMar>
            <w:vAlign w:val="center"/>
          </w:tcPr>
          <w:p w14:paraId="595E683A">
            <w:pPr>
              <w:widowControl/>
              <w:jc w:val="center"/>
              <w:rPr>
                <w:rFonts w:hint="default" w:ascii="Times New Roman" w:hAnsi="Times New Roman" w:cs="Times New Roman"/>
                <w:color w:val="auto"/>
                <w:szCs w:val="21"/>
              </w:rPr>
            </w:pPr>
            <w:r>
              <w:rPr>
                <w:rFonts w:hint="default" w:ascii="Times New Roman" w:hAnsi="Times New Roman" w:cs="Times New Roman"/>
                <w:bCs/>
                <w:color w:val="auto"/>
                <w:szCs w:val="21"/>
              </w:rPr>
              <w:t>北</w:t>
            </w:r>
            <w:r>
              <w:rPr>
                <w:rFonts w:hint="default" w:ascii="Times New Roman" w:hAnsi="Times New Roman" w:cs="Times New Roman"/>
                <w:color w:val="auto"/>
                <w:szCs w:val="21"/>
              </w:rPr>
              <w:t>厂界</w:t>
            </w:r>
          </w:p>
        </w:tc>
        <w:tc>
          <w:tcPr>
            <w:tcW w:w="496" w:type="pct"/>
            <w:tcBorders>
              <w:tl2br w:val="nil"/>
              <w:tr2bl w:val="nil"/>
            </w:tcBorders>
            <w:tcMar>
              <w:left w:w="0" w:type="dxa"/>
              <w:right w:w="0" w:type="dxa"/>
            </w:tcMar>
            <w:vAlign w:val="center"/>
          </w:tcPr>
          <w:p w14:paraId="49489AFF">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58.7</w:t>
            </w:r>
          </w:p>
        </w:tc>
        <w:tc>
          <w:tcPr>
            <w:tcW w:w="496" w:type="pct"/>
            <w:tcBorders>
              <w:tl2br w:val="nil"/>
              <w:tr2bl w:val="nil"/>
            </w:tcBorders>
            <w:tcMar>
              <w:left w:w="0" w:type="dxa"/>
              <w:right w:w="0" w:type="dxa"/>
            </w:tcMar>
            <w:vAlign w:val="center"/>
          </w:tcPr>
          <w:p w14:paraId="074DDB56">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54.1</w:t>
            </w:r>
          </w:p>
        </w:tc>
        <w:tc>
          <w:tcPr>
            <w:tcW w:w="402" w:type="pct"/>
            <w:tcBorders>
              <w:tl2br w:val="nil"/>
              <w:tr2bl w:val="nil"/>
            </w:tcBorders>
            <w:tcMar>
              <w:left w:w="0" w:type="dxa"/>
              <w:right w:w="0" w:type="dxa"/>
            </w:tcMar>
            <w:vAlign w:val="center"/>
          </w:tcPr>
          <w:p w14:paraId="383DAA2C">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45.6</w:t>
            </w:r>
          </w:p>
        </w:tc>
        <w:tc>
          <w:tcPr>
            <w:tcW w:w="402" w:type="pct"/>
            <w:tcBorders>
              <w:tl2br w:val="nil"/>
              <w:tr2bl w:val="nil"/>
            </w:tcBorders>
            <w:tcMar>
              <w:left w:w="0" w:type="dxa"/>
              <w:right w:w="0" w:type="dxa"/>
            </w:tcMar>
            <w:vAlign w:val="center"/>
          </w:tcPr>
          <w:p w14:paraId="08992244">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45.6</w:t>
            </w:r>
          </w:p>
        </w:tc>
        <w:tc>
          <w:tcPr>
            <w:tcW w:w="496" w:type="pct"/>
            <w:tcBorders>
              <w:tl2br w:val="nil"/>
              <w:tr2bl w:val="nil"/>
            </w:tcBorders>
            <w:tcMar>
              <w:left w:w="0" w:type="dxa"/>
              <w:right w:w="0" w:type="dxa"/>
            </w:tcMar>
            <w:vAlign w:val="center"/>
          </w:tcPr>
          <w:p w14:paraId="15EEC762">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58.9</w:t>
            </w:r>
          </w:p>
        </w:tc>
        <w:tc>
          <w:tcPr>
            <w:tcW w:w="496" w:type="pct"/>
            <w:tcBorders>
              <w:tl2br w:val="nil"/>
              <w:tr2bl w:val="nil"/>
            </w:tcBorders>
            <w:tcMar>
              <w:left w:w="0" w:type="dxa"/>
              <w:right w:w="0" w:type="dxa"/>
            </w:tcMar>
            <w:vAlign w:val="center"/>
          </w:tcPr>
          <w:p w14:paraId="27F9FB5D">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54.7</w:t>
            </w:r>
          </w:p>
        </w:tc>
        <w:tc>
          <w:tcPr>
            <w:tcW w:w="402" w:type="pct"/>
            <w:tcBorders>
              <w:tl2br w:val="nil"/>
              <w:tr2bl w:val="nil"/>
            </w:tcBorders>
            <w:tcMar>
              <w:left w:w="0" w:type="dxa"/>
              <w:right w:w="0" w:type="dxa"/>
            </w:tcMar>
            <w:vAlign w:val="center"/>
          </w:tcPr>
          <w:p w14:paraId="05075389">
            <w:pPr>
              <w:pStyle w:val="87"/>
              <w:adjustRightInd w:val="0"/>
              <w:snapToGrid w:val="0"/>
              <w:rPr>
                <w:rFonts w:hint="default" w:ascii="Times New Roman" w:hAnsi="Times New Roman" w:cs="Times New Roman"/>
                <w:color w:val="auto"/>
              </w:rPr>
            </w:pPr>
            <w:r>
              <w:rPr>
                <w:rFonts w:hint="default" w:ascii="Times New Roman" w:hAnsi="Times New Roman" w:cs="Times New Roman"/>
                <w:color w:val="auto"/>
              </w:rPr>
              <w:t>65</w:t>
            </w:r>
          </w:p>
        </w:tc>
        <w:tc>
          <w:tcPr>
            <w:tcW w:w="402" w:type="pct"/>
            <w:tcBorders>
              <w:tl2br w:val="nil"/>
              <w:tr2bl w:val="nil"/>
            </w:tcBorders>
            <w:tcMar>
              <w:left w:w="0" w:type="dxa"/>
              <w:right w:w="0" w:type="dxa"/>
            </w:tcMar>
            <w:vAlign w:val="center"/>
          </w:tcPr>
          <w:p w14:paraId="7D9DEE53">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55</w:t>
            </w:r>
          </w:p>
        </w:tc>
        <w:tc>
          <w:tcPr>
            <w:tcW w:w="402" w:type="pct"/>
            <w:tcBorders>
              <w:tl2br w:val="nil"/>
              <w:tr2bl w:val="nil"/>
            </w:tcBorders>
            <w:tcMar>
              <w:left w:w="0" w:type="dxa"/>
              <w:right w:w="0" w:type="dxa"/>
            </w:tcMar>
            <w:vAlign w:val="center"/>
          </w:tcPr>
          <w:p w14:paraId="25FED302">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c>
          <w:tcPr>
            <w:tcW w:w="402" w:type="pct"/>
            <w:tcBorders>
              <w:tl2br w:val="nil"/>
              <w:tr2bl w:val="nil"/>
            </w:tcBorders>
            <w:tcMar>
              <w:left w:w="0" w:type="dxa"/>
              <w:right w:w="0" w:type="dxa"/>
            </w:tcMar>
            <w:vAlign w:val="center"/>
          </w:tcPr>
          <w:p w14:paraId="282B2A16">
            <w:pPr>
              <w:pStyle w:val="10"/>
              <w:adjustRightInd w:val="0"/>
              <w:ind w:firstLine="0"/>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bl>
    <w:p w14:paraId="7B880581">
      <w:pPr>
        <w:rPr>
          <w:rFonts w:hint="default" w:ascii="Times New Roman" w:hAnsi="Times New Roman" w:cs="Times New Roman"/>
          <w:b/>
          <w:bCs/>
          <w:color w:val="auto"/>
          <w:sz w:val="24"/>
        </w:rPr>
      </w:pPr>
    </w:p>
    <w:p w14:paraId="403C5C4E">
      <w:pPr>
        <w:pStyle w:val="14"/>
        <w:rPr>
          <w:rFonts w:hint="default" w:ascii="Times New Roman" w:hAnsi="Times New Roman" w:cs="Times New Roman"/>
          <w:color w:val="auto"/>
        </w:rPr>
      </w:pPr>
    </w:p>
    <w:p w14:paraId="15FD7C62">
      <w:pPr>
        <w:pStyle w:val="2"/>
        <w:ind w:firstLine="0" w:firstLineChars="0"/>
        <w:rPr>
          <w:rFonts w:hint="default" w:ascii="Times New Roman" w:hAnsi="Times New Roman" w:cs="Times New Roman"/>
          <w:color w:val="auto"/>
        </w:rPr>
        <w:sectPr>
          <w:pgSz w:w="16838" w:h="11905" w:orient="landscape"/>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6"/>
        <w:gridCol w:w="8891"/>
      </w:tblGrid>
      <w:tr w14:paraId="196A5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7" w:hRule="atLeast"/>
        </w:trPr>
        <w:tc>
          <w:tcPr>
            <w:tcW w:w="213" w:type="pct"/>
            <w:vAlign w:val="center"/>
          </w:tcPr>
          <w:p w14:paraId="0EBEB337">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运营</w:t>
            </w:r>
          </w:p>
          <w:p w14:paraId="07390FA6">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期环</w:t>
            </w:r>
          </w:p>
          <w:p w14:paraId="228893DA">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境影</w:t>
            </w:r>
          </w:p>
          <w:p w14:paraId="79AFDB02">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响和</w:t>
            </w:r>
          </w:p>
          <w:p w14:paraId="423D4931">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保护</w:t>
            </w:r>
          </w:p>
          <w:p w14:paraId="196F6D96">
            <w:pPr>
              <w:adjustRightInd w:val="0"/>
              <w:snapToGrid w:val="0"/>
              <w:jc w:val="center"/>
              <w:rPr>
                <w:rFonts w:hint="default" w:ascii="Times New Roman" w:hAnsi="Times New Roman" w:cs="Times New Roman"/>
                <w:color w:val="auto"/>
              </w:rPr>
            </w:pPr>
            <w:r>
              <w:rPr>
                <w:rFonts w:hint="default" w:ascii="Times New Roman" w:hAnsi="Times New Roman" w:cs="Times New Roman"/>
                <w:bCs/>
                <w:color w:val="auto"/>
                <w:szCs w:val="21"/>
              </w:rPr>
              <w:t>措施</w:t>
            </w:r>
          </w:p>
        </w:tc>
        <w:tc>
          <w:tcPr>
            <w:tcW w:w="4786" w:type="pct"/>
          </w:tcPr>
          <w:p w14:paraId="1BDD632A">
            <w:pPr>
              <w:keepNext w:val="0"/>
              <w:keepLines w:val="0"/>
              <w:pageBreakBefore w:val="0"/>
              <w:widowControl w:val="0"/>
              <w:kinsoku/>
              <w:wordWrap/>
              <w:overflowPunct/>
              <w:topLinePunct w:val="0"/>
              <w:autoSpaceDE/>
              <w:autoSpaceDN/>
              <w:bidi w:val="0"/>
              <w:adjustRightInd w:val="0"/>
              <w:snapToGrid w:val="0"/>
              <w:spacing w:before="115" w:beforeLines="30"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项目生产噪声经减振、厂房隔声、距离衰减后，厂界四周昼、夜间噪声符合《工业企业厂界环境噪声排放标准》（GB12348-2008）中的3类标准（昼间≤65dB(A)，夜间≤55dB(A)）。</w:t>
            </w:r>
          </w:p>
          <w:p w14:paraId="2CF65A2E">
            <w:pPr>
              <w:pStyle w:val="6"/>
              <w:spacing w:before="113" w:beforeLines="30" w:after="189" w:afterLines="50" w:line="240" w:lineRule="auto"/>
              <w:outlineLvl w:val="3"/>
              <w:rPr>
                <w:rFonts w:hint="default" w:ascii="Times New Roman" w:hAnsi="Times New Roman" w:cs="Times New Roman"/>
                <w:color w:val="auto"/>
              </w:rPr>
            </w:pPr>
            <w:r>
              <w:rPr>
                <w:rFonts w:hint="default" w:ascii="Times New Roman" w:hAnsi="Times New Roman" w:cs="Times New Roman"/>
                <w:color w:val="auto"/>
              </w:rPr>
              <w:t>4.2.3.3 环保措施</w:t>
            </w:r>
          </w:p>
          <w:p w14:paraId="4963B17C">
            <w:pPr>
              <w:pStyle w:val="2"/>
              <w:ind w:firstLine="480"/>
              <w:rPr>
                <w:rFonts w:hint="default" w:ascii="Times New Roman" w:hAnsi="Times New Roman" w:eastAsia="Times New Roman" w:cs="Times New Roman"/>
                <w:color w:val="auto"/>
                <w:sz w:val="24"/>
                <w:lang w:val="zh-CN"/>
              </w:rPr>
            </w:pPr>
            <w:r>
              <w:rPr>
                <w:rFonts w:hint="default" w:ascii="Times New Roman" w:hAnsi="Times New Roman" w:eastAsia="Times New Roman" w:cs="Times New Roman"/>
                <w:color w:val="auto"/>
                <w:sz w:val="24"/>
                <w:lang w:val="zh-CN"/>
              </w:rPr>
              <w:t>项目噪声主要</w:t>
            </w:r>
            <w:r>
              <w:rPr>
                <w:rFonts w:hint="default" w:ascii="Times New Roman" w:hAnsi="Times New Roman" w:cs="Times New Roman"/>
                <w:color w:val="auto"/>
                <w:sz w:val="24"/>
              </w:rPr>
              <w:t>来源于设备</w:t>
            </w:r>
            <w:r>
              <w:rPr>
                <w:rFonts w:hint="default" w:ascii="Times New Roman" w:hAnsi="Times New Roman" w:eastAsia="Times New Roman" w:cs="Times New Roman"/>
                <w:color w:val="auto"/>
                <w:sz w:val="24"/>
                <w:lang w:val="zh-CN"/>
              </w:rPr>
              <w:t>运行期间产生的噪声，主要防治措施如下：</w:t>
            </w:r>
          </w:p>
          <w:p w14:paraId="182E8D93">
            <w:pPr>
              <w:pStyle w:val="2"/>
              <w:numPr>
                <w:ilvl w:val="0"/>
                <w:numId w:val="18"/>
              </w:numPr>
              <w:ind w:firstLine="480"/>
              <w:rPr>
                <w:rFonts w:hint="default" w:ascii="Times New Roman" w:hAnsi="Times New Roman" w:eastAsia="Times New Roman" w:cs="Times New Roman"/>
                <w:color w:val="auto"/>
                <w:sz w:val="24"/>
                <w:lang w:val="zh-CN"/>
              </w:rPr>
            </w:pPr>
            <w:r>
              <w:rPr>
                <w:rFonts w:hint="default" w:ascii="Times New Roman" w:hAnsi="Times New Roman" w:eastAsia="Times New Roman" w:cs="Times New Roman"/>
                <w:color w:val="auto"/>
                <w:sz w:val="24"/>
                <w:lang w:val="zh-CN"/>
              </w:rPr>
              <w:t>从声源上降噪：根据拟建项目噪声源特征，建议在设计和设备采购阶段，在满足工艺设计的前提下，优先选用低噪声、低振动型号的设备，从而从声源上降低设备本身的噪声。为防止振动产生的噪声污染，拟建项目各类噪声设备设置单独基础，并加设减振垫，以防</w:t>
            </w:r>
            <w:r>
              <w:rPr>
                <w:rFonts w:hint="default" w:ascii="Times New Roman" w:hAnsi="Times New Roman" w:cs="Times New Roman"/>
                <w:color w:val="auto"/>
                <w:sz w:val="24"/>
              </w:rPr>
              <w:t>止</w:t>
            </w:r>
            <w:r>
              <w:rPr>
                <w:rFonts w:hint="default" w:ascii="Times New Roman" w:hAnsi="Times New Roman" w:eastAsia="Times New Roman" w:cs="Times New Roman"/>
                <w:color w:val="auto"/>
                <w:sz w:val="24"/>
                <w:lang w:val="zh-CN"/>
              </w:rPr>
              <w:t>振动产生噪声。</w:t>
            </w:r>
          </w:p>
          <w:p w14:paraId="3B29C956">
            <w:pPr>
              <w:pStyle w:val="2"/>
              <w:numPr>
                <w:ilvl w:val="0"/>
                <w:numId w:val="18"/>
              </w:numPr>
              <w:ind w:firstLine="480"/>
              <w:rPr>
                <w:rFonts w:hint="default" w:ascii="Times New Roman" w:hAnsi="Times New Roman" w:eastAsia="Times New Roman" w:cs="Times New Roman"/>
                <w:color w:val="auto"/>
                <w:sz w:val="24"/>
                <w:lang w:val="zh-CN"/>
              </w:rPr>
            </w:pPr>
            <w:r>
              <w:rPr>
                <w:rFonts w:hint="default" w:ascii="Times New Roman" w:hAnsi="Times New Roman" w:eastAsia="Times New Roman" w:cs="Times New Roman"/>
                <w:color w:val="auto"/>
                <w:sz w:val="24"/>
                <w:lang w:val="zh-CN"/>
              </w:rPr>
              <w:t>从传播途径上降噪：除选择低噪声设备外，</w:t>
            </w:r>
            <w:r>
              <w:rPr>
                <w:rFonts w:hint="default" w:ascii="Times New Roman" w:hAnsi="Times New Roman" w:cs="Times New Roman"/>
                <w:color w:val="auto"/>
                <w:sz w:val="24"/>
              </w:rPr>
              <w:t>设备</w:t>
            </w:r>
            <w:r>
              <w:rPr>
                <w:rFonts w:hint="default" w:ascii="Times New Roman" w:hAnsi="Times New Roman" w:eastAsia="Times New Roman" w:cs="Times New Roman"/>
                <w:color w:val="auto"/>
                <w:sz w:val="24"/>
                <w:lang w:val="zh-CN"/>
              </w:rPr>
              <w:t>安装位置</w:t>
            </w:r>
            <w:r>
              <w:rPr>
                <w:rFonts w:hint="default" w:ascii="Times New Roman" w:hAnsi="Times New Roman" w:cs="Times New Roman"/>
                <w:color w:val="auto"/>
                <w:sz w:val="24"/>
              </w:rPr>
              <w:t>应当</w:t>
            </w:r>
            <w:r>
              <w:rPr>
                <w:rFonts w:hint="default" w:ascii="Times New Roman" w:hAnsi="Times New Roman" w:eastAsia="Times New Roman" w:cs="Times New Roman"/>
                <w:color w:val="auto"/>
                <w:sz w:val="24"/>
                <w:lang w:val="zh-CN"/>
              </w:rPr>
              <w:t>具有减振台基础，主排风管在风气出口要配置消声器，排风管道进出口加柔性软接头。对于设置在屋顶的风机或排气口考虑加设风机隔声罩，以降低风机噪声对周围环境的影响。</w:t>
            </w:r>
          </w:p>
          <w:p w14:paraId="6F5C27DB">
            <w:pPr>
              <w:pStyle w:val="2"/>
              <w:ind w:firstLine="480"/>
              <w:rPr>
                <w:rFonts w:hint="default" w:ascii="Times New Roman" w:hAnsi="Times New Roman" w:eastAsia="Times New Roman" w:cs="Times New Roman"/>
                <w:color w:val="auto"/>
                <w:sz w:val="24"/>
                <w:lang w:val="zh-CN"/>
              </w:rPr>
            </w:pPr>
            <w:r>
              <w:rPr>
                <w:rFonts w:hint="default" w:ascii="Times New Roman" w:hAnsi="Times New Roman" w:eastAsia="Times New Roman" w:cs="Times New Roman"/>
                <w:color w:val="auto"/>
                <w:sz w:val="24"/>
                <w:lang w:val="zh-CN"/>
              </w:rPr>
              <w:t>（3）建筑物隔声：</w:t>
            </w:r>
            <w:r>
              <w:rPr>
                <w:rFonts w:hint="default" w:ascii="Times New Roman" w:hAnsi="Times New Roman" w:cs="Times New Roman"/>
                <w:color w:val="auto"/>
                <w:sz w:val="24"/>
              </w:rPr>
              <w:t>声级高的设备如空压机、水泵等，安置在厂房内，利用厂房进行隔声</w:t>
            </w:r>
            <w:r>
              <w:rPr>
                <w:rFonts w:hint="default" w:ascii="Times New Roman" w:hAnsi="Times New Roman" w:eastAsia="Times New Roman" w:cs="Times New Roman"/>
                <w:color w:val="auto"/>
                <w:sz w:val="24"/>
                <w:lang w:val="zh-CN"/>
              </w:rPr>
              <w:t>。按照国家环保局发布的《隔声窗》（HJ/T17-1996）标准，车间隔声窗的隔声量大于20dB（A）。当然安装在房屋上后由于受到墙体本身存在孔隙等隔声薄弱环节的牵制，实际隔声效果要相应标准降低，但通过建筑物封闭隔声措施并在房屋内壁铺设吸声材料，应至少可以降低噪声10dB（A）以上。</w:t>
            </w:r>
          </w:p>
          <w:p w14:paraId="52AF5FF1">
            <w:pPr>
              <w:pStyle w:val="2"/>
              <w:ind w:firstLine="480"/>
              <w:rPr>
                <w:rFonts w:hint="default" w:ascii="Times New Roman" w:hAnsi="Times New Roman" w:eastAsia="Times New Roman" w:cs="Times New Roman"/>
                <w:color w:val="auto"/>
                <w:sz w:val="24"/>
                <w:lang w:val="zh-CN"/>
              </w:rPr>
            </w:pPr>
            <w:r>
              <w:rPr>
                <w:rFonts w:hint="default" w:ascii="Times New Roman" w:hAnsi="Times New Roman" w:eastAsia="Times New Roman" w:cs="Times New Roman"/>
                <w:color w:val="auto"/>
                <w:sz w:val="24"/>
                <w:lang w:val="zh-CN"/>
              </w:rPr>
              <w:t>（</w:t>
            </w:r>
            <w:r>
              <w:rPr>
                <w:rFonts w:hint="default" w:ascii="Times New Roman" w:hAnsi="Times New Roman" w:cs="Times New Roman"/>
                <w:color w:val="auto"/>
                <w:sz w:val="24"/>
              </w:rPr>
              <w:t>4</w:t>
            </w:r>
            <w:r>
              <w:rPr>
                <w:rFonts w:hint="default" w:ascii="Times New Roman" w:hAnsi="Times New Roman" w:eastAsia="Times New Roman" w:cs="Times New Roman"/>
                <w:color w:val="auto"/>
                <w:sz w:val="24"/>
                <w:lang w:val="zh-CN"/>
              </w:rPr>
              <w:t>）合理布局：建议将主要高噪声生产设备布置在车间西南侧，减少对车间外或厂区外声环境的影响。</w:t>
            </w:r>
          </w:p>
          <w:p w14:paraId="37B05297">
            <w:pPr>
              <w:pStyle w:val="2"/>
              <w:ind w:firstLine="480"/>
              <w:rPr>
                <w:rFonts w:hint="default" w:ascii="Times New Roman" w:hAnsi="Times New Roman" w:eastAsia="Times New Roman" w:cs="Times New Roman"/>
                <w:color w:val="auto"/>
                <w:sz w:val="24"/>
                <w:lang w:val="zh-CN"/>
              </w:rPr>
            </w:pPr>
            <w:r>
              <w:rPr>
                <w:rFonts w:hint="default" w:ascii="Times New Roman" w:hAnsi="Times New Roman" w:eastAsia="Times New Roman" w:cs="Times New Roman"/>
                <w:color w:val="auto"/>
                <w:sz w:val="24"/>
                <w:lang w:val="zh-CN"/>
              </w:rPr>
              <w:t>（</w:t>
            </w:r>
            <w:r>
              <w:rPr>
                <w:rFonts w:hint="default" w:ascii="Times New Roman" w:hAnsi="Times New Roman" w:cs="Times New Roman"/>
                <w:color w:val="auto"/>
                <w:sz w:val="24"/>
              </w:rPr>
              <w:t>5</w:t>
            </w:r>
            <w:r>
              <w:rPr>
                <w:rFonts w:hint="default" w:ascii="Times New Roman" w:hAnsi="Times New Roman" w:eastAsia="Times New Roman" w:cs="Times New Roman"/>
                <w:color w:val="auto"/>
                <w:sz w:val="24"/>
                <w:lang w:val="zh-CN"/>
              </w:rPr>
              <w:t>）加强管理：平时加强对各噪声设备的保养、检修与润滑，保证设备良好运转，减轻运行噪声强度，杜绝因设备不正常运转时产生的高噪声现象。加强对员工的劳动保护，为从事高噪声作业的员工提供必要的耳部防护用品，定期进行职业健康检查，保障员工的身体健康。</w:t>
            </w:r>
          </w:p>
          <w:p w14:paraId="280EEB7D">
            <w:pPr>
              <w:adjustRightInd w:val="0"/>
              <w:snapToGrid w:val="0"/>
              <w:spacing w:line="360" w:lineRule="auto"/>
              <w:ind w:firstLine="480" w:firstLineChars="200"/>
              <w:rPr>
                <w:rFonts w:hint="default" w:ascii="Times New Roman" w:hAnsi="Times New Roman" w:eastAsia="Times New Roman" w:cs="Times New Roman"/>
                <w:color w:val="auto"/>
                <w:sz w:val="24"/>
              </w:rPr>
            </w:pPr>
            <w:r>
              <w:rPr>
                <w:rFonts w:hint="default" w:ascii="Times New Roman" w:hAnsi="Times New Roman" w:eastAsia="Times New Roman" w:cs="Times New Roman"/>
                <w:color w:val="auto"/>
                <w:sz w:val="24"/>
              </w:rPr>
              <w:t>采取以上措施后可确保厂界噪声能够满足《工业企业厂界环境噪声排放标准》（GB12348-2008）相关标准要求，不会对周围环境产生明显影响。</w:t>
            </w:r>
          </w:p>
          <w:p w14:paraId="4ADE1E9F">
            <w:pPr>
              <w:pStyle w:val="6"/>
              <w:spacing w:before="113" w:beforeLines="30" w:after="189" w:afterLines="50" w:line="240" w:lineRule="auto"/>
              <w:outlineLvl w:val="3"/>
              <w:rPr>
                <w:rFonts w:hint="default" w:ascii="Times New Roman" w:hAnsi="Times New Roman" w:cs="Times New Roman"/>
                <w:color w:val="auto"/>
              </w:rPr>
            </w:pPr>
            <w:r>
              <w:rPr>
                <w:rFonts w:hint="default" w:ascii="Times New Roman" w:hAnsi="Times New Roman" w:cs="Times New Roman"/>
                <w:color w:val="auto"/>
              </w:rPr>
              <w:t>4.2.3.4噪声监测计划</w:t>
            </w:r>
          </w:p>
          <w:p w14:paraId="0AA89144">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项目建成投产后，噪声监测按照《排污单位自行监测技术指南 总则》（HJ819-2017）中厂界噪声监测频次执行。见表4.2-</w:t>
            </w:r>
            <w:r>
              <w:rPr>
                <w:rFonts w:hint="default" w:ascii="Times New Roman" w:hAnsi="Times New Roman" w:cs="Times New Roman"/>
                <w:color w:val="auto"/>
                <w:sz w:val="24"/>
                <w:lang w:val="en-US" w:eastAsia="zh-CN"/>
              </w:rPr>
              <w:t>23</w:t>
            </w:r>
            <w:r>
              <w:rPr>
                <w:rFonts w:hint="default" w:ascii="Times New Roman" w:hAnsi="Times New Roman" w:cs="Times New Roman"/>
                <w:color w:val="auto"/>
                <w:sz w:val="24"/>
              </w:rPr>
              <w:t>。</w:t>
            </w:r>
          </w:p>
          <w:p w14:paraId="7671B51E">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表4.2-</w:t>
            </w:r>
            <w:r>
              <w:rPr>
                <w:rFonts w:hint="default" w:ascii="Times New Roman" w:hAnsi="Times New Roman" w:eastAsia="黑体" w:cs="Times New Roman"/>
                <w:b w:val="0"/>
                <w:bCs/>
                <w:color w:val="auto"/>
                <w:lang w:val="en-US" w:eastAsia="zh-CN"/>
              </w:rPr>
              <w:t>23</w:t>
            </w:r>
            <w:r>
              <w:rPr>
                <w:rFonts w:hint="default" w:ascii="Times New Roman" w:hAnsi="Times New Roman" w:eastAsia="黑体" w:cs="Times New Roman"/>
                <w:b w:val="0"/>
                <w:bCs/>
                <w:color w:val="auto"/>
              </w:rPr>
              <w:t xml:space="preserve">  噪声监测计划一览表</w:t>
            </w:r>
          </w:p>
          <w:tbl>
            <w:tblPr>
              <w:tblStyle w:val="35"/>
              <w:tblW w:w="86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6"/>
              <w:gridCol w:w="4651"/>
              <w:gridCol w:w="1918"/>
            </w:tblGrid>
            <w:tr w14:paraId="15B66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26" w:type="dxa"/>
                  <w:tcBorders>
                    <w:tl2br w:val="nil"/>
                    <w:tr2bl w:val="nil"/>
                  </w:tcBorders>
                  <w:vAlign w:val="center"/>
                </w:tcPr>
                <w:p w14:paraId="62D8527A">
                  <w:pPr>
                    <w:pStyle w:val="86"/>
                    <w:rPr>
                      <w:rFonts w:hint="default" w:ascii="Times New Roman" w:hAnsi="Times New Roman" w:cs="Times New Roman"/>
                      <w:color w:val="auto"/>
                    </w:rPr>
                  </w:pPr>
                  <w:r>
                    <w:rPr>
                      <w:rFonts w:hint="default" w:ascii="Times New Roman" w:hAnsi="Times New Roman" w:cs="Times New Roman"/>
                      <w:color w:val="auto"/>
                    </w:rPr>
                    <w:t>监测点位</w:t>
                  </w:r>
                </w:p>
              </w:tc>
              <w:tc>
                <w:tcPr>
                  <w:tcW w:w="4651" w:type="dxa"/>
                  <w:tcBorders>
                    <w:tl2br w:val="nil"/>
                    <w:tr2bl w:val="nil"/>
                  </w:tcBorders>
                  <w:vAlign w:val="center"/>
                </w:tcPr>
                <w:p w14:paraId="76B262E6">
                  <w:pPr>
                    <w:pStyle w:val="86"/>
                    <w:rPr>
                      <w:rFonts w:hint="default" w:ascii="Times New Roman" w:hAnsi="Times New Roman" w:cs="Times New Roman"/>
                      <w:color w:val="auto"/>
                    </w:rPr>
                  </w:pPr>
                  <w:r>
                    <w:rPr>
                      <w:rFonts w:hint="default" w:ascii="Times New Roman" w:hAnsi="Times New Roman" w:cs="Times New Roman"/>
                      <w:color w:val="auto"/>
                    </w:rPr>
                    <w:t>监测指标</w:t>
                  </w:r>
                </w:p>
              </w:tc>
              <w:tc>
                <w:tcPr>
                  <w:tcW w:w="1918" w:type="dxa"/>
                  <w:tcBorders>
                    <w:tl2br w:val="nil"/>
                    <w:tr2bl w:val="nil"/>
                  </w:tcBorders>
                  <w:vAlign w:val="center"/>
                </w:tcPr>
                <w:p w14:paraId="5FE9BFCE">
                  <w:pPr>
                    <w:pStyle w:val="86"/>
                    <w:rPr>
                      <w:rFonts w:hint="default" w:ascii="Times New Roman" w:hAnsi="Times New Roman" w:cs="Times New Roman"/>
                      <w:color w:val="auto"/>
                    </w:rPr>
                  </w:pPr>
                  <w:r>
                    <w:rPr>
                      <w:rFonts w:hint="default" w:ascii="Times New Roman" w:hAnsi="Times New Roman" w:cs="Times New Roman"/>
                      <w:color w:val="auto"/>
                    </w:rPr>
                    <w:t>监测频次</w:t>
                  </w:r>
                </w:p>
              </w:tc>
            </w:tr>
            <w:tr w14:paraId="128CE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2126" w:type="dxa"/>
                  <w:tcBorders>
                    <w:tl2br w:val="nil"/>
                    <w:tr2bl w:val="nil"/>
                  </w:tcBorders>
                  <w:vAlign w:val="center"/>
                </w:tcPr>
                <w:p w14:paraId="446BD6F9">
                  <w:pPr>
                    <w:pStyle w:val="86"/>
                    <w:rPr>
                      <w:rFonts w:hint="default" w:ascii="Times New Roman" w:hAnsi="Times New Roman" w:cs="Times New Roman"/>
                      <w:color w:val="auto"/>
                    </w:rPr>
                  </w:pPr>
                  <w:r>
                    <w:rPr>
                      <w:rFonts w:hint="default" w:ascii="Times New Roman" w:hAnsi="Times New Roman" w:cs="Times New Roman"/>
                      <w:color w:val="auto"/>
                    </w:rPr>
                    <w:t>厂界四周噪声</w:t>
                  </w:r>
                </w:p>
              </w:tc>
              <w:tc>
                <w:tcPr>
                  <w:tcW w:w="4651" w:type="dxa"/>
                  <w:tcBorders>
                    <w:tl2br w:val="nil"/>
                    <w:tr2bl w:val="nil"/>
                  </w:tcBorders>
                  <w:vAlign w:val="center"/>
                </w:tcPr>
                <w:p w14:paraId="15CB2A84">
                  <w:pPr>
                    <w:pStyle w:val="86"/>
                    <w:rPr>
                      <w:rFonts w:hint="default" w:ascii="Times New Roman" w:hAnsi="Times New Roman" w:cs="Times New Roman"/>
                      <w:color w:val="auto"/>
                    </w:rPr>
                  </w:pPr>
                  <w:r>
                    <w:rPr>
                      <w:rFonts w:hint="default" w:ascii="Times New Roman" w:hAnsi="Times New Roman" w:cs="Times New Roman"/>
                      <w:color w:val="auto"/>
                    </w:rPr>
                    <w:t>昼间LAeq、夜间LAeq、夜间最大L</w:t>
                  </w:r>
                  <w:r>
                    <w:rPr>
                      <w:rFonts w:hint="default" w:ascii="Times New Roman" w:hAnsi="Times New Roman" w:cs="Times New Roman"/>
                      <w:color w:val="auto"/>
                      <w:vertAlign w:val="subscript"/>
                    </w:rPr>
                    <w:t>MAX</w:t>
                  </w:r>
                </w:p>
              </w:tc>
              <w:tc>
                <w:tcPr>
                  <w:tcW w:w="1918" w:type="dxa"/>
                  <w:tcBorders>
                    <w:tl2br w:val="nil"/>
                    <w:tr2bl w:val="nil"/>
                  </w:tcBorders>
                  <w:vAlign w:val="center"/>
                </w:tcPr>
                <w:p w14:paraId="59BFC15A">
                  <w:pPr>
                    <w:pStyle w:val="86"/>
                    <w:rPr>
                      <w:rFonts w:hint="default" w:ascii="Times New Roman" w:hAnsi="Times New Roman" w:cs="Times New Roman"/>
                      <w:color w:val="auto"/>
                    </w:rPr>
                  </w:pPr>
                  <w:r>
                    <w:rPr>
                      <w:rFonts w:hint="default" w:ascii="Times New Roman" w:hAnsi="Times New Roman" w:cs="Times New Roman"/>
                      <w:color w:val="auto"/>
                    </w:rPr>
                    <w:t>1次/季度</w:t>
                  </w:r>
                </w:p>
              </w:tc>
            </w:tr>
          </w:tbl>
          <w:p w14:paraId="2A75BA67">
            <w:pPr>
              <w:pStyle w:val="5"/>
              <w:spacing w:before="189" w:after="189" w:afterLines="50" w:afterAutospacing="0" w:line="240" w:lineRule="auto"/>
              <w:outlineLvl w:val="2"/>
              <w:rPr>
                <w:rFonts w:hint="default" w:ascii="Times New Roman" w:hAnsi="Times New Roman" w:cs="Times New Roman"/>
                <w:color w:val="auto"/>
              </w:rPr>
            </w:pPr>
            <w:r>
              <w:rPr>
                <w:rFonts w:hint="default" w:ascii="Times New Roman" w:hAnsi="Times New Roman" w:cs="Times New Roman"/>
                <w:color w:val="auto"/>
              </w:rPr>
              <w:t>4.2.4固体废物影响分析及环保措施</w:t>
            </w:r>
          </w:p>
          <w:p w14:paraId="1899ABA9">
            <w:pPr>
              <w:pStyle w:val="6"/>
              <w:spacing w:before="113" w:beforeLines="30" w:after="189" w:afterLines="50" w:line="240" w:lineRule="auto"/>
              <w:outlineLvl w:val="3"/>
              <w:rPr>
                <w:rFonts w:hint="default" w:ascii="Times New Roman" w:hAnsi="Times New Roman" w:cs="Times New Roman"/>
                <w:color w:val="auto"/>
              </w:rPr>
            </w:pPr>
            <w:r>
              <w:rPr>
                <w:rFonts w:hint="default" w:ascii="Times New Roman" w:hAnsi="Times New Roman" w:cs="Times New Roman"/>
                <w:color w:val="auto"/>
              </w:rPr>
              <w:t>4.2.4.1固废污染源及环保措施</w:t>
            </w:r>
          </w:p>
          <w:p w14:paraId="2FF67BA6">
            <w:pPr>
              <w:pStyle w:val="10"/>
              <w:adjustRightInd w:val="0"/>
              <w:snapToGrid w:val="0"/>
              <w:spacing w:line="360" w:lineRule="auto"/>
              <w:ind w:firstLine="480" w:firstLineChars="200"/>
              <w:rPr>
                <w:rFonts w:hint="default" w:ascii="Times New Roman" w:hAnsi="Times New Roman" w:cs="Times New Roman"/>
                <w:color w:val="auto"/>
                <w:sz w:val="24"/>
              </w:rPr>
            </w:pPr>
            <w:bookmarkStart w:id="245" w:name="OLE_LINK42"/>
            <w:r>
              <w:rPr>
                <w:rFonts w:hint="default" w:ascii="Times New Roman" w:hAnsi="Times New Roman" w:cs="Times New Roman"/>
                <w:color w:val="auto"/>
                <w:sz w:val="24"/>
              </w:rPr>
              <w:t>本项目产生的固体废物主要有包装线材、氧化铁皮、除尘灰、废布袋、废酸液、磷渣、废皂化液、磷化液原料空桶、废包装袋（表调剂、皂片等）、污水处理站污泥、废润滑油等。其中，废酸液、磷渣、废皂化液、磷化液原料空桶、废包装袋（表调剂、皂片等）、污水处理站污泥、废润滑油为危险废物，其余均为一般固体废物。</w:t>
            </w:r>
          </w:p>
          <w:bookmarkEnd w:id="245"/>
          <w:p w14:paraId="090EB634">
            <w:pPr>
              <w:pStyle w:val="109"/>
              <w:adjustRightInd w:val="0"/>
              <w:snapToGrid w:val="0"/>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（1）一般固废</w:t>
            </w:r>
          </w:p>
          <w:p w14:paraId="5050C8BD">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包装线材：项目生产过程中使用的原材料年用量为10万吨/年，类比现有工程，线材捆卷拆包剩余的包装材料（废钢铁）产生量约为438t/a，属于一般工业固体废弃物，出售给铸造或钢铁生产企业用作原料。</w:t>
            </w:r>
          </w:p>
          <w:p w14:paraId="6F4C4A28">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氧化铁皮：项目在剥壳除锈过程中会产生氧化铁皮。类比现有工程，氧化铁皮产生量约原料的1.5‰，则废铁锈量约150t/a，全部收集外售，出售给铸造或钢铁生产企业用作原料。</w:t>
            </w:r>
          </w:p>
          <w:p w14:paraId="7D1F5BEB">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除尘灰：</w:t>
            </w:r>
            <w:r>
              <w:rPr>
                <w:rFonts w:hint="default" w:ascii="Times New Roman" w:hAnsi="Times New Roman" w:cs="Times New Roman"/>
                <w:bCs/>
                <w:color w:val="auto"/>
                <w:sz w:val="24"/>
              </w:rPr>
              <w:t>项目除尘灰即为打磨工段除尘设施削减的粉尘及车间自然沉降的灰尘，根据废气计算章节，除尘灰收集量为</w:t>
            </w:r>
            <w:r>
              <w:rPr>
                <w:rFonts w:hint="default" w:ascii="Times New Roman" w:hAnsi="Times New Roman" w:cs="Times New Roman"/>
                <w:bCs/>
                <w:color w:val="auto"/>
                <w:sz w:val="24"/>
                <w:lang w:val="en-US" w:eastAsia="zh-CN"/>
              </w:rPr>
              <w:t>110.75</w:t>
            </w:r>
            <w:r>
              <w:rPr>
                <w:rFonts w:hint="default" w:ascii="Times New Roman" w:hAnsi="Times New Roman" w:cs="Times New Roman"/>
                <w:bCs/>
                <w:color w:val="auto"/>
                <w:sz w:val="24"/>
              </w:rPr>
              <w:t>t/a。主要成分为金属氧化物，</w:t>
            </w:r>
            <w:r>
              <w:rPr>
                <w:rFonts w:hint="default" w:ascii="Times New Roman" w:hAnsi="Times New Roman" w:cs="Times New Roman"/>
                <w:color w:val="auto"/>
                <w:sz w:val="24"/>
              </w:rPr>
              <w:t>全部收集外售，出售给铸造或钢铁生产企业用作原料</w:t>
            </w:r>
            <w:r>
              <w:rPr>
                <w:rFonts w:hint="default" w:ascii="Times New Roman" w:hAnsi="Times New Roman" w:cs="Times New Roman"/>
                <w:color w:val="auto"/>
              </w:rPr>
              <w:t>。</w:t>
            </w:r>
          </w:p>
          <w:p w14:paraId="6CA20C6C">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废</w:t>
            </w:r>
            <w:r>
              <w:rPr>
                <w:rFonts w:hint="default" w:ascii="Times New Roman" w:hAnsi="Times New Roman" w:cs="Times New Roman"/>
                <w:color w:val="auto"/>
                <w:sz w:val="24"/>
                <w:lang w:val="en-US" w:eastAsia="zh-CN"/>
              </w:rPr>
              <w:t>滤筒</w:t>
            </w:r>
            <w:r>
              <w:rPr>
                <w:rFonts w:hint="default" w:ascii="Times New Roman" w:hAnsi="Times New Roman" w:cs="Times New Roman"/>
                <w:color w:val="auto"/>
                <w:sz w:val="24"/>
              </w:rPr>
              <w:t>：在工况正常、维护得当的情况下，滤筒寿命通常为1至3年。本项目滤筒除尘器装有</w:t>
            </w:r>
            <w:r>
              <w:rPr>
                <w:rFonts w:hint="default" w:ascii="Times New Roman" w:hAnsi="Times New Roman" w:cs="Times New Roman"/>
                <w:color w:val="auto"/>
                <w:sz w:val="24"/>
                <w:lang w:val="en-US" w:eastAsia="zh-CN"/>
              </w:rPr>
              <w:t>8</w:t>
            </w:r>
            <w:r>
              <w:rPr>
                <w:rFonts w:hint="default" w:ascii="Times New Roman" w:hAnsi="Times New Roman" w:cs="Times New Roman"/>
                <w:color w:val="auto"/>
                <w:sz w:val="24"/>
              </w:rPr>
              <w:t>个滤芯，预计每2年全部更换一次，则年均更换量约为</w:t>
            </w:r>
            <w:r>
              <w:rPr>
                <w:rFonts w:hint="default" w:ascii="Times New Roman" w:hAnsi="Times New Roman" w:cs="Times New Roman"/>
                <w:color w:val="auto"/>
                <w:sz w:val="24"/>
                <w:lang w:val="en-US" w:eastAsia="zh-CN"/>
              </w:rPr>
              <w:t>4</w:t>
            </w:r>
            <w:r>
              <w:rPr>
                <w:rFonts w:hint="default" w:ascii="Times New Roman" w:hAnsi="Times New Roman" w:cs="Times New Roman"/>
                <w:color w:val="auto"/>
                <w:sz w:val="24"/>
              </w:rPr>
              <w:t>个。单只废滤筒（含尘）平均重10公斤，则：单次更换总重量：</w:t>
            </w:r>
            <w:r>
              <w:rPr>
                <w:rFonts w:hint="default" w:ascii="Times New Roman" w:hAnsi="Times New Roman" w:cs="Times New Roman"/>
                <w:color w:val="auto"/>
                <w:sz w:val="24"/>
                <w:lang w:val="en-US" w:eastAsia="zh-CN"/>
              </w:rPr>
              <w:t>8</w:t>
            </w:r>
            <w:r>
              <w:rPr>
                <w:rFonts w:hint="default" w:ascii="Times New Roman" w:hAnsi="Times New Roman" w:cs="Times New Roman"/>
                <w:color w:val="auto"/>
                <w:sz w:val="24"/>
              </w:rPr>
              <w:t xml:space="preserve">×10kg/只= </w:t>
            </w:r>
            <w:r>
              <w:rPr>
                <w:rFonts w:hint="default" w:ascii="Times New Roman" w:hAnsi="Times New Roman" w:cs="Times New Roman"/>
                <w:color w:val="auto"/>
                <w:sz w:val="24"/>
                <w:lang w:val="en-US" w:eastAsia="zh-CN"/>
              </w:rPr>
              <w:t>8</w:t>
            </w:r>
            <w:r>
              <w:rPr>
                <w:rFonts w:hint="default" w:ascii="Times New Roman" w:hAnsi="Times New Roman" w:cs="Times New Roman"/>
                <w:color w:val="auto"/>
                <w:sz w:val="24"/>
              </w:rPr>
              <w:t>0kg。年均产生重量：</w:t>
            </w:r>
            <w:r>
              <w:rPr>
                <w:rFonts w:hint="default" w:ascii="Times New Roman" w:hAnsi="Times New Roman" w:cs="Times New Roman"/>
                <w:color w:val="auto"/>
                <w:sz w:val="24"/>
                <w:lang w:val="en-US" w:eastAsia="zh-CN"/>
              </w:rPr>
              <w:t>8</w:t>
            </w:r>
            <w:r>
              <w:rPr>
                <w:rFonts w:hint="default" w:ascii="Times New Roman" w:hAnsi="Times New Roman" w:cs="Times New Roman"/>
                <w:color w:val="auto"/>
                <w:sz w:val="24"/>
              </w:rPr>
              <w:t>0kg÷2=</w:t>
            </w:r>
            <w:r>
              <w:rPr>
                <w:rFonts w:hint="default" w:ascii="Times New Roman" w:hAnsi="Times New Roman" w:cs="Times New Roman"/>
                <w:color w:val="auto"/>
                <w:sz w:val="24"/>
                <w:lang w:val="en-US" w:eastAsia="zh-CN"/>
              </w:rPr>
              <w:t>4</w:t>
            </w:r>
            <w:r>
              <w:rPr>
                <w:rFonts w:hint="default" w:ascii="Times New Roman" w:hAnsi="Times New Roman" w:cs="Times New Roman"/>
                <w:color w:val="auto"/>
                <w:sz w:val="24"/>
              </w:rPr>
              <w:t>0kg/a，即0.0</w:t>
            </w:r>
            <w:r>
              <w:rPr>
                <w:rFonts w:hint="default" w:ascii="Times New Roman" w:hAnsi="Times New Roman" w:cs="Times New Roman"/>
                <w:color w:val="auto"/>
                <w:sz w:val="24"/>
                <w:lang w:val="en-US" w:eastAsia="zh-CN"/>
              </w:rPr>
              <w:t>4</w:t>
            </w:r>
            <w:r>
              <w:rPr>
                <w:rFonts w:hint="default" w:ascii="Times New Roman" w:hAnsi="Times New Roman" w:cs="Times New Roman"/>
                <w:color w:val="auto"/>
                <w:sz w:val="24"/>
              </w:rPr>
              <w:t>t/a，属于一般工业固体废物，外售。</w:t>
            </w:r>
          </w:p>
          <w:p w14:paraId="3ECE6807">
            <w:pPr>
              <w:pStyle w:val="2"/>
              <w:ind w:firstLine="480"/>
              <w:rPr>
                <w:rFonts w:hint="default" w:ascii="Times New Roman" w:hAnsi="Times New Roman" w:cs="Times New Roman"/>
                <w:color w:val="auto"/>
                <w:sz w:val="24"/>
              </w:rPr>
            </w:pPr>
            <w:r>
              <w:rPr>
                <w:rFonts w:hint="default" w:ascii="Times New Roman" w:hAnsi="Times New Roman" w:cs="Times New Roman"/>
                <w:color w:val="auto"/>
                <w:sz w:val="24"/>
              </w:rPr>
              <w:t>（2）危险废物</w:t>
            </w:r>
          </w:p>
          <w:p w14:paraId="12B7437B">
            <w:pPr>
              <w:keepNext w:val="0"/>
              <w:keepLines w:val="0"/>
              <w:pageBreakBefore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废酸液：酸洗槽废酸液产生量约为3375t/a，收集至低位废酸罐（池），委托有资质单位定期清运处置。</w:t>
            </w:r>
          </w:p>
          <w:p w14:paraId="300A69E9">
            <w:pPr>
              <w:pStyle w:val="14"/>
              <w:keepNext w:val="0"/>
              <w:keepLines w:val="0"/>
              <w:pageBreakBefore w:val="0"/>
              <w:kinsoku/>
              <w:wordWrap/>
              <w:overflowPunct/>
              <w:topLinePunct w:val="0"/>
              <w:autoSpaceDE/>
              <w:autoSpaceDN/>
              <w:bidi w:val="0"/>
              <w:adjustRightInd w:val="0"/>
              <w:snapToGrid w:val="0"/>
              <w:spacing w:before="0" w:after="0" w:line="360" w:lineRule="auto"/>
              <w:ind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磷渣：磷化渣（含废液）经脱水后磷化液回用，根据业主提供资料，磷渣产污系数为1kg/t钢材，本项目表面处理能力15万t/a，则磷渣产生量150t/a，暂存于现有危废间，定期送有资质单位处置；</w:t>
            </w:r>
          </w:p>
          <w:p w14:paraId="130B7528">
            <w:pPr>
              <w:keepNext w:val="0"/>
              <w:keepLines w:val="0"/>
              <w:pageBreakBefore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皂化废液：根据皂化槽容量（28.1m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）和更换槽液次数（2次/年），计算皂化废液</w:t>
            </w:r>
            <w:r>
              <w:rPr>
                <w:rFonts w:hint="default" w:ascii="Times New Roman" w:hAnsi="Times New Roman" w:eastAsia="宋体" w:cs="Times New Roman"/>
                <w:color w:val="auto"/>
                <w:sz w:val="24"/>
                <w:szCs w:val="24"/>
                <w:highlight w:val="none"/>
                <w:lang w:val="en-US" w:eastAsia="zh-CN"/>
              </w:rPr>
              <w:t>产生量约</w:t>
            </w:r>
            <w:r>
              <w:rPr>
                <w:rFonts w:hint="default" w:ascii="Times New Roman" w:hAnsi="Times New Roman" w:eastAsia="宋体" w:cs="Times New Roman"/>
                <w:color w:val="auto"/>
                <w:sz w:val="24"/>
                <w:szCs w:val="24"/>
                <w:highlight w:val="none"/>
              </w:rPr>
              <w:t>56.3t/a，暂存于现有危废间，定期送有资质单位处置。</w:t>
            </w:r>
          </w:p>
          <w:p w14:paraId="40848E5F">
            <w:pPr>
              <w:keepNext w:val="0"/>
              <w:keepLines w:val="0"/>
              <w:pageBreakBefore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污水处理站污泥：废水处理污泥产生量约为废水处理量的</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%，本项目污水产生量</w:t>
            </w:r>
            <w:r>
              <w:rPr>
                <w:rFonts w:hint="default" w:ascii="Times New Roman" w:hAnsi="Times New Roman" w:eastAsia="宋体" w:cs="Times New Roman"/>
                <w:color w:val="auto"/>
                <w:sz w:val="24"/>
                <w:szCs w:val="24"/>
                <w:highlight w:val="none"/>
                <w:lang w:val="en-US" w:eastAsia="zh-CN"/>
              </w:rPr>
              <w:t>52496.25t/a</w:t>
            </w:r>
            <w:r>
              <w:rPr>
                <w:rFonts w:hint="default" w:ascii="Times New Roman" w:hAnsi="Times New Roman" w:eastAsia="宋体" w:cs="Times New Roman"/>
                <w:color w:val="auto"/>
                <w:sz w:val="24"/>
                <w:szCs w:val="24"/>
                <w:highlight w:val="none"/>
              </w:rPr>
              <w:t>，则污水处理站污泥</w:t>
            </w:r>
            <w:r>
              <w:rPr>
                <w:rFonts w:hint="default" w:ascii="Times New Roman" w:hAnsi="Times New Roman" w:eastAsia="宋体" w:cs="Times New Roman"/>
                <w:color w:val="auto"/>
                <w:sz w:val="24"/>
                <w:szCs w:val="24"/>
                <w:highlight w:val="none"/>
                <w:lang w:val="en-US" w:eastAsia="zh-CN"/>
              </w:rPr>
              <w:t>524.96</w:t>
            </w:r>
            <w:r>
              <w:rPr>
                <w:rFonts w:hint="default" w:ascii="Times New Roman" w:hAnsi="Times New Roman" w:eastAsia="宋体" w:cs="Times New Roman"/>
                <w:color w:val="auto"/>
                <w:sz w:val="24"/>
                <w:szCs w:val="24"/>
                <w:highlight w:val="none"/>
              </w:rPr>
              <w:t>t/a，暂存于现有危废间，定期送有资质单位处置。</w:t>
            </w:r>
          </w:p>
          <w:p w14:paraId="16BB63EB">
            <w:pPr>
              <w:keepNext w:val="0"/>
              <w:keepLines w:val="0"/>
              <w:pageBreakBefore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磷化液原料空桶：以原料使用量的1%计，产生量为6t/a，由原料厂家回收再利用。</w:t>
            </w:r>
          </w:p>
          <w:p w14:paraId="1419373D">
            <w:pPr>
              <w:keepNext w:val="0"/>
              <w:keepLines w:val="0"/>
              <w:pageBreakBefore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废包装袋</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表面处理原料包装以原料使用量的1%计，产生量为3.045t/a，暂存于现有危废间，定期送有资质单位处置；</w:t>
            </w:r>
          </w:p>
          <w:p w14:paraId="378AC7E0">
            <w:pPr>
              <w:keepNext w:val="0"/>
              <w:keepLines w:val="0"/>
              <w:pageBreakBefore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废润滑油：主要来自生产设备维修过程产生的废机油，废矿物油与含矿物油废物，回用于企业机械设备的润滑作业。</w:t>
            </w:r>
          </w:p>
          <w:p w14:paraId="77AABE32">
            <w:pPr>
              <w:pStyle w:val="14"/>
              <w:adjustRightInd w:val="0"/>
              <w:spacing w:before="0" w:after="0" w:line="360" w:lineRule="auto"/>
              <w:ind w:right="0"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（3）</w:t>
            </w:r>
            <w:r>
              <w:rPr>
                <w:rFonts w:hint="default" w:ascii="Times New Roman" w:hAnsi="Times New Roman" w:cs="Times New Roman"/>
                <w:color w:val="auto"/>
                <w:sz w:val="24"/>
              </w:rPr>
              <w:t>生活垃圾</w:t>
            </w:r>
          </w:p>
          <w:p w14:paraId="77E12A11">
            <w:pPr>
              <w:pStyle w:val="21"/>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szCs w:val="24"/>
              </w:rPr>
              <w:t>本项目新增人员18人，</w:t>
            </w:r>
            <w:r>
              <w:rPr>
                <w:rFonts w:hint="default" w:ascii="Times New Roman" w:hAnsi="Times New Roman" w:cs="Times New Roman"/>
                <w:color w:val="auto"/>
                <w:sz w:val="24"/>
              </w:rPr>
              <w:t>生活垃圾产生量按0.5kg/人·d 计，则生活垃圾产生量为2.97t/a，依托</w:t>
            </w:r>
            <w:r>
              <w:rPr>
                <w:rFonts w:hint="default" w:ascii="Times New Roman" w:hAnsi="Times New Roman" w:cs="Times New Roman"/>
                <w:color w:val="auto"/>
                <w:sz w:val="24"/>
                <w:szCs w:val="24"/>
              </w:rPr>
              <w:t>公司</w:t>
            </w:r>
            <w:r>
              <w:rPr>
                <w:rFonts w:hint="default" w:ascii="Times New Roman" w:hAnsi="Times New Roman" w:cs="Times New Roman"/>
                <w:color w:val="auto"/>
                <w:sz w:val="24"/>
              </w:rPr>
              <w:t>厂区原有设施处理，</w:t>
            </w:r>
            <w:r>
              <w:rPr>
                <w:rFonts w:hint="default" w:ascii="Times New Roman" w:hAnsi="Times New Roman" w:cs="Times New Roman"/>
                <w:color w:val="auto"/>
                <w:sz w:val="24"/>
                <w:szCs w:val="24"/>
              </w:rPr>
              <w:t>由园区</w:t>
            </w:r>
            <w:r>
              <w:rPr>
                <w:rFonts w:hint="default" w:ascii="Times New Roman" w:hAnsi="Times New Roman" w:cs="Times New Roman"/>
                <w:color w:val="auto"/>
                <w:sz w:val="24"/>
              </w:rPr>
              <w:t>环卫部门清运和统一处置。</w:t>
            </w:r>
          </w:p>
          <w:p w14:paraId="59885B4A">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固体废物产生及处置情况见表4.2-</w:t>
            </w:r>
            <w:r>
              <w:rPr>
                <w:rFonts w:hint="default" w:ascii="Times New Roman" w:hAnsi="Times New Roman" w:cs="Times New Roman"/>
                <w:color w:val="auto"/>
                <w:sz w:val="24"/>
                <w:lang w:val="en-US" w:eastAsia="zh-CN"/>
              </w:rPr>
              <w:t>24</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26</w:t>
            </w:r>
            <w:r>
              <w:rPr>
                <w:rFonts w:hint="default" w:ascii="Times New Roman" w:hAnsi="Times New Roman" w:cs="Times New Roman"/>
                <w:color w:val="auto"/>
                <w:sz w:val="24"/>
              </w:rPr>
              <w:t>。</w:t>
            </w:r>
          </w:p>
          <w:p w14:paraId="26A42368">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表4.2-</w:t>
            </w:r>
            <w:r>
              <w:rPr>
                <w:rFonts w:hint="default" w:ascii="Times New Roman" w:hAnsi="Times New Roman" w:eastAsia="黑体" w:cs="Times New Roman"/>
                <w:b w:val="0"/>
                <w:bCs/>
                <w:color w:val="auto"/>
                <w:lang w:val="en-US" w:eastAsia="zh-CN"/>
              </w:rPr>
              <w:t>24</w:t>
            </w:r>
            <w:r>
              <w:rPr>
                <w:rFonts w:hint="default" w:ascii="Times New Roman" w:hAnsi="Times New Roman" w:eastAsia="黑体" w:cs="Times New Roman"/>
                <w:b w:val="0"/>
                <w:bCs/>
                <w:color w:val="auto"/>
              </w:rPr>
              <w:t xml:space="preserve">  一般固体废物产生源强及处置方式</w:t>
            </w:r>
          </w:p>
          <w:tbl>
            <w:tblPr>
              <w:tblStyle w:val="34"/>
              <w:tblW w:w="8708" w:type="dxa"/>
              <w:jc w:val="center"/>
              <w:tblLayout w:type="fixed"/>
              <w:tblCellMar>
                <w:top w:w="0" w:type="dxa"/>
                <w:left w:w="108" w:type="dxa"/>
                <w:bottom w:w="0" w:type="dxa"/>
                <w:right w:w="108" w:type="dxa"/>
              </w:tblCellMar>
            </w:tblPr>
            <w:tblGrid>
              <w:gridCol w:w="923"/>
              <w:gridCol w:w="1136"/>
              <w:gridCol w:w="1521"/>
              <w:gridCol w:w="1414"/>
              <w:gridCol w:w="858"/>
              <w:gridCol w:w="1178"/>
              <w:gridCol w:w="1678"/>
            </w:tblGrid>
            <w:tr w14:paraId="02E84BFA">
              <w:tblPrEx>
                <w:tblCellMar>
                  <w:top w:w="0" w:type="dxa"/>
                  <w:left w:w="108" w:type="dxa"/>
                  <w:bottom w:w="0" w:type="dxa"/>
                  <w:right w:w="108" w:type="dxa"/>
                </w:tblCellMar>
              </w:tblPrEx>
              <w:trPr>
                <w:trHeight w:val="363" w:hRule="atLeast"/>
                <w:jc w:val="center"/>
              </w:trPr>
              <w:tc>
                <w:tcPr>
                  <w:tcW w:w="5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413BBD">
                  <w:pPr>
                    <w:widowControl/>
                    <w:spacing w:line="28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固废</w:t>
                  </w:r>
                </w:p>
                <w:p w14:paraId="1047259E">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名称</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5D8028">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来源</w:t>
                  </w:r>
                </w:p>
              </w:tc>
              <w:tc>
                <w:tcPr>
                  <w:tcW w:w="8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25E285">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性质</w:t>
                  </w:r>
                </w:p>
              </w:tc>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3E7B7F">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一般固废代码</w:t>
                  </w:r>
                </w:p>
              </w:tc>
              <w:tc>
                <w:tcPr>
                  <w:tcW w:w="4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C2C6EE">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产生量（t/a）</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DA4C91">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利用处置量（t/a）</w:t>
                  </w:r>
                </w:p>
              </w:tc>
              <w:tc>
                <w:tcPr>
                  <w:tcW w:w="9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B0B2F3">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利用处置方式</w:t>
                  </w:r>
                </w:p>
              </w:tc>
            </w:tr>
            <w:tr w14:paraId="5854C4BD">
              <w:tblPrEx>
                <w:tblCellMar>
                  <w:top w:w="0" w:type="dxa"/>
                  <w:left w:w="108" w:type="dxa"/>
                  <w:bottom w:w="0" w:type="dxa"/>
                  <w:right w:w="108" w:type="dxa"/>
                </w:tblCellMar>
              </w:tblPrEx>
              <w:trPr>
                <w:trHeight w:val="363" w:hRule="atLeast"/>
                <w:jc w:val="center"/>
              </w:trPr>
              <w:tc>
                <w:tcPr>
                  <w:tcW w:w="5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B6F995">
                  <w:pPr>
                    <w:widowControl/>
                    <w:spacing w:line="28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包装</w:t>
                  </w:r>
                </w:p>
                <w:p w14:paraId="481B3B9C">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线材</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0D5F42">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原料</w:t>
                  </w:r>
                </w:p>
              </w:tc>
              <w:tc>
                <w:tcPr>
                  <w:tcW w:w="8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15B4B3">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一般工业固废</w:t>
                  </w:r>
                </w:p>
              </w:tc>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D249DD">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313-001-S01</w:t>
                  </w:r>
                </w:p>
              </w:tc>
              <w:tc>
                <w:tcPr>
                  <w:tcW w:w="4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366E0F">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438.00</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822D2F">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438.00</w:t>
                  </w:r>
                </w:p>
              </w:tc>
              <w:tc>
                <w:tcPr>
                  <w:tcW w:w="9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A513367">
                  <w:pPr>
                    <w:widowControl/>
                    <w:spacing w:line="280" w:lineRule="exact"/>
                    <w:jc w:val="both"/>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全部收集外售，出售给铸造或钢铁生产企业用作原料</w:t>
                  </w:r>
                </w:p>
              </w:tc>
            </w:tr>
            <w:tr w14:paraId="0B2C42EE">
              <w:tblPrEx>
                <w:tblCellMar>
                  <w:top w:w="0" w:type="dxa"/>
                  <w:left w:w="108" w:type="dxa"/>
                  <w:bottom w:w="0" w:type="dxa"/>
                  <w:right w:w="108" w:type="dxa"/>
                </w:tblCellMar>
              </w:tblPrEx>
              <w:trPr>
                <w:trHeight w:val="363" w:hRule="atLeast"/>
                <w:jc w:val="center"/>
              </w:trPr>
              <w:tc>
                <w:tcPr>
                  <w:tcW w:w="5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2E9C00">
                  <w:pPr>
                    <w:widowControl/>
                    <w:spacing w:line="28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氧化</w:t>
                  </w:r>
                </w:p>
                <w:p w14:paraId="7ADF02FC">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铁皮</w:t>
                  </w:r>
                </w:p>
              </w:tc>
              <w:tc>
                <w:tcPr>
                  <w:tcW w:w="6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35B72">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剥壳除锈、打磨工序</w:t>
                  </w:r>
                </w:p>
              </w:tc>
              <w:tc>
                <w:tcPr>
                  <w:tcW w:w="8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1D4807">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一般工业固废</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2DD4F">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313-001-S01</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15FC5">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150</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4C0541">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150</w:t>
                  </w:r>
                </w:p>
              </w:tc>
              <w:tc>
                <w:tcPr>
                  <w:tcW w:w="9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4058D6">
                  <w:pPr>
                    <w:widowControl/>
                    <w:spacing w:line="280" w:lineRule="exact"/>
                    <w:jc w:val="center"/>
                    <w:rPr>
                      <w:rFonts w:hint="default" w:ascii="Times New Roman" w:hAnsi="Times New Roman" w:cs="Times New Roman"/>
                      <w:color w:val="auto"/>
                      <w:szCs w:val="21"/>
                    </w:rPr>
                  </w:pPr>
                </w:p>
              </w:tc>
            </w:tr>
            <w:tr w14:paraId="4B32A425">
              <w:tblPrEx>
                <w:tblCellMar>
                  <w:top w:w="0" w:type="dxa"/>
                  <w:left w:w="108" w:type="dxa"/>
                  <w:bottom w:w="0" w:type="dxa"/>
                  <w:right w:w="108" w:type="dxa"/>
                </w:tblCellMar>
              </w:tblPrEx>
              <w:trPr>
                <w:trHeight w:val="363" w:hRule="atLeast"/>
                <w:jc w:val="center"/>
              </w:trPr>
              <w:tc>
                <w:tcPr>
                  <w:tcW w:w="5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5B635D">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除尘灰</w:t>
                  </w:r>
                </w:p>
              </w:tc>
              <w:tc>
                <w:tcPr>
                  <w:tcW w:w="65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7C8F96A">
                  <w:pPr>
                    <w:widowControl/>
                    <w:spacing w:line="280" w:lineRule="exact"/>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废气</w:t>
                  </w:r>
                </w:p>
                <w:p w14:paraId="3AC35F54">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处理</w:t>
                  </w:r>
                </w:p>
              </w:tc>
              <w:tc>
                <w:tcPr>
                  <w:tcW w:w="8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05EF66">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一般工业固废</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EEFE6">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313-001-S01</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9FAF8F">
                  <w:pPr>
                    <w:widowControl/>
                    <w:spacing w:line="280" w:lineRule="exact"/>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kern w:val="0"/>
                      <w:szCs w:val="21"/>
                      <w:lang w:val="en-US" w:eastAsia="zh-CN" w:bidi="ar"/>
                    </w:rPr>
                    <w:t>110.75</w:t>
                  </w:r>
                </w:p>
              </w:tc>
              <w:tc>
                <w:tcPr>
                  <w:tcW w:w="6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04B64C">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val="en-US" w:eastAsia="zh-CN" w:bidi="ar"/>
                    </w:rPr>
                    <w:t>110.75</w:t>
                  </w:r>
                </w:p>
              </w:tc>
              <w:tc>
                <w:tcPr>
                  <w:tcW w:w="9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9147BE">
                  <w:pPr>
                    <w:widowControl/>
                    <w:spacing w:line="280" w:lineRule="exact"/>
                    <w:jc w:val="center"/>
                    <w:rPr>
                      <w:rFonts w:hint="default" w:ascii="Times New Roman" w:hAnsi="Times New Roman" w:cs="Times New Roman"/>
                      <w:color w:val="auto"/>
                      <w:szCs w:val="21"/>
                    </w:rPr>
                  </w:pPr>
                </w:p>
              </w:tc>
            </w:tr>
            <w:tr w14:paraId="2D07C216">
              <w:tblPrEx>
                <w:tblCellMar>
                  <w:top w:w="0" w:type="dxa"/>
                  <w:left w:w="108" w:type="dxa"/>
                  <w:bottom w:w="0" w:type="dxa"/>
                  <w:right w:w="108" w:type="dxa"/>
                </w:tblCellMar>
              </w:tblPrEx>
              <w:trPr>
                <w:trHeight w:val="363" w:hRule="atLeast"/>
                <w:jc w:val="center"/>
              </w:trPr>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457A0">
                  <w:pPr>
                    <w:widowControl/>
                    <w:spacing w:line="280" w:lineRule="exact"/>
                    <w:jc w:val="center"/>
                    <w:textAlignment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kern w:val="0"/>
                      <w:szCs w:val="21"/>
                      <w:lang w:bidi="ar"/>
                    </w:rPr>
                    <w:t>废</w:t>
                  </w:r>
                  <w:r>
                    <w:rPr>
                      <w:rFonts w:hint="default" w:ascii="Times New Roman" w:hAnsi="Times New Roman" w:cs="Times New Roman"/>
                      <w:color w:val="auto"/>
                      <w:kern w:val="0"/>
                      <w:szCs w:val="21"/>
                      <w:lang w:val="en-US" w:eastAsia="zh-CN" w:bidi="ar"/>
                    </w:rPr>
                    <w:t>滤筒</w:t>
                  </w:r>
                </w:p>
              </w:tc>
              <w:tc>
                <w:tcPr>
                  <w:tcW w:w="65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FB81DE">
                  <w:pPr>
                    <w:widowControl/>
                    <w:spacing w:line="280" w:lineRule="exact"/>
                    <w:jc w:val="center"/>
                    <w:rPr>
                      <w:rFonts w:hint="default" w:ascii="Times New Roman" w:hAnsi="Times New Roman" w:cs="Times New Roman"/>
                      <w:color w:val="auto"/>
                      <w:szCs w:val="21"/>
                    </w:rPr>
                  </w:pPr>
                </w:p>
              </w:tc>
              <w:tc>
                <w:tcPr>
                  <w:tcW w:w="8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D985DF">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一般工业固废</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381A0">
                  <w:pPr>
                    <w:widowControl/>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900-009-S59</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116364">
                  <w:pPr>
                    <w:widowControl/>
                    <w:spacing w:line="280" w:lineRule="exact"/>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kern w:val="0"/>
                      <w:szCs w:val="21"/>
                      <w:lang w:val="en-US" w:eastAsia="zh-CN" w:bidi="ar"/>
                    </w:rPr>
                    <w:t>0.04</w:t>
                  </w: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0A447">
                  <w:pPr>
                    <w:widowControl/>
                    <w:spacing w:line="280" w:lineRule="exact"/>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val="en-US" w:eastAsia="zh-CN" w:bidi="ar"/>
                    </w:rPr>
                    <w:t>0.04</w:t>
                  </w:r>
                </w:p>
              </w:tc>
              <w:tc>
                <w:tcPr>
                  <w:tcW w:w="9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8E324">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外售</w:t>
                  </w:r>
                </w:p>
              </w:tc>
            </w:tr>
            <w:tr w14:paraId="09B12E81">
              <w:tblPrEx>
                <w:tblCellMar>
                  <w:top w:w="0" w:type="dxa"/>
                  <w:left w:w="108" w:type="dxa"/>
                  <w:bottom w:w="0" w:type="dxa"/>
                  <w:right w:w="108" w:type="dxa"/>
                </w:tblCellMar>
              </w:tblPrEx>
              <w:trPr>
                <w:trHeight w:val="363" w:hRule="atLeast"/>
                <w:jc w:val="center"/>
              </w:trPr>
              <w:tc>
                <w:tcPr>
                  <w:tcW w:w="205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2493EA0">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生活垃圾</w:t>
                  </w:r>
                </w:p>
              </w:tc>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CE1828">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900-002-S64</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C37A0">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2.97</w:t>
                  </w: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6CE26A">
                  <w:pPr>
                    <w:widowControl/>
                    <w:spacing w:line="280" w:lineRule="exact"/>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0</w:t>
                  </w:r>
                </w:p>
              </w:tc>
              <w:tc>
                <w:tcPr>
                  <w:tcW w:w="9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7115C">
                  <w:pPr>
                    <w:widowControl/>
                    <w:spacing w:line="280" w:lineRule="exact"/>
                    <w:jc w:val="both"/>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由园区环卫部门清运和处置</w:t>
                  </w:r>
                </w:p>
              </w:tc>
            </w:tr>
          </w:tbl>
          <w:p w14:paraId="14C13074">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表4.2-</w:t>
            </w:r>
            <w:r>
              <w:rPr>
                <w:rFonts w:hint="default" w:ascii="Times New Roman" w:hAnsi="Times New Roman" w:eastAsia="黑体" w:cs="Times New Roman"/>
                <w:b w:val="0"/>
                <w:bCs/>
                <w:color w:val="auto"/>
                <w:lang w:val="en-US" w:eastAsia="zh-CN"/>
              </w:rPr>
              <w:t>25</w:t>
            </w:r>
            <w:r>
              <w:rPr>
                <w:rFonts w:hint="default" w:ascii="Times New Roman" w:hAnsi="Times New Roman" w:eastAsia="黑体" w:cs="Times New Roman"/>
                <w:b w:val="0"/>
                <w:bCs/>
                <w:color w:val="auto"/>
              </w:rPr>
              <w:t xml:space="preserve">  危险废物汇总表</w:t>
            </w:r>
          </w:p>
          <w:tbl>
            <w:tblPr>
              <w:tblStyle w:val="34"/>
              <w:tblW w:w="867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280"/>
              <w:gridCol w:w="1023"/>
              <w:gridCol w:w="927"/>
              <w:gridCol w:w="810"/>
              <w:gridCol w:w="728"/>
              <w:gridCol w:w="535"/>
              <w:gridCol w:w="1154"/>
              <w:gridCol w:w="852"/>
              <w:gridCol w:w="608"/>
              <w:gridCol w:w="608"/>
              <w:gridCol w:w="1154"/>
            </w:tblGrid>
            <w:tr w14:paraId="703199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748" w:hRule="atLeast"/>
              </w:trPr>
              <w:tc>
                <w:tcPr>
                  <w:tcW w:w="161" w:type="pct"/>
                  <w:tcBorders>
                    <w:tl2br w:val="nil"/>
                    <w:tr2bl w:val="nil"/>
                  </w:tcBorders>
                  <w:shd w:val="clear" w:color="auto" w:fill="auto"/>
                  <w:vAlign w:val="center"/>
                </w:tcPr>
                <w:p w14:paraId="6616FE60">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序号</w:t>
                  </w:r>
                </w:p>
              </w:tc>
              <w:tc>
                <w:tcPr>
                  <w:tcW w:w="589" w:type="pct"/>
                  <w:tcBorders>
                    <w:tl2br w:val="nil"/>
                    <w:tr2bl w:val="nil"/>
                  </w:tcBorders>
                  <w:shd w:val="clear" w:color="auto" w:fill="auto"/>
                  <w:vAlign w:val="center"/>
                </w:tcPr>
                <w:p w14:paraId="067D0FEA">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危险废物名称</w:t>
                  </w:r>
                </w:p>
              </w:tc>
              <w:tc>
                <w:tcPr>
                  <w:tcW w:w="534" w:type="pct"/>
                  <w:tcBorders>
                    <w:tl2br w:val="nil"/>
                    <w:tr2bl w:val="nil"/>
                  </w:tcBorders>
                  <w:shd w:val="clear" w:color="auto" w:fill="auto"/>
                  <w:vAlign w:val="center"/>
                </w:tcPr>
                <w:p w14:paraId="6378FA93">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危险废物类别</w:t>
                  </w:r>
                </w:p>
              </w:tc>
              <w:tc>
                <w:tcPr>
                  <w:tcW w:w="466" w:type="pct"/>
                  <w:tcBorders>
                    <w:tl2br w:val="nil"/>
                    <w:tr2bl w:val="nil"/>
                  </w:tcBorders>
                  <w:shd w:val="clear" w:color="auto" w:fill="auto"/>
                  <w:vAlign w:val="center"/>
                </w:tcPr>
                <w:p w14:paraId="75884B07">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总产生量（t/a）</w:t>
                  </w:r>
                </w:p>
              </w:tc>
              <w:tc>
                <w:tcPr>
                  <w:tcW w:w="419" w:type="pct"/>
                  <w:tcBorders>
                    <w:tl2br w:val="nil"/>
                    <w:tr2bl w:val="nil"/>
                  </w:tcBorders>
                  <w:shd w:val="clear" w:color="auto" w:fill="auto"/>
                  <w:vAlign w:val="center"/>
                </w:tcPr>
                <w:p w14:paraId="2BAF7A14">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产生工序/装置</w:t>
                  </w:r>
                </w:p>
              </w:tc>
              <w:tc>
                <w:tcPr>
                  <w:tcW w:w="308" w:type="pct"/>
                  <w:tcBorders>
                    <w:tl2br w:val="nil"/>
                    <w:tr2bl w:val="nil"/>
                  </w:tcBorders>
                  <w:shd w:val="clear" w:color="auto" w:fill="auto"/>
                  <w:vAlign w:val="center"/>
                </w:tcPr>
                <w:p w14:paraId="51FF60B5">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形态</w:t>
                  </w:r>
                </w:p>
              </w:tc>
              <w:tc>
                <w:tcPr>
                  <w:tcW w:w="664" w:type="pct"/>
                  <w:tcBorders>
                    <w:tl2br w:val="nil"/>
                    <w:tr2bl w:val="nil"/>
                  </w:tcBorders>
                  <w:shd w:val="clear" w:color="auto" w:fill="auto"/>
                  <w:vAlign w:val="center"/>
                </w:tcPr>
                <w:p w14:paraId="129D17F6">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主要成分</w:t>
                  </w:r>
                </w:p>
              </w:tc>
              <w:tc>
                <w:tcPr>
                  <w:tcW w:w="490" w:type="pct"/>
                  <w:tcBorders>
                    <w:tl2br w:val="nil"/>
                    <w:tr2bl w:val="nil"/>
                  </w:tcBorders>
                  <w:shd w:val="clear" w:color="auto" w:fill="auto"/>
                  <w:vAlign w:val="center"/>
                </w:tcPr>
                <w:p w14:paraId="22C72524">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有害成分</w:t>
                  </w:r>
                </w:p>
              </w:tc>
              <w:tc>
                <w:tcPr>
                  <w:tcW w:w="350" w:type="pct"/>
                  <w:tcBorders>
                    <w:tl2br w:val="nil"/>
                    <w:tr2bl w:val="nil"/>
                  </w:tcBorders>
                  <w:shd w:val="clear" w:color="auto" w:fill="auto"/>
                  <w:vAlign w:val="center"/>
                </w:tcPr>
                <w:p w14:paraId="17CF0DD4">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产废周期</w:t>
                  </w:r>
                </w:p>
              </w:tc>
              <w:tc>
                <w:tcPr>
                  <w:tcW w:w="350" w:type="pct"/>
                  <w:tcBorders>
                    <w:tl2br w:val="nil"/>
                    <w:tr2bl w:val="nil"/>
                  </w:tcBorders>
                  <w:shd w:val="clear" w:color="auto" w:fill="auto"/>
                  <w:vAlign w:val="center"/>
                </w:tcPr>
                <w:p w14:paraId="7C95F94D">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危险特性</w:t>
                  </w:r>
                </w:p>
              </w:tc>
              <w:tc>
                <w:tcPr>
                  <w:tcW w:w="664" w:type="pct"/>
                  <w:tcBorders>
                    <w:tl2br w:val="nil"/>
                    <w:tr2bl w:val="nil"/>
                  </w:tcBorders>
                  <w:shd w:val="clear" w:color="auto" w:fill="auto"/>
                  <w:vAlign w:val="center"/>
                </w:tcPr>
                <w:p w14:paraId="4E384132">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污染防治措施</w:t>
                  </w:r>
                </w:p>
              </w:tc>
            </w:tr>
            <w:tr w14:paraId="6E753E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61" w:type="pct"/>
                  <w:tcBorders>
                    <w:tl2br w:val="nil"/>
                    <w:tr2bl w:val="nil"/>
                  </w:tcBorders>
                  <w:shd w:val="clear" w:color="auto" w:fill="auto"/>
                  <w:vAlign w:val="center"/>
                </w:tcPr>
                <w:p w14:paraId="3CA00347">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589" w:type="pct"/>
                  <w:tcBorders>
                    <w:tl2br w:val="nil"/>
                    <w:tr2bl w:val="nil"/>
                  </w:tcBorders>
                  <w:shd w:val="clear" w:color="auto" w:fill="auto"/>
                  <w:noWrap/>
                  <w:vAlign w:val="center"/>
                </w:tcPr>
                <w:p w14:paraId="4891EE5A">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废酸液</w:t>
                  </w:r>
                </w:p>
              </w:tc>
              <w:tc>
                <w:tcPr>
                  <w:tcW w:w="534" w:type="pct"/>
                  <w:tcBorders>
                    <w:tl2br w:val="nil"/>
                    <w:tr2bl w:val="nil"/>
                  </w:tcBorders>
                  <w:shd w:val="clear" w:color="auto" w:fill="auto"/>
                  <w:vAlign w:val="center"/>
                </w:tcPr>
                <w:p w14:paraId="2293B9B5">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HW17</w:t>
                  </w:r>
                </w:p>
                <w:p w14:paraId="0BAB5F30">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336-064-17</w:t>
                  </w:r>
                </w:p>
              </w:tc>
              <w:tc>
                <w:tcPr>
                  <w:tcW w:w="466" w:type="pct"/>
                  <w:tcBorders>
                    <w:tl2br w:val="nil"/>
                    <w:tr2bl w:val="nil"/>
                  </w:tcBorders>
                  <w:shd w:val="clear" w:color="auto" w:fill="auto"/>
                  <w:vAlign w:val="center"/>
                </w:tcPr>
                <w:p w14:paraId="05B42719">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3375</w:t>
                  </w:r>
                </w:p>
              </w:tc>
              <w:tc>
                <w:tcPr>
                  <w:tcW w:w="419" w:type="pct"/>
                  <w:vMerge w:val="restart"/>
                  <w:tcBorders>
                    <w:tl2br w:val="nil"/>
                    <w:tr2bl w:val="nil"/>
                  </w:tcBorders>
                  <w:shd w:val="clear" w:color="auto" w:fill="auto"/>
                  <w:vAlign w:val="center"/>
                </w:tcPr>
                <w:p w14:paraId="0947C017">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表面处理生产线</w:t>
                  </w:r>
                </w:p>
              </w:tc>
              <w:tc>
                <w:tcPr>
                  <w:tcW w:w="308" w:type="pct"/>
                  <w:tcBorders>
                    <w:tl2br w:val="nil"/>
                    <w:tr2bl w:val="nil"/>
                  </w:tcBorders>
                  <w:shd w:val="clear" w:color="auto" w:fill="auto"/>
                  <w:vAlign w:val="center"/>
                </w:tcPr>
                <w:p w14:paraId="0211F181">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液态</w:t>
                  </w:r>
                </w:p>
              </w:tc>
              <w:tc>
                <w:tcPr>
                  <w:tcW w:w="664" w:type="pct"/>
                  <w:tcBorders>
                    <w:tl2br w:val="nil"/>
                    <w:tr2bl w:val="nil"/>
                  </w:tcBorders>
                  <w:shd w:val="clear" w:color="auto" w:fill="auto"/>
                  <w:vAlign w:val="center"/>
                </w:tcPr>
                <w:p w14:paraId="37893014">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盐酸</w:t>
                  </w:r>
                </w:p>
              </w:tc>
              <w:tc>
                <w:tcPr>
                  <w:tcW w:w="490" w:type="pct"/>
                  <w:tcBorders>
                    <w:tl2br w:val="nil"/>
                    <w:tr2bl w:val="nil"/>
                  </w:tcBorders>
                  <w:shd w:val="clear" w:color="auto" w:fill="auto"/>
                  <w:vAlign w:val="center"/>
                </w:tcPr>
                <w:p w14:paraId="6CB30650">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酸</w:t>
                  </w:r>
                </w:p>
              </w:tc>
              <w:tc>
                <w:tcPr>
                  <w:tcW w:w="350" w:type="pct"/>
                  <w:tcBorders>
                    <w:tl2br w:val="nil"/>
                    <w:tr2bl w:val="nil"/>
                  </w:tcBorders>
                  <w:shd w:val="clear" w:color="auto" w:fill="auto"/>
                  <w:vAlign w:val="center"/>
                </w:tcPr>
                <w:p w14:paraId="7DB6C006">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1个月</w:t>
                  </w:r>
                </w:p>
              </w:tc>
              <w:tc>
                <w:tcPr>
                  <w:tcW w:w="350" w:type="pct"/>
                  <w:tcBorders>
                    <w:tl2br w:val="nil"/>
                    <w:tr2bl w:val="nil"/>
                  </w:tcBorders>
                  <w:shd w:val="clear" w:color="auto" w:fill="auto"/>
                  <w:vAlign w:val="center"/>
                </w:tcPr>
                <w:p w14:paraId="1FD27AB7">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T/C</w:t>
                  </w:r>
                </w:p>
              </w:tc>
              <w:tc>
                <w:tcPr>
                  <w:tcW w:w="664" w:type="pct"/>
                  <w:vMerge w:val="restart"/>
                  <w:tcBorders>
                    <w:tl2br w:val="nil"/>
                    <w:tr2bl w:val="nil"/>
                  </w:tcBorders>
                  <w:shd w:val="clear" w:color="auto" w:fill="auto"/>
                  <w:vAlign w:val="center"/>
                </w:tcPr>
                <w:p w14:paraId="31A143B4">
                  <w:pPr>
                    <w:keepNext w:val="0"/>
                    <w:keepLines w:val="0"/>
                    <w:pageBreakBefore w:val="0"/>
                    <w:widowControl/>
                    <w:suppressLineNumbers w:val="0"/>
                    <w:kinsoku/>
                    <w:wordWrap/>
                    <w:overflowPunct/>
                    <w:topLinePunct w:val="0"/>
                    <w:autoSpaceDE/>
                    <w:autoSpaceDN/>
                    <w:bidi w:val="0"/>
                    <w:adjustRightInd w:val="0"/>
                    <w:snapToGrid w:val="0"/>
                    <w:spacing w:line="280" w:lineRule="exact"/>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暂存</w:t>
                  </w:r>
                  <w:r>
                    <w:rPr>
                      <w:rFonts w:hint="default" w:ascii="Times New Roman" w:hAnsi="Times New Roman" w:cs="Times New Roman"/>
                      <w:i w:val="0"/>
                      <w:iCs w:val="0"/>
                      <w:color w:val="auto"/>
                      <w:kern w:val="0"/>
                      <w:sz w:val="21"/>
                      <w:szCs w:val="21"/>
                      <w:u w:val="none"/>
                      <w:lang w:val="en-US" w:eastAsia="zh-CN" w:bidi="ar"/>
                    </w:rPr>
                    <w:t>废酸罐</w:t>
                  </w:r>
                  <w:r>
                    <w:rPr>
                      <w:rFonts w:hint="default" w:ascii="Times New Roman" w:hAnsi="Times New Roman" w:eastAsia="宋体" w:cs="Times New Roman"/>
                      <w:i w:val="0"/>
                      <w:iCs w:val="0"/>
                      <w:color w:val="auto"/>
                      <w:kern w:val="0"/>
                      <w:sz w:val="21"/>
                      <w:szCs w:val="21"/>
                      <w:u w:val="none"/>
                      <w:lang w:val="en-US" w:eastAsia="zh-CN" w:bidi="ar"/>
                    </w:rPr>
                    <w:t>，委托有资质的单位处理处置</w:t>
                  </w:r>
                </w:p>
              </w:tc>
            </w:tr>
            <w:tr w14:paraId="2E6D17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10" w:hRule="atLeast"/>
              </w:trPr>
              <w:tc>
                <w:tcPr>
                  <w:tcW w:w="161" w:type="pct"/>
                  <w:tcBorders>
                    <w:tl2br w:val="nil"/>
                    <w:tr2bl w:val="nil"/>
                  </w:tcBorders>
                  <w:shd w:val="clear" w:color="auto" w:fill="auto"/>
                  <w:vAlign w:val="center"/>
                </w:tcPr>
                <w:p w14:paraId="752BA404">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589" w:type="pct"/>
                  <w:tcBorders>
                    <w:tl2br w:val="nil"/>
                    <w:tr2bl w:val="nil"/>
                  </w:tcBorders>
                  <w:shd w:val="clear" w:color="auto" w:fill="auto"/>
                  <w:vAlign w:val="center"/>
                </w:tcPr>
                <w:p w14:paraId="647137C7">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磷渣</w:t>
                  </w:r>
                </w:p>
              </w:tc>
              <w:tc>
                <w:tcPr>
                  <w:tcW w:w="534" w:type="pct"/>
                  <w:tcBorders>
                    <w:tl2br w:val="nil"/>
                    <w:tr2bl w:val="nil"/>
                  </w:tcBorders>
                  <w:shd w:val="clear" w:color="auto" w:fill="auto"/>
                  <w:vAlign w:val="center"/>
                </w:tcPr>
                <w:p w14:paraId="61E78F5E">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HW17</w:t>
                  </w:r>
                </w:p>
                <w:p w14:paraId="784D432C">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336-064-17</w:t>
                  </w:r>
                </w:p>
              </w:tc>
              <w:tc>
                <w:tcPr>
                  <w:tcW w:w="466" w:type="pct"/>
                  <w:tcBorders>
                    <w:tl2br w:val="nil"/>
                    <w:tr2bl w:val="nil"/>
                  </w:tcBorders>
                  <w:shd w:val="clear" w:color="auto" w:fill="auto"/>
                  <w:vAlign w:val="center"/>
                </w:tcPr>
                <w:p w14:paraId="79B84361">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150</w:t>
                  </w:r>
                </w:p>
              </w:tc>
              <w:tc>
                <w:tcPr>
                  <w:tcW w:w="419" w:type="pct"/>
                  <w:vMerge w:val="continue"/>
                  <w:tcBorders>
                    <w:tl2br w:val="nil"/>
                    <w:tr2bl w:val="nil"/>
                  </w:tcBorders>
                  <w:shd w:val="clear" w:color="auto" w:fill="auto"/>
                  <w:vAlign w:val="center"/>
                </w:tcPr>
                <w:p w14:paraId="54928002">
                  <w:pPr>
                    <w:keepNext w:val="0"/>
                    <w:keepLines w:val="0"/>
                    <w:pageBreakBefore w:val="0"/>
                    <w:widowControl/>
                    <w:kinsoku/>
                    <w:wordWrap/>
                    <w:overflowPunct/>
                    <w:topLinePunct w:val="0"/>
                    <w:autoSpaceDE/>
                    <w:autoSpaceDN/>
                    <w:bidi w:val="0"/>
                    <w:adjustRightInd w:val="0"/>
                    <w:snapToGrid w:val="0"/>
                    <w:spacing w:line="280" w:lineRule="exact"/>
                    <w:jc w:val="center"/>
                    <w:rPr>
                      <w:rFonts w:hint="default" w:ascii="Times New Roman" w:hAnsi="Times New Roman" w:eastAsia="宋体" w:cs="Times New Roman"/>
                      <w:i w:val="0"/>
                      <w:iCs w:val="0"/>
                      <w:color w:val="auto"/>
                      <w:sz w:val="21"/>
                      <w:szCs w:val="21"/>
                      <w:u w:val="none"/>
                    </w:rPr>
                  </w:pPr>
                </w:p>
              </w:tc>
              <w:tc>
                <w:tcPr>
                  <w:tcW w:w="308" w:type="pct"/>
                  <w:tcBorders>
                    <w:tl2br w:val="nil"/>
                    <w:tr2bl w:val="nil"/>
                  </w:tcBorders>
                  <w:shd w:val="clear" w:color="auto" w:fill="auto"/>
                  <w:vAlign w:val="center"/>
                </w:tcPr>
                <w:p w14:paraId="01C81367">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664" w:type="pct"/>
                  <w:tcBorders>
                    <w:tl2br w:val="nil"/>
                    <w:tr2bl w:val="nil"/>
                  </w:tcBorders>
                  <w:shd w:val="clear" w:color="auto" w:fill="auto"/>
                  <w:noWrap/>
                  <w:vAlign w:val="center"/>
                </w:tcPr>
                <w:p w14:paraId="136BD471">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磷酸、锌等</w:t>
                  </w:r>
                </w:p>
              </w:tc>
              <w:tc>
                <w:tcPr>
                  <w:tcW w:w="490" w:type="pct"/>
                  <w:tcBorders>
                    <w:tl2br w:val="nil"/>
                    <w:tr2bl w:val="nil"/>
                  </w:tcBorders>
                  <w:shd w:val="clear" w:color="auto" w:fill="auto"/>
                  <w:noWrap/>
                  <w:vAlign w:val="center"/>
                </w:tcPr>
                <w:p w14:paraId="694C0043">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磷化液</w:t>
                  </w:r>
                </w:p>
              </w:tc>
              <w:tc>
                <w:tcPr>
                  <w:tcW w:w="350" w:type="pct"/>
                  <w:tcBorders>
                    <w:tl2br w:val="nil"/>
                    <w:tr2bl w:val="nil"/>
                  </w:tcBorders>
                  <w:shd w:val="clear" w:color="auto" w:fill="auto"/>
                  <w:vAlign w:val="center"/>
                </w:tcPr>
                <w:p w14:paraId="15B5619D">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2个月</w:t>
                  </w:r>
                </w:p>
              </w:tc>
              <w:tc>
                <w:tcPr>
                  <w:tcW w:w="350" w:type="pct"/>
                  <w:tcBorders>
                    <w:tl2br w:val="nil"/>
                    <w:tr2bl w:val="nil"/>
                  </w:tcBorders>
                  <w:shd w:val="clear" w:color="auto" w:fill="auto"/>
                  <w:vAlign w:val="center"/>
                </w:tcPr>
                <w:p w14:paraId="050CE323">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T/C</w:t>
                  </w:r>
                </w:p>
              </w:tc>
              <w:tc>
                <w:tcPr>
                  <w:tcW w:w="664" w:type="pct"/>
                  <w:vMerge w:val="continue"/>
                  <w:tcBorders>
                    <w:tl2br w:val="nil"/>
                    <w:tr2bl w:val="nil"/>
                  </w:tcBorders>
                  <w:shd w:val="clear" w:color="auto" w:fill="auto"/>
                  <w:vAlign w:val="center"/>
                </w:tcPr>
                <w:p w14:paraId="37C86002">
                  <w:pPr>
                    <w:keepNext w:val="0"/>
                    <w:keepLines w:val="0"/>
                    <w:pageBreakBefore w:val="0"/>
                    <w:widowControl/>
                    <w:kinsoku/>
                    <w:wordWrap/>
                    <w:overflowPunct/>
                    <w:topLinePunct w:val="0"/>
                    <w:autoSpaceDE/>
                    <w:autoSpaceDN/>
                    <w:bidi w:val="0"/>
                    <w:adjustRightInd w:val="0"/>
                    <w:snapToGrid w:val="0"/>
                    <w:spacing w:line="280" w:lineRule="exact"/>
                    <w:jc w:val="both"/>
                    <w:rPr>
                      <w:rFonts w:hint="default" w:ascii="Times New Roman" w:hAnsi="Times New Roman" w:eastAsia="宋体" w:cs="Times New Roman"/>
                      <w:i w:val="0"/>
                      <w:iCs w:val="0"/>
                      <w:color w:val="auto"/>
                      <w:sz w:val="21"/>
                      <w:szCs w:val="21"/>
                      <w:u w:val="none"/>
                    </w:rPr>
                  </w:pPr>
                </w:p>
              </w:tc>
            </w:tr>
            <w:tr w14:paraId="389C75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10" w:hRule="atLeast"/>
              </w:trPr>
              <w:tc>
                <w:tcPr>
                  <w:tcW w:w="161" w:type="pct"/>
                  <w:tcBorders>
                    <w:tl2br w:val="nil"/>
                    <w:tr2bl w:val="nil"/>
                  </w:tcBorders>
                  <w:shd w:val="clear" w:color="auto" w:fill="auto"/>
                  <w:vAlign w:val="center"/>
                </w:tcPr>
                <w:p w14:paraId="66995793">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589" w:type="pct"/>
                  <w:tcBorders>
                    <w:tl2br w:val="nil"/>
                    <w:tr2bl w:val="nil"/>
                  </w:tcBorders>
                  <w:shd w:val="clear" w:color="auto" w:fill="auto"/>
                  <w:vAlign w:val="center"/>
                </w:tcPr>
                <w:p w14:paraId="13642A80">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皂化废液</w:t>
                  </w:r>
                </w:p>
              </w:tc>
              <w:tc>
                <w:tcPr>
                  <w:tcW w:w="534" w:type="pct"/>
                  <w:tcBorders>
                    <w:tl2br w:val="nil"/>
                    <w:tr2bl w:val="nil"/>
                  </w:tcBorders>
                  <w:shd w:val="clear" w:color="auto" w:fill="auto"/>
                  <w:vAlign w:val="center"/>
                </w:tcPr>
                <w:p w14:paraId="0AA4251C">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HW17</w:t>
                  </w:r>
                </w:p>
                <w:p w14:paraId="5800229D">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336-064-17</w:t>
                  </w:r>
                </w:p>
              </w:tc>
              <w:tc>
                <w:tcPr>
                  <w:tcW w:w="466" w:type="pct"/>
                  <w:tcBorders>
                    <w:tl2br w:val="nil"/>
                    <w:tr2bl w:val="nil"/>
                  </w:tcBorders>
                  <w:shd w:val="clear" w:color="auto" w:fill="auto"/>
                  <w:vAlign w:val="center"/>
                </w:tcPr>
                <w:p w14:paraId="3835933F">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56.3</w:t>
                  </w:r>
                </w:p>
              </w:tc>
              <w:tc>
                <w:tcPr>
                  <w:tcW w:w="419" w:type="pct"/>
                  <w:vMerge w:val="continue"/>
                  <w:tcBorders>
                    <w:tl2br w:val="nil"/>
                    <w:tr2bl w:val="nil"/>
                  </w:tcBorders>
                  <w:shd w:val="clear" w:color="auto" w:fill="auto"/>
                  <w:vAlign w:val="center"/>
                </w:tcPr>
                <w:p w14:paraId="07F22608">
                  <w:pPr>
                    <w:keepNext w:val="0"/>
                    <w:keepLines w:val="0"/>
                    <w:pageBreakBefore w:val="0"/>
                    <w:widowControl/>
                    <w:kinsoku/>
                    <w:wordWrap/>
                    <w:overflowPunct/>
                    <w:topLinePunct w:val="0"/>
                    <w:autoSpaceDE/>
                    <w:autoSpaceDN/>
                    <w:bidi w:val="0"/>
                    <w:adjustRightInd w:val="0"/>
                    <w:snapToGrid w:val="0"/>
                    <w:spacing w:line="280" w:lineRule="exact"/>
                    <w:jc w:val="center"/>
                    <w:rPr>
                      <w:rFonts w:hint="default" w:ascii="Times New Roman" w:hAnsi="Times New Roman" w:eastAsia="宋体" w:cs="Times New Roman"/>
                      <w:i w:val="0"/>
                      <w:iCs w:val="0"/>
                      <w:color w:val="auto"/>
                      <w:sz w:val="21"/>
                      <w:szCs w:val="21"/>
                      <w:u w:val="none"/>
                    </w:rPr>
                  </w:pPr>
                </w:p>
              </w:tc>
              <w:tc>
                <w:tcPr>
                  <w:tcW w:w="308" w:type="pct"/>
                  <w:tcBorders>
                    <w:tl2br w:val="nil"/>
                    <w:tr2bl w:val="nil"/>
                  </w:tcBorders>
                  <w:shd w:val="clear" w:color="auto" w:fill="auto"/>
                  <w:vAlign w:val="center"/>
                </w:tcPr>
                <w:p w14:paraId="118A199F">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液态</w:t>
                  </w:r>
                </w:p>
              </w:tc>
              <w:tc>
                <w:tcPr>
                  <w:tcW w:w="664" w:type="pct"/>
                  <w:tcBorders>
                    <w:tl2br w:val="nil"/>
                    <w:tr2bl w:val="nil"/>
                  </w:tcBorders>
                  <w:shd w:val="clear" w:color="auto" w:fill="auto"/>
                  <w:vAlign w:val="center"/>
                </w:tcPr>
                <w:p w14:paraId="499F199D">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碱、表面活性剂等</w:t>
                  </w:r>
                </w:p>
              </w:tc>
              <w:tc>
                <w:tcPr>
                  <w:tcW w:w="490" w:type="pct"/>
                  <w:tcBorders>
                    <w:tl2br w:val="nil"/>
                    <w:tr2bl w:val="nil"/>
                  </w:tcBorders>
                  <w:shd w:val="clear" w:color="auto" w:fill="auto"/>
                  <w:vAlign w:val="center"/>
                </w:tcPr>
                <w:p w14:paraId="157267D2">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皂化废液</w:t>
                  </w:r>
                </w:p>
              </w:tc>
              <w:tc>
                <w:tcPr>
                  <w:tcW w:w="350" w:type="pct"/>
                  <w:tcBorders>
                    <w:tl2br w:val="nil"/>
                    <w:tr2bl w:val="nil"/>
                  </w:tcBorders>
                  <w:shd w:val="clear" w:color="auto" w:fill="auto"/>
                  <w:vAlign w:val="center"/>
                </w:tcPr>
                <w:p w14:paraId="6E38FCFF">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5个月</w:t>
                  </w:r>
                </w:p>
              </w:tc>
              <w:tc>
                <w:tcPr>
                  <w:tcW w:w="350" w:type="pct"/>
                  <w:tcBorders>
                    <w:tl2br w:val="nil"/>
                    <w:tr2bl w:val="nil"/>
                  </w:tcBorders>
                  <w:shd w:val="clear" w:color="auto" w:fill="auto"/>
                  <w:vAlign w:val="center"/>
                </w:tcPr>
                <w:p w14:paraId="0B73A593">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T/C</w:t>
                  </w:r>
                </w:p>
              </w:tc>
              <w:tc>
                <w:tcPr>
                  <w:tcW w:w="664" w:type="pct"/>
                  <w:vMerge w:val="continue"/>
                  <w:tcBorders>
                    <w:tl2br w:val="nil"/>
                    <w:tr2bl w:val="nil"/>
                  </w:tcBorders>
                  <w:shd w:val="clear" w:color="auto" w:fill="auto"/>
                  <w:vAlign w:val="center"/>
                </w:tcPr>
                <w:p w14:paraId="78D22DB4">
                  <w:pPr>
                    <w:keepNext w:val="0"/>
                    <w:keepLines w:val="0"/>
                    <w:pageBreakBefore w:val="0"/>
                    <w:widowControl/>
                    <w:kinsoku/>
                    <w:wordWrap/>
                    <w:overflowPunct/>
                    <w:topLinePunct w:val="0"/>
                    <w:autoSpaceDE/>
                    <w:autoSpaceDN/>
                    <w:bidi w:val="0"/>
                    <w:adjustRightInd w:val="0"/>
                    <w:snapToGrid w:val="0"/>
                    <w:spacing w:line="280" w:lineRule="exact"/>
                    <w:jc w:val="both"/>
                    <w:rPr>
                      <w:rFonts w:hint="default" w:ascii="Times New Roman" w:hAnsi="Times New Roman" w:eastAsia="宋体" w:cs="Times New Roman"/>
                      <w:i w:val="0"/>
                      <w:iCs w:val="0"/>
                      <w:color w:val="auto"/>
                      <w:sz w:val="21"/>
                      <w:szCs w:val="21"/>
                      <w:u w:val="none"/>
                    </w:rPr>
                  </w:pPr>
                </w:p>
              </w:tc>
            </w:tr>
            <w:tr w14:paraId="27A250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61" w:type="pct"/>
                  <w:tcBorders>
                    <w:tl2br w:val="nil"/>
                    <w:tr2bl w:val="nil"/>
                  </w:tcBorders>
                  <w:shd w:val="clear" w:color="auto" w:fill="auto"/>
                  <w:vAlign w:val="center"/>
                </w:tcPr>
                <w:p w14:paraId="602DC51C">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589" w:type="pct"/>
                  <w:tcBorders>
                    <w:tl2br w:val="nil"/>
                    <w:tr2bl w:val="nil"/>
                  </w:tcBorders>
                  <w:shd w:val="clear" w:color="auto" w:fill="auto"/>
                  <w:vAlign w:val="center"/>
                </w:tcPr>
                <w:p w14:paraId="4B55824C">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污水处理站污泥</w:t>
                  </w:r>
                </w:p>
              </w:tc>
              <w:tc>
                <w:tcPr>
                  <w:tcW w:w="534" w:type="pct"/>
                  <w:tcBorders>
                    <w:tl2br w:val="nil"/>
                    <w:tr2bl w:val="nil"/>
                  </w:tcBorders>
                  <w:shd w:val="clear" w:color="auto" w:fill="auto"/>
                  <w:vAlign w:val="center"/>
                </w:tcPr>
                <w:p w14:paraId="30DEBE37">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HW17</w:t>
                  </w:r>
                </w:p>
                <w:p w14:paraId="32FE1292">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336-064-17</w:t>
                  </w:r>
                </w:p>
              </w:tc>
              <w:tc>
                <w:tcPr>
                  <w:tcW w:w="466" w:type="pct"/>
                  <w:tcBorders>
                    <w:tl2br w:val="nil"/>
                    <w:tr2bl w:val="nil"/>
                  </w:tcBorders>
                  <w:shd w:val="clear" w:color="auto" w:fill="auto"/>
                  <w:vAlign w:val="center"/>
                </w:tcPr>
                <w:p w14:paraId="4270743B">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524.96</w:t>
                  </w:r>
                </w:p>
              </w:tc>
              <w:tc>
                <w:tcPr>
                  <w:tcW w:w="419" w:type="pct"/>
                  <w:tcBorders>
                    <w:tl2br w:val="nil"/>
                    <w:tr2bl w:val="nil"/>
                  </w:tcBorders>
                  <w:shd w:val="clear" w:color="auto" w:fill="auto"/>
                  <w:vAlign w:val="center"/>
                </w:tcPr>
                <w:p w14:paraId="54B40C39">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废水处理</w:t>
                  </w:r>
                </w:p>
              </w:tc>
              <w:tc>
                <w:tcPr>
                  <w:tcW w:w="308" w:type="pct"/>
                  <w:tcBorders>
                    <w:tl2br w:val="nil"/>
                    <w:tr2bl w:val="nil"/>
                  </w:tcBorders>
                  <w:shd w:val="clear" w:color="auto" w:fill="auto"/>
                  <w:vAlign w:val="center"/>
                </w:tcPr>
                <w:p w14:paraId="59F978F4">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664" w:type="pct"/>
                  <w:tcBorders>
                    <w:tl2br w:val="nil"/>
                    <w:tr2bl w:val="nil"/>
                  </w:tcBorders>
                  <w:shd w:val="clear" w:color="auto" w:fill="auto"/>
                  <w:vAlign w:val="center"/>
                </w:tcPr>
                <w:p w14:paraId="11E4D39C">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碱、金属、絮凝剂</w:t>
                  </w:r>
                </w:p>
              </w:tc>
              <w:tc>
                <w:tcPr>
                  <w:tcW w:w="490" w:type="pct"/>
                  <w:tcBorders>
                    <w:tl2br w:val="nil"/>
                    <w:tr2bl w:val="nil"/>
                  </w:tcBorders>
                  <w:shd w:val="clear" w:color="auto" w:fill="auto"/>
                  <w:vAlign w:val="center"/>
                </w:tcPr>
                <w:p w14:paraId="45710E40">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碱、金属、絮凝剂</w:t>
                  </w:r>
                </w:p>
              </w:tc>
              <w:tc>
                <w:tcPr>
                  <w:tcW w:w="350" w:type="pct"/>
                  <w:tcBorders>
                    <w:tl2br w:val="nil"/>
                    <w:tr2bl w:val="nil"/>
                  </w:tcBorders>
                  <w:shd w:val="clear" w:color="auto" w:fill="auto"/>
                  <w:vAlign w:val="center"/>
                </w:tcPr>
                <w:p w14:paraId="4644A458">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半年</w:t>
                  </w:r>
                </w:p>
              </w:tc>
              <w:tc>
                <w:tcPr>
                  <w:tcW w:w="350" w:type="pct"/>
                  <w:tcBorders>
                    <w:tl2br w:val="nil"/>
                    <w:tr2bl w:val="nil"/>
                  </w:tcBorders>
                  <w:shd w:val="clear" w:color="auto" w:fill="auto"/>
                  <w:vAlign w:val="center"/>
                </w:tcPr>
                <w:p w14:paraId="2CDF8F97">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T/C</w:t>
                  </w:r>
                </w:p>
              </w:tc>
              <w:tc>
                <w:tcPr>
                  <w:tcW w:w="664" w:type="pct"/>
                  <w:vMerge w:val="continue"/>
                  <w:tcBorders>
                    <w:tl2br w:val="nil"/>
                    <w:tr2bl w:val="nil"/>
                  </w:tcBorders>
                  <w:shd w:val="clear" w:color="auto" w:fill="auto"/>
                  <w:vAlign w:val="center"/>
                </w:tcPr>
                <w:p w14:paraId="115FBC20">
                  <w:pPr>
                    <w:keepNext w:val="0"/>
                    <w:keepLines w:val="0"/>
                    <w:pageBreakBefore w:val="0"/>
                    <w:widowControl/>
                    <w:kinsoku/>
                    <w:wordWrap/>
                    <w:overflowPunct/>
                    <w:topLinePunct w:val="0"/>
                    <w:autoSpaceDE/>
                    <w:autoSpaceDN/>
                    <w:bidi w:val="0"/>
                    <w:adjustRightInd w:val="0"/>
                    <w:snapToGrid w:val="0"/>
                    <w:spacing w:line="280" w:lineRule="exact"/>
                    <w:jc w:val="both"/>
                    <w:rPr>
                      <w:rFonts w:hint="default" w:ascii="Times New Roman" w:hAnsi="Times New Roman" w:eastAsia="宋体" w:cs="Times New Roman"/>
                      <w:i w:val="0"/>
                      <w:iCs w:val="0"/>
                      <w:color w:val="auto"/>
                      <w:sz w:val="21"/>
                      <w:szCs w:val="21"/>
                      <w:u w:val="none"/>
                    </w:rPr>
                  </w:pPr>
                </w:p>
              </w:tc>
            </w:tr>
            <w:tr w14:paraId="5998AD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85" w:hRule="atLeast"/>
              </w:trPr>
              <w:tc>
                <w:tcPr>
                  <w:tcW w:w="161" w:type="pct"/>
                  <w:tcBorders>
                    <w:tl2br w:val="nil"/>
                    <w:tr2bl w:val="nil"/>
                  </w:tcBorders>
                  <w:shd w:val="clear" w:color="auto" w:fill="auto"/>
                  <w:vAlign w:val="center"/>
                </w:tcPr>
                <w:p w14:paraId="7C749135">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589" w:type="pct"/>
                  <w:tcBorders>
                    <w:tl2br w:val="nil"/>
                    <w:tr2bl w:val="nil"/>
                  </w:tcBorders>
                  <w:shd w:val="clear" w:color="auto" w:fill="auto"/>
                  <w:vAlign w:val="center"/>
                </w:tcPr>
                <w:p w14:paraId="1EA29607">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磷化液原料空桶</w:t>
                  </w:r>
                </w:p>
              </w:tc>
              <w:tc>
                <w:tcPr>
                  <w:tcW w:w="534" w:type="pct"/>
                  <w:tcBorders>
                    <w:tl2br w:val="nil"/>
                    <w:tr2bl w:val="nil"/>
                  </w:tcBorders>
                  <w:shd w:val="clear" w:color="auto" w:fill="auto"/>
                  <w:vAlign w:val="center"/>
                </w:tcPr>
                <w:p w14:paraId="07033256">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HW49</w:t>
                  </w:r>
                </w:p>
                <w:p w14:paraId="569765BF">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900-041-49</w:t>
                  </w:r>
                </w:p>
              </w:tc>
              <w:tc>
                <w:tcPr>
                  <w:tcW w:w="466" w:type="pct"/>
                  <w:tcBorders>
                    <w:tl2br w:val="nil"/>
                    <w:tr2bl w:val="nil"/>
                  </w:tcBorders>
                  <w:shd w:val="clear" w:color="auto" w:fill="auto"/>
                  <w:noWrap/>
                  <w:vAlign w:val="center"/>
                </w:tcPr>
                <w:p w14:paraId="31E6F2E7">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419" w:type="pct"/>
                  <w:vMerge w:val="restart"/>
                  <w:tcBorders>
                    <w:tl2br w:val="nil"/>
                    <w:tr2bl w:val="nil"/>
                  </w:tcBorders>
                  <w:shd w:val="clear" w:color="auto" w:fill="auto"/>
                  <w:noWrap/>
                  <w:vAlign w:val="center"/>
                </w:tcPr>
                <w:p w14:paraId="3A568BBA">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其他</w:t>
                  </w:r>
                </w:p>
              </w:tc>
              <w:tc>
                <w:tcPr>
                  <w:tcW w:w="308" w:type="pct"/>
                  <w:tcBorders>
                    <w:tl2br w:val="nil"/>
                    <w:tr2bl w:val="nil"/>
                  </w:tcBorders>
                  <w:shd w:val="clear" w:color="auto" w:fill="auto"/>
                  <w:vAlign w:val="center"/>
                </w:tcPr>
                <w:p w14:paraId="027F6108">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664" w:type="pct"/>
                  <w:tcBorders>
                    <w:tl2br w:val="nil"/>
                    <w:tr2bl w:val="nil"/>
                  </w:tcBorders>
                  <w:shd w:val="clear" w:color="auto" w:fill="auto"/>
                  <w:vAlign w:val="center"/>
                </w:tcPr>
                <w:p w14:paraId="6CB793A1">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磷化液</w:t>
                  </w:r>
                </w:p>
              </w:tc>
              <w:tc>
                <w:tcPr>
                  <w:tcW w:w="490" w:type="pct"/>
                  <w:tcBorders>
                    <w:tl2br w:val="nil"/>
                    <w:tr2bl w:val="nil"/>
                  </w:tcBorders>
                  <w:shd w:val="clear" w:color="auto" w:fill="auto"/>
                  <w:vAlign w:val="center"/>
                </w:tcPr>
                <w:p w14:paraId="64967E3F">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磷化液</w:t>
                  </w:r>
                </w:p>
              </w:tc>
              <w:tc>
                <w:tcPr>
                  <w:tcW w:w="350" w:type="pct"/>
                  <w:tcBorders>
                    <w:tl2br w:val="nil"/>
                    <w:tr2bl w:val="nil"/>
                  </w:tcBorders>
                  <w:shd w:val="clear" w:color="auto" w:fill="auto"/>
                  <w:vAlign w:val="center"/>
                </w:tcPr>
                <w:p w14:paraId="2DDCF540">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3个月</w:t>
                  </w:r>
                </w:p>
              </w:tc>
              <w:tc>
                <w:tcPr>
                  <w:tcW w:w="350" w:type="pct"/>
                  <w:tcBorders>
                    <w:tl2br w:val="nil"/>
                    <w:tr2bl w:val="nil"/>
                  </w:tcBorders>
                  <w:shd w:val="clear" w:color="auto" w:fill="auto"/>
                  <w:vAlign w:val="center"/>
                </w:tcPr>
                <w:p w14:paraId="0D57A27C">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T/In</w:t>
                  </w:r>
                </w:p>
              </w:tc>
              <w:tc>
                <w:tcPr>
                  <w:tcW w:w="664" w:type="pct"/>
                  <w:tcBorders>
                    <w:tl2br w:val="nil"/>
                    <w:tr2bl w:val="nil"/>
                  </w:tcBorders>
                  <w:shd w:val="clear" w:color="auto" w:fill="auto"/>
                  <w:vAlign w:val="center"/>
                </w:tcPr>
                <w:p w14:paraId="5FBB468E">
                  <w:pPr>
                    <w:keepNext w:val="0"/>
                    <w:keepLines w:val="0"/>
                    <w:pageBreakBefore w:val="0"/>
                    <w:widowControl/>
                    <w:suppressLineNumbers w:val="0"/>
                    <w:kinsoku/>
                    <w:wordWrap/>
                    <w:overflowPunct/>
                    <w:topLinePunct w:val="0"/>
                    <w:autoSpaceDE/>
                    <w:autoSpaceDN/>
                    <w:bidi w:val="0"/>
                    <w:adjustRightInd w:val="0"/>
                    <w:snapToGrid w:val="0"/>
                    <w:spacing w:line="280" w:lineRule="exact"/>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由原料厂家回收再利用</w:t>
                  </w:r>
                </w:p>
              </w:tc>
            </w:tr>
            <w:tr w14:paraId="5553D3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230" w:hRule="atLeast"/>
              </w:trPr>
              <w:tc>
                <w:tcPr>
                  <w:tcW w:w="161" w:type="pct"/>
                  <w:tcBorders>
                    <w:tl2br w:val="nil"/>
                    <w:tr2bl w:val="nil"/>
                  </w:tcBorders>
                  <w:shd w:val="clear" w:color="auto" w:fill="auto"/>
                  <w:vAlign w:val="center"/>
                </w:tcPr>
                <w:p w14:paraId="53CDA6AA">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589" w:type="pct"/>
                  <w:tcBorders>
                    <w:tl2br w:val="nil"/>
                    <w:tr2bl w:val="nil"/>
                  </w:tcBorders>
                  <w:shd w:val="clear" w:color="auto" w:fill="auto"/>
                  <w:vAlign w:val="center"/>
                </w:tcPr>
                <w:p w14:paraId="3ABFFF34">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废包装袋（表面处理原料包装）</w:t>
                  </w:r>
                </w:p>
              </w:tc>
              <w:tc>
                <w:tcPr>
                  <w:tcW w:w="534" w:type="pct"/>
                  <w:tcBorders>
                    <w:tl2br w:val="nil"/>
                    <w:tr2bl w:val="nil"/>
                  </w:tcBorders>
                  <w:shd w:val="clear" w:color="auto" w:fill="auto"/>
                  <w:vAlign w:val="center"/>
                </w:tcPr>
                <w:p w14:paraId="2B3D5472">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HW49</w:t>
                  </w:r>
                </w:p>
                <w:p w14:paraId="5C799557">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900-041-49</w:t>
                  </w:r>
                </w:p>
              </w:tc>
              <w:tc>
                <w:tcPr>
                  <w:tcW w:w="466" w:type="pct"/>
                  <w:tcBorders>
                    <w:tl2br w:val="nil"/>
                    <w:tr2bl w:val="nil"/>
                  </w:tcBorders>
                  <w:shd w:val="clear" w:color="auto" w:fill="auto"/>
                  <w:noWrap/>
                  <w:vAlign w:val="center"/>
                </w:tcPr>
                <w:p w14:paraId="1684DD50">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3.045</w:t>
                  </w:r>
                </w:p>
              </w:tc>
              <w:tc>
                <w:tcPr>
                  <w:tcW w:w="419" w:type="pct"/>
                  <w:vMerge w:val="continue"/>
                  <w:tcBorders>
                    <w:tl2br w:val="nil"/>
                    <w:tr2bl w:val="nil"/>
                  </w:tcBorders>
                  <w:shd w:val="clear" w:color="auto" w:fill="auto"/>
                  <w:noWrap/>
                  <w:vAlign w:val="center"/>
                </w:tcPr>
                <w:p w14:paraId="4C3159FA">
                  <w:pPr>
                    <w:keepNext w:val="0"/>
                    <w:keepLines w:val="0"/>
                    <w:pageBreakBefore w:val="0"/>
                    <w:widowControl/>
                    <w:kinsoku/>
                    <w:wordWrap/>
                    <w:overflowPunct/>
                    <w:topLinePunct w:val="0"/>
                    <w:autoSpaceDE/>
                    <w:autoSpaceDN/>
                    <w:bidi w:val="0"/>
                    <w:adjustRightInd w:val="0"/>
                    <w:snapToGrid w:val="0"/>
                    <w:spacing w:line="280" w:lineRule="exact"/>
                    <w:jc w:val="center"/>
                    <w:rPr>
                      <w:rFonts w:hint="default" w:ascii="Times New Roman" w:hAnsi="Times New Roman" w:eastAsia="宋体" w:cs="Times New Roman"/>
                      <w:i w:val="0"/>
                      <w:iCs w:val="0"/>
                      <w:color w:val="auto"/>
                      <w:sz w:val="21"/>
                      <w:szCs w:val="21"/>
                      <w:u w:val="none"/>
                    </w:rPr>
                  </w:pPr>
                </w:p>
              </w:tc>
              <w:tc>
                <w:tcPr>
                  <w:tcW w:w="308" w:type="pct"/>
                  <w:tcBorders>
                    <w:tl2br w:val="nil"/>
                    <w:tr2bl w:val="nil"/>
                  </w:tcBorders>
                  <w:shd w:val="clear" w:color="auto" w:fill="auto"/>
                  <w:vAlign w:val="center"/>
                </w:tcPr>
                <w:p w14:paraId="6DF31CB0">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664" w:type="pct"/>
                  <w:tcBorders>
                    <w:tl2br w:val="nil"/>
                    <w:tr2bl w:val="nil"/>
                  </w:tcBorders>
                  <w:shd w:val="clear" w:color="auto" w:fill="auto"/>
                  <w:noWrap/>
                  <w:vAlign w:val="center"/>
                </w:tcPr>
                <w:p w14:paraId="6571DA0F">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酸、皂片等</w:t>
                  </w:r>
                </w:p>
              </w:tc>
              <w:tc>
                <w:tcPr>
                  <w:tcW w:w="490" w:type="pct"/>
                  <w:tcBorders>
                    <w:tl2br w:val="nil"/>
                    <w:tr2bl w:val="nil"/>
                  </w:tcBorders>
                  <w:shd w:val="clear" w:color="auto" w:fill="auto"/>
                  <w:noWrap/>
                  <w:vAlign w:val="center"/>
                </w:tcPr>
                <w:p w14:paraId="11E8DF63">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酸、皂片等</w:t>
                  </w:r>
                </w:p>
              </w:tc>
              <w:tc>
                <w:tcPr>
                  <w:tcW w:w="350" w:type="pct"/>
                  <w:tcBorders>
                    <w:tl2br w:val="nil"/>
                    <w:tr2bl w:val="nil"/>
                  </w:tcBorders>
                  <w:shd w:val="clear" w:color="auto" w:fill="auto"/>
                  <w:vAlign w:val="center"/>
                </w:tcPr>
                <w:p w14:paraId="34B64AC3">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半年</w:t>
                  </w:r>
                </w:p>
              </w:tc>
              <w:tc>
                <w:tcPr>
                  <w:tcW w:w="350" w:type="pct"/>
                  <w:tcBorders>
                    <w:tl2br w:val="nil"/>
                    <w:tr2bl w:val="nil"/>
                  </w:tcBorders>
                  <w:shd w:val="clear" w:color="auto" w:fill="auto"/>
                  <w:vAlign w:val="center"/>
                </w:tcPr>
                <w:p w14:paraId="546291A6">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T/In</w:t>
                  </w:r>
                </w:p>
              </w:tc>
              <w:tc>
                <w:tcPr>
                  <w:tcW w:w="664" w:type="pct"/>
                  <w:tcBorders>
                    <w:tl2br w:val="nil"/>
                    <w:tr2bl w:val="nil"/>
                  </w:tcBorders>
                  <w:shd w:val="clear" w:color="auto" w:fill="auto"/>
                  <w:vAlign w:val="center"/>
                </w:tcPr>
                <w:p w14:paraId="166C7722">
                  <w:pPr>
                    <w:keepNext w:val="0"/>
                    <w:keepLines w:val="0"/>
                    <w:pageBreakBefore w:val="0"/>
                    <w:widowControl/>
                    <w:suppressLineNumbers w:val="0"/>
                    <w:kinsoku/>
                    <w:wordWrap/>
                    <w:overflowPunct/>
                    <w:topLinePunct w:val="0"/>
                    <w:autoSpaceDE/>
                    <w:autoSpaceDN/>
                    <w:bidi w:val="0"/>
                    <w:adjustRightInd w:val="0"/>
                    <w:snapToGrid w:val="0"/>
                    <w:spacing w:line="280" w:lineRule="exact"/>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暂存危废间，委托有资质单位处置</w:t>
                  </w:r>
                </w:p>
              </w:tc>
            </w:tr>
            <w:tr w14:paraId="5DBAE6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95" w:hRule="atLeast"/>
              </w:trPr>
              <w:tc>
                <w:tcPr>
                  <w:tcW w:w="161" w:type="pct"/>
                  <w:tcBorders>
                    <w:tl2br w:val="nil"/>
                    <w:tr2bl w:val="nil"/>
                  </w:tcBorders>
                  <w:shd w:val="clear" w:color="auto" w:fill="auto"/>
                  <w:vAlign w:val="center"/>
                </w:tcPr>
                <w:p w14:paraId="4C36A3E2">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w:t>
                  </w:r>
                </w:p>
              </w:tc>
              <w:tc>
                <w:tcPr>
                  <w:tcW w:w="589" w:type="pct"/>
                  <w:tcBorders>
                    <w:tl2br w:val="nil"/>
                    <w:tr2bl w:val="nil"/>
                  </w:tcBorders>
                  <w:shd w:val="clear" w:color="auto" w:fill="auto"/>
                  <w:vAlign w:val="center"/>
                </w:tcPr>
                <w:p w14:paraId="764F570D">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废润滑油</w:t>
                  </w:r>
                </w:p>
              </w:tc>
              <w:tc>
                <w:tcPr>
                  <w:tcW w:w="534" w:type="pct"/>
                  <w:tcBorders>
                    <w:tl2br w:val="nil"/>
                    <w:tr2bl w:val="nil"/>
                  </w:tcBorders>
                  <w:shd w:val="clear" w:color="auto" w:fill="auto"/>
                  <w:vAlign w:val="center"/>
                </w:tcPr>
                <w:p w14:paraId="4C1A44EC">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HW08</w:t>
                  </w:r>
                </w:p>
                <w:p w14:paraId="5D054CE2">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00-214-08</w:t>
                  </w:r>
                </w:p>
              </w:tc>
              <w:tc>
                <w:tcPr>
                  <w:tcW w:w="466" w:type="pct"/>
                  <w:tcBorders>
                    <w:tl2br w:val="nil"/>
                    <w:tr2bl w:val="nil"/>
                  </w:tcBorders>
                  <w:shd w:val="clear" w:color="auto" w:fill="auto"/>
                  <w:vAlign w:val="center"/>
                </w:tcPr>
                <w:p w14:paraId="330A18A0">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w:t>
                  </w:r>
                </w:p>
              </w:tc>
              <w:tc>
                <w:tcPr>
                  <w:tcW w:w="419" w:type="pct"/>
                  <w:tcBorders>
                    <w:tl2br w:val="nil"/>
                    <w:tr2bl w:val="nil"/>
                  </w:tcBorders>
                  <w:shd w:val="clear" w:color="auto" w:fill="auto"/>
                  <w:vAlign w:val="center"/>
                </w:tcPr>
                <w:p w14:paraId="2C2CEA22">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设备检修</w:t>
                  </w:r>
                </w:p>
              </w:tc>
              <w:tc>
                <w:tcPr>
                  <w:tcW w:w="308" w:type="pct"/>
                  <w:tcBorders>
                    <w:tl2br w:val="nil"/>
                    <w:tr2bl w:val="nil"/>
                  </w:tcBorders>
                  <w:shd w:val="clear" w:color="auto" w:fill="auto"/>
                  <w:vAlign w:val="center"/>
                </w:tcPr>
                <w:p w14:paraId="563BDFBF">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液态</w:t>
                  </w:r>
                </w:p>
              </w:tc>
              <w:tc>
                <w:tcPr>
                  <w:tcW w:w="664" w:type="pct"/>
                  <w:tcBorders>
                    <w:tl2br w:val="nil"/>
                    <w:tr2bl w:val="nil"/>
                  </w:tcBorders>
                  <w:shd w:val="clear" w:color="auto" w:fill="auto"/>
                  <w:vAlign w:val="center"/>
                </w:tcPr>
                <w:p w14:paraId="6AC9EEF8">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有机物</w:t>
                  </w:r>
                </w:p>
              </w:tc>
              <w:tc>
                <w:tcPr>
                  <w:tcW w:w="490" w:type="pct"/>
                  <w:tcBorders>
                    <w:tl2br w:val="nil"/>
                    <w:tr2bl w:val="nil"/>
                  </w:tcBorders>
                  <w:shd w:val="clear" w:color="auto" w:fill="auto"/>
                  <w:vAlign w:val="center"/>
                </w:tcPr>
                <w:p w14:paraId="40F72AA7">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有机物</w:t>
                  </w:r>
                </w:p>
              </w:tc>
              <w:tc>
                <w:tcPr>
                  <w:tcW w:w="350" w:type="pct"/>
                  <w:tcBorders>
                    <w:tl2br w:val="nil"/>
                    <w:tr2bl w:val="nil"/>
                  </w:tcBorders>
                  <w:shd w:val="clear" w:color="auto" w:fill="auto"/>
                  <w:vAlign w:val="center"/>
                </w:tcPr>
                <w:p w14:paraId="16E0A9D7">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一年</w:t>
                  </w:r>
                </w:p>
              </w:tc>
              <w:tc>
                <w:tcPr>
                  <w:tcW w:w="350" w:type="pct"/>
                  <w:tcBorders>
                    <w:tl2br w:val="nil"/>
                    <w:tr2bl w:val="nil"/>
                  </w:tcBorders>
                  <w:shd w:val="clear" w:color="auto" w:fill="auto"/>
                  <w:vAlign w:val="center"/>
                </w:tcPr>
                <w:p w14:paraId="36D8DEFE">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T，I</w:t>
                  </w:r>
                </w:p>
              </w:tc>
              <w:tc>
                <w:tcPr>
                  <w:tcW w:w="664" w:type="pct"/>
                  <w:tcBorders>
                    <w:tl2br w:val="nil"/>
                    <w:tr2bl w:val="nil"/>
                  </w:tcBorders>
                  <w:shd w:val="clear" w:color="auto" w:fill="auto"/>
                  <w:vAlign w:val="center"/>
                </w:tcPr>
                <w:p w14:paraId="016608BB">
                  <w:pPr>
                    <w:keepNext w:val="0"/>
                    <w:keepLines w:val="0"/>
                    <w:pageBreakBefore w:val="0"/>
                    <w:widowControl/>
                    <w:suppressLineNumbers w:val="0"/>
                    <w:kinsoku/>
                    <w:wordWrap/>
                    <w:overflowPunct/>
                    <w:topLinePunct w:val="0"/>
                    <w:autoSpaceDE/>
                    <w:autoSpaceDN/>
                    <w:bidi w:val="0"/>
                    <w:adjustRightInd w:val="0"/>
                    <w:snapToGrid w:val="0"/>
                    <w:spacing w:line="280" w:lineRule="exact"/>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回用于设备润滑</w:t>
                  </w:r>
                </w:p>
              </w:tc>
            </w:tr>
            <w:tr w14:paraId="76ACD5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1284" w:type="pct"/>
                  <w:gridSpan w:val="3"/>
                  <w:tcBorders>
                    <w:tl2br w:val="nil"/>
                    <w:tr2bl w:val="nil"/>
                  </w:tcBorders>
                  <w:shd w:val="clear" w:color="auto" w:fill="auto"/>
                  <w:vAlign w:val="center"/>
                </w:tcPr>
                <w:p w14:paraId="6D551330">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合计</w:t>
                  </w:r>
                </w:p>
              </w:tc>
              <w:tc>
                <w:tcPr>
                  <w:tcW w:w="466" w:type="pct"/>
                  <w:tcBorders>
                    <w:tl2br w:val="nil"/>
                    <w:tr2bl w:val="nil"/>
                  </w:tcBorders>
                  <w:shd w:val="clear" w:color="auto" w:fill="auto"/>
                  <w:vAlign w:val="center"/>
                </w:tcPr>
                <w:p w14:paraId="759644F6">
                  <w:pPr>
                    <w:keepNext w:val="0"/>
                    <w:keepLines w:val="0"/>
                    <w:pageBreakBefore w:val="0"/>
                    <w:widowControl/>
                    <w:suppressLineNumbers w:val="0"/>
                    <w:kinsoku/>
                    <w:wordWrap/>
                    <w:overflowPunct/>
                    <w:topLinePunct w:val="0"/>
                    <w:autoSpaceDE/>
                    <w:autoSpaceDN/>
                    <w:bidi w:val="0"/>
                    <w:adjustRightInd w:val="0"/>
                    <w:snapToGrid w:val="0"/>
                    <w:spacing w:line="28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4115.81</w:t>
                  </w:r>
                </w:p>
              </w:tc>
              <w:tc>
                <w:tcPr>
                  <w:tcW w:w="419" w:type="pct"/>
                  <w:tcBorders>
                    <w:tl2br w:val="nil"/>
                    <w:tr2bl w:val="nil"/>
                  </w:tcBorders>
                  <w:shd w:val="clear" w:color="auto" w:fill="auto"/>
                  <w:vAlign w:val="center"/>
                </w:tcPr>
                <w:p w14:paraId="7BF003A3">
                  <w:pPr>
                    <w:keepNext w:val="0"/>
                    <w:keepLines w:val="0"/>
                    <w:pageBreakBefore w:val="0"/>
                    <w:widowControl/>
                    <w:kinsoku/>
                    <w:wordWrap/>
                    <w:overflowPunct/>
                    <w:topLinePunct w:val="0"/>
                    <w:autoSpaceDE/>
                    <w:autoSpaceDN/>
                    <w:bidi w:val="0"/>
                    <w:adjustRightInd w:val="0"/>
                    <w:snapToGrid w:val="0"/>
                    <w:spacing w:line="280" w:lineRule="exact"/>
                    <w:jc w:val="center"/>
                    <w:rPr>
                      <w:rFonts w:hint="default" w:ascii="Times New Roman" w:hAnsi="Times New Roman" w:eastAsia="宋体" w:cs="Times New Roman"/>
                      <w:i w:val="0"/>
                      <w:iCs w:val="0"/>
                      <w:color w:val="auto"/>
                      <w:sz w:val="21"/>
                      <w:szCs w:val="21"/>
                      <w:u w:val="none"/>
                    </w:rPr>
                  </w:pPr>
                </w:p>
              </w:tc>
              <w:tc>
                <w:tcPr>
                  <w:tcW w:w="308" w:type="pct"/>
                  <w:tcBorders>
                    <w:tl2br w:val="nil"/>
                    <w:tr2bl w:val="nil"/>
                  </w:tcBorders>
                  <w:shd w:val="clear" w:color="auto" w:fill="auto"/>
                  <w:vAlign w:val="center"/>
                </w:tcPr>
                <w:p w14:paraId="3C4CA7EB">
                  <w:pPr>
                    <w:keepNext w:val="0"/>
                    <w:keepLines w:val="0"/>
                    <w:pageBreakBefore w:val="0"/>
                    <w:widowControl/>
                    <w:kinsoku/>
                    <w:wordWrap/>
                    <w:overflowPunct/>
                    <w:topLinePunct w:val="0"/>
                    <w:autoSpaceDE/>
                    <w:autoSpaceDN/>
                    <w:bidi w:val="0"/>
                    <w:adjustRightInd w:val="0"/>
                    <w:snapToGrid w:val="0"/>
                    <w:spacing w:line="280" w:lineRule="exact"/>
                    <w:jc w:val="center"/>
                    <w:rPr>
                      <w:rFonts w:hint="default" w:ascii="Times New Roman" w:hAnsi="Times New Roman" w:eastAsia="宋体" w:cs="Times New Roman"/>
                      <w:i w:val="0"/>
                      <w:iCs w:val="0"/>
                      <w:color w:val="auto"/>
                      <w:sz w:val="21"/>
                      <w:szCs w:val="21"/>
                      <w:u w:val="none"/>
                    </w:rPr>
                  </w:pPr>
                </w:p>
              </w:tc>
              <w:tc>
                <w:tcPr>
                  <w:tcW w:w="664" w:type="pct"/>
                  <w:tcBorders>
                    <w:tl2br w:val="nil"/>
                    <w:tr2bl w:val="nil"/>
                  </w:tcBorders>
                  <w:shd w:val="clear" w:color="auto" w:fill="auto"/>
                  <w:vAlign w:val="center"/>
                </w:tcPr>
                <w:p w14:paraId="56688BFC">
                  <w:pPr>
                    <w:keepNext w:val="0"/>
                    <w:keepLines w:val="0"/>
                    <w:pageBreakBefore w:val="0"/>
                    <w:widowControl/>
                    <w:kinsoku/>
                    <w:wordWrap/>
                    <w:overflowPunct/>
                    <w:topLinePunct w:val="0"/>
                    <w:autoSpaceDE/>
                    <w:autoSpaceDN/>
                    <w:bidi w:val="0"/>
                    <w:adjustRightInd w:val="0"/>
                    <w:snapToGrid w:val="0"/>
                    <w:spacing w:line="280" w:lineRule="exact"/>
                    <w:jc w:val="center"/>
                    <w:rPr>
                      <w:rFonts w:hint="default" w:ascii="Times New Roman" w:hAnsi="Times New Roman" w:eastAsia="宋体" w:cs="Times New Roman"/>
                      <w:i w:val="0"/>
                      <w:iCs w:val="0"/>
                      <w:color w:val="auto"/>
                      <w:sz w:val="21"/>
                      <w:szCs w:val="21"/>
                      <w:u w:val="none"/>
                    </w:rPr>
                  </w:pPr>
                </w:p>
              </w:tc>
              <w:tc>
                <w:tcPr>
                  <w:tcW w:w="490" w:type="pct"/>
                  <w:tcBorders>
                    <w:tl2br w:val="nil"/>
                    <w:tr2bl w:val="nil"/>
                  </w:tcBorders>
                  <w:shd w:val="clear" w:color="auto" w:fill="auto"/>
                  <w:vAlign w:val="center"/>
                </w:tcPr>
                <w:p w14:paraId="60A5912E">
                  <w:pPr>
                    <w:keepNext w:val="0"/>
                    <w:keepLines w:val="0"/>
                    <w:pageBreakBefore w:val="0"/>
                    <w:widowControl/>
                    <w:kinsoku/>
                    <w:wordWrap/>
                    <w:overflowPunct/>
                    <w:topLinePunct w:val="0"/>
                    <w:autoSpaceDE/>
                    <w:autoSpaceDN/>
                    <w:bidi w:val="0"/>
                    <w:adjustRightInd w:val="0"/>
                    <w:snapToGrid w:val="0"/>
                    <w:spacing w:line="280" w:lineRule="exact"/>
                    <w:jc w:val="center"/>
                    <w:rPr>
                      <w:rFonts w:hint="default" w:ascii="Times New Roman" w:hAnsi="Times New Roman" w:eastAsia="宋体" w:cs="Times New Roman"/>
                      <w:i w:val="0"/>
                      <w:iCs w:val="0"/>
                      <w:color w:val="auto"/>
                      <w:sz w:val="21"/>
                      <w:szCs w:val="21"/>
                      <w:u w:val="none"/>
                    </w:rPr>
                  </w:pPr>
                </w:p>
              </w:tc>
              <w:tc>
                <w:tcPr>
                  <w:tcW w:w="350" w:type="pct"/>
                  <w:tcBorders>
                    <w:tl2br w:val="nil"/>
                    <w:tr2bl w:val="nil"/>
                  </w:tcBorders>
                  <w:shd w:val="clear" w:color="auto" w:fill="auto"/>
                  <w:vAlign w:val="center"/>
                </w:tcPr>
                <w:p w14:paraId="7C5C0492">
                  <w:pPr>
                    <w:keepNext w:val="0"/>
                    <w:keepLines w:val="0"/>
                    <w:pageBreakBefore w:val="0"/>
                    <w:widowControl/>
                    <w:kinsoku/>
                    <w:wordWrap/>
                    <w:overflowPunct/>
                    <w:topLinePunct w:val="0"/>
                    <w:autoSpaceDE/>
                    <w:autoSpaceDN/>
                    <w:bidi w:val="0"/>
                    <w:adjustRightInd w:val="0"/>
                    <w:snapToGrid w:val="0"/>
                    <w:spacing w:line="280" w:lineRule="exact"/>
                    <w:jc w:val="center"/>
                    <w:rPr>
                      <w:rFonts w:hint="default" w:ascii="Times New Roman" w:hAnsi="Times New Roman" w:eastAsia="宋体" w:cs="Times New Roman"/>
                      <w:i w:val="0"/>
                      <w:iCs w:val="0"/>
                      <w:color w:val="auto"/>
                      <w:sz w:val="21"/>
                      <w:szCs w:val="21"/>
                      <w:u w:val="none"/>
                    </w:rPr>
                  </w:pPr>
                </w:p>
              </w:tc>
              <w:tc>
                <w:tcPr>
                  <w:tcW w:w="350" w:type="pct"/>
                  <w:tcBorders>
                    <w:tl2br w:val="nil"/>
                    <w:tr2bl w:val="nil"/>
                  </w:tcBorders>
                  <w:shd w:val="clear" w:color="auto" w:fill="auto"/>
                  <w:vAlign w:val="center"/>
                </w:tcPr>
                <w:p w14:paraId="76C6397C">
                  <w:pPr>
                    <w:keepNext w:val="0"/>
                    <w:keepLines w:val="0"/>
                    <w:pageBreakBefore w:val="0"/>
                    <w:widowControl/>
                    <w:kinsoku/>
                    <w:wordWrap/>
                    <w:overflowPunct/>
                    <w:topLinePunct w:val="0"/>
                    <w:autoSpaceDE/>
                    <w:autoSpaceDN/>
                    <w:bidi w:val="0"/>
                    <w:adjustRightInd w:val="0"/>
                    <w:snapToGrid w:val="0"/>
                    <w:spacing w:line="280" w:lineRule="exact"/>
                    <w:jc w:val="center"/>
                    <w:rPr>
                      <w:rFonts w:hint="default" w:ascii="Times New Roman" w:hAnsi="Times New Roman" w:eastAsia="宋体" w:cs="Times New Roman"/>
                      <w:i w:val="0"/>
                      <w:iCs w:val="0"/>
                      <w:color w:val="auto"/>
                      <w:sz w:val="21"/>
                      <w:szCs w:val="21"/>
                      <w:u w:val="none"/>
                    </w:rPr>
                  </w:pPr>
                </w:p>
              </w:tc>
              <w:tc>
                <w:tcPr>
                  <w:tcW w:w="664" w:type="pct"/>
                  <w:tcBorders>
                    <w:tl2br w:val="nil"/>
                    <w:tr2bl w:val="nil"/>
                  </w:tcBorders>
                  <w:shd w:val="clear" w:color="auto" w:fill="auto"/>
                  <w:noWrap/>
                  <w:vAlign w:val="center"/>
                </w:tcPr>
                <w:p w14:paraId="2DE4B0F3">
                  <w:pPr>
                    <w:keepNext w:val="0"/>
                    <w:keepLines w:val="0"/>
                    <w:pageBreakBefore w:val="0"/>
                    <w:widowControl/>
                    <w:kinsoku/>
                    <w:wordWrap/>
                    <w:overflowPunct/>
                    <w:topLinePunct w:val="0"/>
                    <w:autoSpaceDE/>
                    <w:autoSpaceDN/>
                    <w:bidi w:val="0"/>
                    <w:adjustRightInd w:val="0"/>
                    <w:snapToGrid w:val="0"/>
                    <w:spacing w:line="280" w:lineRule="exact"/>
                    <w:jc w:val="center"/>
                    <w:rPr>
                      <w:rFonts w:hint="default" w:ascii="Times New Roman" w:hAnsi="Times New Roman" w:eastAsia="宋体" w:cs="Times New Roman"/>
                      <w:i w:val="0"/>
                      <w:iCs w:val="0"/>
                      <w:color w:val="auto"/>
                      <w:sz w:val="21"/>
                      <w:szCs w:val="21"/>
                      <w:u w:val="none"/>
                    </w:rPr>
                  </w:pPr>
                </w:p>
              </w:tc>
            </w:tr>
          </w:tbl>
          <w:p w14:paraId="7B8DA1FA">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表4.2-</w:t>
            </w:r>
            <w:r>
              <w:rPr>
                <w:rFonts w:hint="default" w:ascii="Times New Roman" w:hAnsi="Times New Roman" w:eastAsia="黑体" w:cs="Times New Roman"/>
                <w:b w:val="0"/>
                <w:bCs/>
                <w:color w:val="auto"/>
                <w:lang w:val="en-US" w:eastAsia="zh-CN"/>
              </w:rPr>
              <w:t>26</w:t>
            </w:r>
            <w:r>
              <w:rPr>
                <w:rFonts w:hint="default" w:ascii="Times New Roman" w:hAnsi="Times New Roman" w:eastAsia="黑体" w:cs="Times New Roman"/>
                <w:b w:val="0"/>
                <w:bCs/>
                <w:color w:val="auto"/>
              </w:rPr>
              <w:t xml:space="preserve">  全厂固体废物产生源强及处置方式</w:t>
            </w:r>
          </w:p>
          <w:tbl>
            <w:tblPr>
              <w:tblStyle w:val="34"/>
              <w:tblW w:w="866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710"/>
              <w:gridCol w:w="900"/>
              <w:gridCol w:w="1972"/>
              <w:gridCol w:w="1543"/>
              <w:gridCol w:w="1119"/>
              <w:gridCol w:w="1425"/>
            </w:tblGrid>
            <w:tr w14:paraId="0C0018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A68D8E">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固体废物名称</w:t>
                  </w:r>
                </w:p>
              </w:tc>
              <w:tc>
                <w:tcPr>
                  <w:tcW w:w="5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4EC060">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产生量（t/a）</w:t>
                  </w:r>
                </w:p>
              </w:tc>
              <w:tc>
                <w:tcPr>
                  <w:tcW w:w="1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30A8EC">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分类</w:t>
                  </w:r>
                </w:p>
              </w:tc>
              <w:tc>
                <w:tcPr>
                  <w:tcW w:w="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ED3BE3">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利用或处置措施</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638FA5">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临时存放场所</w:t>
                  </w:r>
                </w:p>
              </w:tc>
              <w:tc>
                <w:tcPr>
                  <w:tcW w:w="8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3047D8">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临时存放场所建设要求</w:t>
                  </w:r>
                </w:p>
              </w:tc>
            </w:tr>
            <w:tr w14:paraId="7489B8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5" w:hRule="atLeast"/>
              </w:trPr>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52683F">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包装线材</w:t>
                  </w:r>
                </w:p>
              </w:tc>
              <w:tc>
                <w:tcPr>
                  <w:tcW w:w="5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3FD1E6">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886</w:t>
                  </w:r>
                </w:p>
              </w:tc>
              <w:tc>
                <w:tcPr>
                  <w:tcW w:w="1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8CCF95">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313-001-S01</w:t>
                  </w:r>
                </w:p>
              </w:tc>
              <w:tc>
                <w:tcPr>
                  <w:tcW w:w="88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99316C9">
                  <w:pPr>
                    <w:keepNext w:val="0"/>
                    <w:keepLines w:val="0"/>
                    <w:pageBreakBefore w:val="0"/>
                    <w:widowControl/>
                    <w:suppressLineNumbers w:val="0"/>
                    <w:kinsoku/>
                    <w:wordWrap/>
                    <w:overflowPunct/>
                    <w:topLinePunct w:val="0"/>
                    <w:autoSpaceDE/>
                    <w:autoSpaceDN/>
                    <w:bidi w:val="0"/>
                    <w:adjustRightInd w:val="0"/>
                    <w:snapToGrid w:val="0"/>
                    <w:spacing w:line="300" w:lineRule="exact"/>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全部收集外售，出售给铸造或钢铁生产企业用作原料</w:t>
                  </w:r>
                </w:p>
              </w:tc>
              <w:tc>
                <w:tcPr>
                  <w:tcW w:w="645" w:type="pct"/>
                  <w:vMerge w:val="restart"/>
                  <w:tcBorders>
                    <w:top w:val="single" w:color="000000" w:sz="4" w:space="0"/>
                    <w:left w:val="single" w:color="000000" w:sz="4" w:space="0"/>
                    <w:right w:val="single" w:color="000000" w:sz="4" w:space="0"/>
                  </w:tcBorders>
                  <w:shd w:val="clear" w:color="auto" w:fill="auto"/>
                  <w:vAlign w:val="center"/>
                </w:tcPr>
                <w:p w14:paraId="107885DF">
                  <w:pPr>
                    <w:keepNext w:val="0"/>
                    <w:keepLines w:val="0"/>
                    <w:pageBreakBefore w:val="0"/>
                    <w:widowControl/>
                    <w:suppressLineNumbers w:val="0"/>
                    <w:kinsoku/>
                    <w:wordWrap/>
                    <w:overflowPunct/>
                    <w:topLinePunct w:val="0"/>
                    <w:autoSpaceDE/>
                    <w:autoSpaceDN/>
                    <w:bidi w:val="0"/>
                    <w:adjustRightInd w:val="0"/>
                    <w:snapToGrid w:val="0"/>
                    <w:spacing w:line="300" w:lineRule="exact"/>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一般固废临时存放区</w:t>
                  </w:r>
                </w:p>
              </w:tc>
              <w:tc>
                <w:tcPr>
                  <w:tcW w:w="82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960414C">
                  <w:pPr>
                    <w:keepNext w:val="0"/>
                    <w:keepLines w:val="0"/>
                    <w:pageBreakBefore w:val="0"/>
                    <w:widowControl/>
                    <w:suppressLineNumbers w:val="0"/>
                    <w:kinsoku/>
                    <w:wordWrap/>
                    <w:overflowPunct/>
                    <w:topLinePunct w:val="0"/>
                    <w:autoSpaceDE/>
                    <w:autoSpaceDN/>
                    <w:bidi w:val="0"/>
                    <w:adjustRightInd w:val="0"/>
                    <w:snapToGrid w:val="0"/>
                    <w:spacing w:line="300" w:lineRule="exact"/>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《一般工业固体废物贮存和填埋污染控制标准》（GB18599-2020）</w:t>
                  </w:r>
                </w:p>
              </w:tc>
            </w:tr>
            <w:tr w14:paraId="0E1684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5" w:hRule="atLeast"/>
              </w:trPr>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12284A">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氧化铁皮</w:t>
                  </w:r>
                </w:p>
              </w:tc>
              <w:tc>
                <w:tcPr>
                  <w:tcW w:w="5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F0AA0E">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400.87</w:t>
                  </w:r>
                </w:p>
              </w:tc>
              <w:tc>
                <w:tcPr>
                  <w:tcW w:w="1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7CACD5">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313-001-S01</w:t>
                  </w:r>
                </w:p>
              </w:tc>
              <w:tc>
                <w:tcPr>
                  <w:tcW w:w="88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5DB1C2">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i w:val="0"/>
                      <w:iCs w:val="0"/>
                      <w:color w:val="auto"/>
                      <w:sz w:val="21"/>
                      <w:szCs w:val="21"/>
                      <w:u w:val="none"/>
                    </w:rPr>
                  </w:pPr>
                </w:p>
              </w:tc>
              <w:tc>
                <w:tcPr>
                  <w:tcW w:w="645" w:type="pct"/>
                  <w:vMerge w:val="continue"/>
                  <w:tcBorders>
                    <w:left w:val="single" w:color="000000" w:sz="4" w:space="0"/>
                    <w:right w:val="single" w:color="000000" w:sz="4" w:space="0"/>
                  </w:tcBorders>
                  <w:shd w:val="clear" w:color="auto" w:fill="auto"/>
                  <w:vAlign w:val="center"/>
                </w:tcPr>
                <w:p w14:paraId="445175F7">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p>
              </w:tc>
              <w:tc>
                <w:tcPr>
                  <w:tcW w:w="82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185F06">
                  <w:pPr>
                    <w:keepNext w:val="0"/>
                    <w:keepLines w:val="0"/>
                    <w:pageBreakBefore w:val="0"/>
                    <w:widowControl/>
                    <w:kinsoku/>
                    <w:wordWrap/>
                    <w:overflowPunct/>
                    <w:topLinePunct w:val="0"/>
                    <w:autoSpaceDE/>
                    <w:autoSpaceDN/>
                    <w:bidi w:val="0"/>
                    <w:adjustRightInd w:val="0"/>
                    <w:snapToGrid w:val="0"/>
                    <w:spacing w:line="300" w:lineRule="exact"/>
                    <w:jc w:val="both"/>
                    <w:rPr>
                      <w:rFonts w:hint="default" w:ascii="Times New Roman" w:hAnsi="Times New Roman" w:eastAsia="宋体" w:cs="Times New Roman"/>
                      <w:i w:val="0"/>
                      <w:iCs w:val="0"/>
                      <w:color w:val="auto"/>
                      <w:sz w:val="21"/>
                      <w:szCs w:val="21"/>
                      <w:u w:val="none"/>
                    </w:rPr>
                  </w:pPr>
                </w:p>
              </w:tc>
            </w:tr>
            <w:tr w14:paraId="7D6AD8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trPr>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D3ACC5">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除尘灰</w:t>
                  </w:r>
                </w:p>
              </w:tc>
              <w:tc>
                <w:tcPr>
                  <w:tcW w:w="5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F79ADE">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110.75</w:t>
                  </w:r>
                </w:p>
              </w:tc>
              <w:tc>
                <w:tcPr>
                  <w:tcW w:w="1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6E3DDB">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313-001-S01</w:t>
                  </w:r>
                </w:p>
              </w:tc>
              <w:tc>
                <w:tcPr>
                  <w:tcW w:w="88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474FB9">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i w:val="0"/>
                      <w:iCs w:val="0"/>
                      <w:color w:val="auto"/>
                      <w:sz w:val="21"/>
                      <w:szCs w:val="21"/>
                      <w:u w:val="none"/>
                    </w:rPr>
                  </w:pPr>
                </w:p>
              </w:tc>
              <w:tc>
                <w:tcPr>
                  <w:tcW w:w="645" w:type="pct"/>
                  <w:vMerge w:val="continue"/>
                  <w:tcBorders>
                    <w:left w:val="single" w:color="000000" w:sz="4" w:space="0"/>
                    <w:right w:val="single" w:color="000000" w:sz="4" w:space="0"/>
                  </w:tcBorders>
                  <w:shd w:val="clear" w:color="auto" w:fill="auto"/>
                  <w:vAlign w:val="center"/>
                </w:tcPr>
                <w:p w14:paraId="39AAA4D4">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p>
              </w:tc>
              <w:tc>
                <w:tcPr>
                  <w:tcW w:w="82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E22879">
                  <w:pPr>
                    <w:keepNext w:val="0"/>
                    <w:keepLines w:val="0"/>
                    <w:pageBreakBefore w:val="0"/>
                    <w:widowControl/>
                    <w:kinsoku/>
                    <w:wordWrap/>
                    <w:overflowPunct/>
                    <w:topLinePunct w:val="0"/>
                    <w:autoSpaceDE/>
                    <w:autoSpaceDN/>
                    <w:bidi w:val="0"/>
                    <w:adjustRightInd w:val="0"/>
                    <w:snapToGrid w:val="0"/>
                    <w:spacing w:line="300" w:lineRule="exact"/>
                    <w:jc w:val="both"/>
                    <w:rPr>
                      <w:rFonts w:hint="default" w:ascii="Times New Roman" w:hAnsi="Times New Roman" w:eastAsia="宋体" w:cs="Times New Roman"/>
                      <w:i w:val="0"/>
                      <w:iCs w:val="0"/>
                      <w:color w:val="auto"/>
                      <w:sz w:val="21"/>
                      <w:szCs w:val="21"/>
                      <w:u w:val="none"/>
                    </w:rPr>
                  </w:pPr>
                </w:p>
              </w:tc>
            </w:tr>
            <w:tr w14:paraId="1F4896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trPr>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6E428B">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废滤筒</w:t>
                  </w:r>
                </w:p>
              </w:tc>
              <w:tc>
                <w:tcPr>
                  <w:tcW w:w="5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D928D5">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0.04</w:t>
                  </w:r>
                </w:p>
              </w:tc>
              <w:tc>
                <w:tcPr>
                  <w:tcW w:w="1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FD364A">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900-009-S59</w:t>
                  </w:r>
                </w:p>
              </w:tc>
              <w:tc>
                <w:tcPr>
                  <w:tcW w:w="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DBDDE1">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外售</w:t>
                  </w:r>
                </w:p>
              </w:tc>
              <w:tc>
                <w:tcPr>
                  <w:tcW w:w="645" w:type="pct"/>
                  <w:vMerge w:val="continue"/>
                  <w:tcBorders>
                    <w:left w:val="single" w:color="000000" w:sz="4" w:space="0"/>
                    <w:bottom w:val="single" w:color="000000" w:sz="4" w:space="0"/>
                    <w:right w:val="single" w:color="000000" w:sz="4" w:space="0"/>
                  </w:tcBorders>
                  <w:shd w:val="clear" w:color="auto" w:fill="auto"/>
                  <w:vAlign w:val="center"/>
                </w:tcPr>
                <w:p w14:paraId="101DC362">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p>
              </w:tc>
              <w:tc>
                <w:tcPr>
                  <w:tcW w:w="82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40B119">
                  <w:pPr>
                    <w:keepNext w:val="0"/>
                    <w:keepLines w:val="0"/>
                    <w:pageBreakBefore w:val="0"/>
                    <w:widowControl/>
                    <w:kinsoku/>
                    <w:wordWrap/>
                    <w:overflowPunct/>
                    <w:topLinePunct w:val="0"/>
                    <w:autoSpaceDE/>
                    <w:autoSpaceDN/>
                    <w:bidi w:val="0"/>
                    <w:adjustRightInd w:val="0"/>
                    <w:snapToGrid w:val="0"/>
                    <w:spacing w:line="300" w:lineRule="exact"/>
                    <w:jc w:val="both"/>
                    <w:rPr>
                      <w:rFonts w:hint="default" w:ascii="Times New Roman" w:hAnsi="Times New Roman" w:eastAsia="宋体" w:cs="Times New Roman"/>
                      <w:i w:val="0"/>
                      <w:iCs w:val="0"/>
                      <w:color w:val="auto"/>
                      <w:sz w:val="21"/>
                      <w:szCs w:val="21"/>
                      <w:u w:val="none"/>
                    </w:rPr>
                  </w:pPr>
                </w:p>
              </w:tc>
            </w:tr>
            <w:tr w14:paraId="2F2BD4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0" w:hRule="atLeast"/>
              </w:trPr>
              <w:tc>
                <w:tcPr>
                  <w:tcW w:w="9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AC0D9">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废酸液</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E753F">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3375</w:t>
                  </w:r>
                </w:p>
              </w:tc>
              <w:tc>
                <w:tcPr>
                  <w:tcW w:w="11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A1A3E">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危险废物（类别：HW34 336-064-17）</w:t>
                  </w:r>
                </w:p>
              </w:tc>
              <w:tc>
                <w:tcPr>
                  <w:tcW w:w="8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ED1E60">
                  <w:pPr>
                    <w:keepNext w:val="0"/>
                    <w:keepLines w:val="0"/>
                    <w:pageBreakBefore w:val="0"/>
                    <w:widowControl/>
                    <w:suppressLineNumbers w:val="0"/>
                    <w:kinsoku/>
                    <w:wordWrap/>
                    <w:overflowPunct/>
                    <w:topLinePunct w:val="0"/>
                    <w:autoSpaceDE/>
                    <w:autoSpaceDN/>
                    <w:bidi w:val="0"/>
                    <w:adjustRightInd w:val="0"/>
                    <w:snapToGrid w:val="0"/>
                    <w:spacing w:line="300" w:lineRule="exact"/>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委托有资质的单位处理处置</w:t>
                  </w:r>
                </w:p>
              </w:tc>
              <w:tc>
                <w:tcPr>
                  <w:tcW w:w="645" w:type="pct"/>
                  <w:tcBorders>
                    <w:top w:val="nil"/>
                    <w:left w:val="nil"/>
                    <w:bottom w:val="nil"/>
                    <w:right w:val="nil"/>
                  </w:tcBorders>
                  <w:shd w:val="clear" w:color="auto" w:fill="auto"/>
                  <w:noWrap/>
                  <w:vAlign w:val="center"/>
                </w:tcPr>
                <w:p w14:paraId="6E6AD555">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废酸罐</w:t>
                  </w:r>
                </w:p>
              </w:tc>
              <w:tc>
                <w:tcPr>
                  <w:tcW w:w="82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30799B5">
                  <w:pPr>
                    <w:keepNext w:val="0"/>
                    <w:keepLines w:val="0"/>
                    <w:pageBreakBefore w:val="0"/>
                    <w:widowControl/>
                    <w:suppressLineNumbers w:val="0"/>
                    <w:kinsoku/>
                    <w:wordWrap/>
                    <w:overflowPunct/>
                    <w:topLinePunct w:val="0"/>
                    <w:autoSpaceDE/>
                    <w:autoSpaceDN/>
                    <w:bidi w:val="0"/>
                    <w:adjustRightInd w:val="0"/>
                    <w:snapToGrid w:val="0"/>
                    <w:spacing w:line="300" w:lineRule="exact"/>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《危险废物贮存污染控制标准》（GB18597-2023）</w:t>
                  </w:r>
                </w:p>
              </w:tc>
            </w:tr>
            <w:tr w14:paraId="59D9A0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FE90BD">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磷渣</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C10621">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150</w:t>
                  </w:r>
                </w:p>
              </w:tc>
              <w:tc>
                <w:tcPr>
                  <w:tcW w:w="11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73A64">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危险废物（类别：HW34 336-064-17）</w:t>
                  </w:r>
                </w:p>
              </w:tc>
              <w:tc>
                <w:tcPr>
                  <w:tcW w:w="8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6078F">
                  <w:pPr>
                    <w:keepNext w:val="0"/>
                    <w:keepLines w:val="0"/>
                    <w:pageBreakBefore w:val="0"/>
                    <w:widowControl/>
                    <w:suppressLineNumbers w:val="0"/>
                    <w:kinsoku/>
                    <w:wordWrap/>
                    <w:overflowPunct/>
                    <w:topLinePunct w:val="0"/>
                    <w:autoSpaceDE/>
                    <w:autoSpaceDN/>
                    <w:bidi w:val="0"/>
                    <w:adjustRightInd w:val="0"/>
                    <w:snapToGrid w:val="0"/>
                    <w:spacing w:line="300" w:lineRule="exact"/>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委托有资质的单位处理处置</w:t>
                  </w:r>
                </w:p>
              </w:tc>
              <w:tc>
                <w:tcPr>
                  <w:tcW w:w="64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A87CD">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危废贮存间</w:t>
                  </w:r>
                </w:p>
              </w:tc>
              <w:tc>
                <w:tcPr>
                  <w:tcW w:w="82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100888">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i w:val="0"/>
                      <w:iCs w:val="0"/>
                      <w:color w:val="auto"/>
                      <w:sz w:val="21"/>
                      <w:szCs w:val="21"/>
                      <w:u w:val="none"/>
                    </w:rPr>
                  </w:pPr>
                </w:p>
              </w:tc>
            </w:tr>
            <w:tr w14:paraId="0B5802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5" w:hRule="atLeast"/>
              </w:trPr>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BA85E2">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皂化废液</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069BB">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56.3</w:t>
                  </w:r>
                </w:p>
              </w:tc>
              <w:tc>
                <w:tcPr>
                  <w:tcW w:w="11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81BF41">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危险废物（类别：HW34 336-064-17）</w:t>
                  </w:r>
                </w:p>
              </w:tc>
              <w:tc>
                <w:tcPr>
                  <w:tcW w:w="8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093C1">
                  <w:pPr>
                    <w:keepNext w:val="0"/>
                    <w:keepLines w:val="0"/>
                    <w:pageBreakBefore w:val="0"/>
                    <w:widowControl/>
                    <w:kinsoku/>
                    <w:wordWrap/>
                    <w:overflowPunct/>
                    <w:topLinePunct w:val="0"/>
                    <w:autoSpaceDE/>
                    <w:autoSpaceDN/>
                    <w:bidi w:val="0"/>
                    <w:adjustRightInd w:val="0"/>
                    <w:snapToGrid w:val="0"/>
                    <w:spacing w:line="300" w:lineRule="exact"/>
                    <w:jc w:val="both"/>
                    <w:rPr>
                      <w:rFonts w:hint="default" w:ascii="Times New Roman" w:hAnsi="Times New Roman" w:eastAsia="宋体" w:cs="Times New Roman"/>
                      <w:i w:val="0"/>
                      <w:iCs w:val="0"/>
                      <w:color w:val="auto"/>
                      <w:sz w:val="21"/>
                      <w:szCs w:val="21"/>
                      <w:u w:val="none"/>
                    </w:rPr>
                  </w:pPr>
                </w:p>
              </w:tc>
              <w:tc>
                <w:tcPr>
                  <w:tcW w:w="64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15DC34">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i w:val="0"/>
                      <w:iCs w:val="0"/>
                      <w:color w:val="auto"/>
                      <w:sz w:val="21"/>
                      <w:szCs w:val="21"/>
                      <w:u w:val="none"/>
                    </w:rPr>
                  </w:pPr>
                </w:p>
              </w:tc>
              <w:tc>
                <w:tcPr>
                  <w:tcW w:w="82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D6B971">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i w:val="0"/>
                      <w:iCs w:val="0"/>
                      <w:color w:val="auto"/>
                      <w:sz w:val="21"/>
                      <w:szCs w:val="21"/>
                      <w:u w:val="none"/>
                    </w:rPr>
                  </w:pPr>
                </w:p>
              </w:tc>
            </w:tr>
            <w:tr w14:paraId="4302CC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5" w:hRule="atLeast"/>
              </w:trPr>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7F4CC9">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污水处理站污泥</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526C48">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524.96</w:t>
                  </w:r>
                </w:p>
              </w:tc>
              <w:tc>
                <w:tcPr>
                  <w:tcW w:w="11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895F06">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危险废物（类别：HW17 336-064-17）</w:t>
                  </w:r>
                </w:p>
              </w:tc>
              <w:tc>
                <w:tcPr>
                  <w:tcW w:w="8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24867">
                  <w:pPr>
                    <w:keepNext w:val="0"/>
                    <w:keepLines w:val="0"/>
                    <w:pageBreakBefore w:val="0"/>
                    <w:widowControl/>
                    <w:kinsoku/>
                    <w:wordWrap/>
                    <w:overflowPunct/>
                    <w:topLinePunct w:val="0"/>
                    <w:autoSpaceDE/>
                    <w:autoSpaceDN/>
                    <w:bidi w:val="0"/>
                    <w:adjustRightInd w:val="0"/>
                    <w:snapToGrid w:val="0"/>
                    <w:spacing w:line="300" w:lineRule="exact"/>
                    <w:jc w:val="both"/>
                    <w:rPr>
                      <w:rFonts w:hint="default" w:ascii="Times New Roman" w:hAnsi="Times New Roman" w:eastAsia="宋体" w:cs="Times New Roman"/>
                      <w:i w:val="0"/>
                      <w:iCs w:val="0"/>
                      <w:color w:val="auto"/>
                      <w:sz w:val="21"/>
                      <w:szCs w:val="21"/>
                      <w:u w:val="none"/>
                    </w:rPr>
                  </w:pPr>
                </w:p>
              </w:tc>
              <w:tc>
                <w:tcPr>
                  <w:tcW w:w="64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0EAFF">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i w:val="0"/>
                      <w:iCs w:val="0"/>
                      <w:color w:val="auto"/>
                      <w:sz w:val="21"/>
                      <w:szCs w:val="21"/>
                      <w:u w:val="none"/>
                    </w:rPr>
                  </w:pPr>
                </w:p>
              </w:tc>
              <w:tc>
                <w:tcPr>
                  <w:tcW w:w="82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91A6BA">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i w:val="0"/>
                      <w:iCs w:val="0"/>
                      <w:color w:val="auto"/>
                      <w:sz w:val="21"/>
                      <w:szCs w:val="21"/>
                      <w:u w:val="none"/>
                    </w:rPr>
                  </w:pPr>
                </w:p>
              </w:tc>
            </w:tr>
            <w:tr w14:paraId="431687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9B16A2">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磷化液原料空桶</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0E231">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11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EDD5AD">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危险废物（类别：HW49 900-041-49）</w:t>
                  </w:r>
                </w:p>
              </w:tc>
              <w:tc>
                <w:tcPr>
                  <w:tcW w:w="8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AC9DB">
                  <w:pPr>
                    <w:keepNext w:val="0"/>
                    <w:keepLines w:val="0"/>
                    <w:pageBreakBefore w:val="0"/>
                    <w:widowControl/>
                    <w:suppressLineNumbers w:val="0"/>
                    <w:kinsoku/>
                    <w:wordWrap/>
                    <w:overflowPunct/>
                    <w:topLinePunct w:val="0"/>
                    <w:autoSpaceDE/>
                    <w:autoSpaceDN/>
                    <w:bidi w:val="0"/>
                    <w:adjustRightInd w:val="0"/>
                    <w:snapToGrid w:val="0"/>
                    <w:spacing w:line="300" w:lineRule="exact"/>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由原料厂家回收再利用</w:t>
                  </w:r>
                </w:p>
              </w:tc>
              <w:tc>
                <w:tcPr>
                  <w:tcW w:w="64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6CFE1B">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i w:val="0"/>
                      <w:iCs w:val="0"/>
                      <w:color w:val="auto"/>
                      <w:sz w:val="21"/>
                      <w:szCs w:val="21"/>
                      <w:u w:val="none"/>
                    </w:rPr>
                  </w:pPr>
                </w:p>
              </w:tc>
              <w:tc>
                <w:tcPr>
                  <w:tcW w:w="82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A02642">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i w:val="0"/>
                      <w:iCs w:val="0"/>
                      <w:color w:val="auto"/>
                      <w:sz w:val="21"/>
                      <w:szCs w:val="21"/>
                      <w:u w:val="none"/>
                    </w:rPr>
                  </w:pPr>
                </w:p>
              </w:tc>
            </w:tr>
            <w:tr w14:paraId="5F2943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325033">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废包装袋（表面处理原料包装）</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11DFC">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3.045</w:t>
                  </w:r>
                </w:p>
              </w:tc>
              <w:tc>
                <w:tcPr>
                  <w:tcW w:w="11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CBC72">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危险废物（类别：HW49 900-041-49）</w:t>
                  </w:r>
                </w:p>
              </w:tc>
              <w:tc>
                <w:tcPr>
                  <w:tcW w:w="8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2250D">
                  <w:pPr>
                    <w:keepNext w:val="0"/>
                    <w:keepLines w:val="0"/>
                    <w:pageBreakBefore w:val="0"/>
                    <w:widowControl/>
                    <w:suppressLineNumbers w:val="0"/>
                    <w:kinsoku/>
                    <w:wordWrap/>
                    <w:overflowPunct/>
                    <w:topLinePunct w:val="0"/>
                    <w:autoSpaceDE/>
                    <w:autoSpaceDN/>
                    <w:bidi w:val="0"/>
                    <w:adjustRightInd w:val="0"/>
                    <w:snapToGrid w:val="0"/>
                    <w:spacing w:line="300" w:lineRule="exact"/>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暂存危废贮存间，委托有资质单位处置</w:t>
                  </w:r>
                </w:p>
              </w:tc>
              <w:tc>
                <w:tcPr>
                  <w:tcW w:w="64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A65255">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i w:val="0"/>
                      <w:iCs w:val="0"/>
                      <w:color w:val="auto"/>
                      <w:sz w:val="21"/>
                      <w:szCs w:val="21"/>
                      <w:u w:val="none"/>
                    </w:rPr>
                  </w:pPr>
                </w:p>
              </w:tc>
              <w:tc>
                <w:tcPr>
                  <w:tcW w:w="82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AB9D55">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i w:val="0"/>
                      <w:iCs w:val="0"/>
                      <w:color w:val="auto"/>
                      <w:sz w:val="21"/>
                      <w:szCs w:val="21"/>
                      <w:u w:val="none"/>
                    </w:rPr>
                  </w:pPr>
                </w:p>
              </w:tc>
            </w:tr>
            <w:tr w14:paraId="774EBD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5" w:hRule="atLeast"/>
              </w:trPr>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F469BC">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废润滑油</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2FC56">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w:t>
                  </w:r>
                </w:p>
              </w:tc>
              <w:tc>
                <w:tcPr>
                  <w:tcW w:w="11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3C000">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危险废物（类别：H08 900-214-08)</w:t>
                  </w:r>
                </w:p>
              </w:tc>
              <w:tc>
                <w:tcPr>
                  <w:tcW w:w="8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12BB9">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i w:val="0"/>
                      <w:iCs w:val="0"/>
                      <w:color w:val="auto"/>
                      <w:sz w:val="21"/>
                      <w:szCs w:val="21"/>
                      <w:u w:val="none"/>
                    </w:rPr>
                  </w:pPr>
                </w:p>
              </w:tc>
              <w:tc>
                <w:tcPr>
                  <w:tcW w:w="64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83171C">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i w:val="0"/>
                      <w:iCs w:val="0"/>
                      <w:color w:val="auto"/>
                      <w:sz w:val="21"/>
                      <w:szCs w:val="21"/>
                      <w:u w:val="none"/>
                    </w:rPr>
                  </w:pPr>
                </w:p>
              </w:tc>
              <w:tc>
                <w:tcPr>
                  <w:tcW w:w="82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E4ECE3">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i w:val="0"/>
                      <w:iCs w:val="0"/>
                      <w:color w:val="auto"/>
                      <w:sz w:val="21"/>
                      <w:szCs w:val="21"/>
                      <w:u w:val="none"/>
                    </w:rPr>
                  </w:pPr>
                </w:p>
              </w:tc>
            </w:tr>
            <w:tr w14:paraId="37B2F0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59F821">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合计</w:t>
                  </w:r>
                </w:p>
              </w:tc>
              <w:tc>
                <w:tcPr>
                  <w:tcW w:w="5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234210">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5514.67</w:t>
                  </w:r>
                </w:p>
              </w:tc>
              <w:tc>
                <w:tcPr>
                  <w:tcW w:w="1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3E7854">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44AC8F">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D62E34">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8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3E0DE0">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14:paraId="571B0E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24897E">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生活垃圾</w:t>
                  </w:r>
                </w:p>
              </w:tc>
              <w:tc>
                <w:tcPr>
                  <w:tcW w:w="5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4AB5B9">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24</w:t>
                  </w:r>
                </w:p>
              </w:tc>
              <w:tc>
                <w:tcPr>
                  <w:tcW w:w="1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E37414">
                  <w:pPr>
                    <w:keepNext w:val="0"/>
                    <w:keepLines w:val="0"/>
                    <w:pageBreakBefore w:val="0"/>
                    <w:widowControl/>
                    <w:suppressLineNumbers w:val="0"/>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900-002-S64</w:t>
                  </w:r>
                </w:p>
              </w:tc>
              <w:tc>
                <w:tcPr>
                  <w:tcW w:w="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0272E2">
                  <w:pPr>
                    <w:keepNext w:val="0"/>
                    <w:keepLines w:val="0"/>
                    <w:pageBreakBefore w:val="0"/>
                    <w:widowControl/>
                    <w:suppressLineNumbers w:val="0"/>
                    <w:kinsoku/>
                    <w:wordWrap/>
                    <w:overflowPunct/>
                    <w:topLinePunct w:val="0"/>
                    <w:autoSpaceDE/>
                    <w:autoSpaceDN/>
                    <w:bidi w:val="0"/>
                    <w:adjustRightInd w:val="0"/>
                    <w:snapToGrid w:val="0"/>
                    <w:spacing w:line="300" w:lineRule="exact"/>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环卫部门统一处理</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115674">
                  <w:pPr>
                    <w:keepNext w:val="0"/>
                    <w:keepLines w:val="0"/>
                    <w:pageBreakBefore w:val="0"/>
                    <w:widowControl/>
                    <w:suppressLineNumbers w:val="0"/>
                    <w:kinsoku/>
                    <w:wordWrap/>
                    <w:overflowPunct/>
                    <w:topLinePunct w:val="0"/>
                    <w:autoSpaceDE/>
                    <w:autoSpaceDN/>
                    <w:bidi w:val="0"/>
                    <w:adjustRightInd w:val="0"/>
                    <w:snapToGrid w:val="0"/>
                    <w:spacing w:line="300" w:lineRule="exact"/>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垃圾填埋场</w:t>
                  </w:r>
                </w:p>
              </w:tc>
              <w:tc>
                <w:tcPr>
                  <w:tcW w:w="8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BE8728">
                  <w:pPr>
                    <w:keepNext w:val="0"/>
                    <w:keepLines w:val="0"/>
                    <w:pageBreakBefore w:val="0"/>
                    <w:widowControl/>
                    <w:kinsoku/>
                    <w:wordWrap/>
                    <w:overflowPunct/>
                    <w:topLinePunct w:val="0"/>
                    <w:autoSpaceDE/>
                    <w:autoSpaceDN/>
                    <w:bidi w:val="0"/>
                    <w:adjustRightInd w:val="0"/>
                    <w:snapToGrid w:val="0"/>
                    <w:spacing w:line="300" w:lineRule="exact"/>
                    <w:jc w:val="center"/>
                    <w:rPr>
                      <w:rFonts w:hint="default" w:ascii="Times New Roman" w:hAnsi="Times New Roman" w:eastAsia="宋体" w:cs="Times New Roman"/>
                      <w:i w:val="0"/>
                      <w:iCs w:val="0"/>
                      <w:color w:val="auto"/>
                      <w:sz w:val="21"/>
                      <w:szCs w:val="21"/>
                      <w:u w:val="none"/>
                    </w:rPr>
                  </w:pPr>
                </w:p>
              </w:tc>
            </w:tr>
          </w:tbl>
          <w:p w14:paraId="7A3C508A">
            <w:pPr>
              <w:pStyle w:val="10"/>
              <w:keepNext w:val="0"/>
              <w:keepLines w:val="0"/>
              <w:pageBreakBefore w:val="0"/>
              <w:widowControl w:val="0"/>
              <w:kinsoku/>
              <w:wordWrap/>
              <w:overflowPunct/>
              <w:topLinePunct w:val="0"/>
              <w:autoSpaceDE/>
              <w:autoSpaceDN/>
              <w:bidi w:val="0"/>
              <w:adjustRightInd w:val="0"/>
              <w:snapToGrid w:val="0"/>
              <w:spacing w:before="115" w:beforeLines="30"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一般固体废物贮存：</w:t>
            </w:r>
          </w:p>
          <w:p w14:paraId="6791025A">
            <w:pPr>
              <w:pStyle w:val="128"/>
              <w:adjustRightInd w:val="0"/>
              <w:snapToGrid w:val="0"/>
              <w:spacing w:line="360" w:lineRule="auto"/>
              <w:ind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本项目一般固废堆放区按照《一般工业固体废物贮存和填埋污染控制标准》（GB 18599-2020）中一般工业固废贮存场所建设要求执行相关措施，要求如下：</w:t>
            </w:r>
          </w:p>
          <w:p w14:paraId="73509A0B">
            <w:pPr>
              <w:pStyle w:val="128"/>
              <w:adjustRightInd w:val="0"/>
              <w:snapToGrid w:val="0"/>
              <w:spacing w:line="360" w:lineRule="auto"/>
              <w:ind w:firstLineChars="200"/>
              <w:rPr>
                <w:rFonts w:hint="default" w:ascii="Times New Roman" w:hAnsi="Times New Roman" w:cs="Times New Roman"/>
                <w:color w:val="auto"/>
                <w:sz w:val="24"/>
              </w:rPr>
            </w:pPr>
            <w:r>
              <w:rPr>
                <w:rFonts w:hint="default" w:ascii="Times New Roman" w:hAnsi="Times New Roman" w:cs="Times New Roman"/>
                <w:color w:val="auto"/>
                <w:sz w:val="24"/>
              </w:rPr>
              <w:t>①贮存场所按照《环境保护图形标志—固体废物贮存（处置）场所》（GB15562.2-1995）设置环境保护图形标志；</w:t>
            </w:r>
          </w:p>
          <w:p w14:paraId="7DFD096F">
            <w:pPr>
              <w:pStyle w:val="128"/>
              <w:adjustRightInd w:val="0"/>
              <w:snapToGrid w:val="0"/>
              <w:spacing w:line="360" w:lineRule="auto"/>
              <w:ind w:firstLineChars="200"/>
              <w:rPr>
                <w:rFonts w:hint="default" w:ascii="Times New Roman" w:hAnsi="Times New Roman" w:cs="Times New Roman"/>
                <w:color w:val="auto"/>
                <w:sz w:val="24"/>
              </w:rPr>
            </w:pPr>
            <w:r>
              <w:rPr>
                <w:rFonts w:hint="default" w:ascii="Times New Roman" w:hAnsi="Times New Roman" w:cs="Times New Roman"/>
                <w:color w:val="auto"/>
                <w:sz w:val="24"/>
              </w:rPr>
              <w:t>②贮存场所应建立档案制度，将入场的一般工业固体废物的种类和数量详细记录在案，长期保存，供随时查阅；</w:t>
            </w:r>
          </w:p>
          <w:p w14:paraId="76F869B3">
            <w:pPr>
              <w:pStyle w:val="128"/>
              <w:adjustRightInd w:val="0"/>
              <w:snapToGrid w:val="0"/>
              <w:spacing w:line="360" w:lineRule="auto"/>
              <w:ind w:firstLineChars="200"/>
              <w:rPr>
                <w:rFonts w:hint="default" w:ascii="Times New Roman" w:hAnsi="Times New Roman" w:cs="Times New Roman"/>
                <w:color w:val="auto"/>
                <w:sz w:val="24"/>
              </w:rPr>
            </w:pPr>
            <w:r>
              <w:rPr>
                <w:rFonts w:hint="default" w:ascii="Times New Roman" w:hAnsi="Times New Roman" w:cs="Times New Roman"/>
                <w:color w:val="auto"/>
                <w:sz w:val="24"/>
              </w:rPr>
              <w:t>③贮存场所应建立检查维护制度；</w:t>
            </w:r>
          </w:p>
          <w:p w14:paraId="6DAF6979">
            <w:pPr>
              <w:pStyle w:val="128"/>
              <w:adjustRightInd w:val="0"/>
              <w:snapToGrid w:val="0"/>
              <w:spacing w:line="360" w:lineRule="auto"/>
              <w:ind w:firstLineChars="200"/>
              <w:rPr>
                <w:rFonts w:hint="default" w:ascii="Times New Roman" w:hAnsi="Times New Roman" w:cs="Times New Roman"/>
                <w:color w:val="auto"/>
                <w:sz w:val="24"/>
              </w:rPr>
            </w:pPr>
            <w:r>
              <w:rPr>
                <w:rFonts w:hint="default" w:ascii="Times New Roman" w:hAnsi="Times New Roman" w:cs="Times New Roman"/>
                <w:color w:val="auto"/>
                <w:sz w:val="24"/>
              </w:rPr>
              <w:t>④禁止危险废物和生活垃圾混入；</w:t>
            </w:r>
          </w:p>
          <w:p w14:paraId="20432405">
            <w:pPr>
              <w:pStyle w:val="128"/>
              <w:adjustRightInd w:val="0"/>
              <w:snapToGrid w:val="0"/>
              <w:spacing w:line="360" w:lineRule="auto"/>
              <w:ind w:firstLineChars="200"/>
              <w:rPr>
                <w:rFonts w:hint="default" w:ascii="Times New Roman" w:hAnsi="Times New Roman" w:cs="Times New Roman"/>
                <w:color w:val="auto"/>
                <w:sz w:val="24"/>
              </w:rPr>
            </w:pPr>
            <w:r>
              <w:rPr>
                <w:rFonts w:hint="default" w:ascii="Times New Roman" w:hAnsi="Times New Roman" w:cs="Times New Roman"/>
                <w:color w:val="auto"/>
                <w:sz w:val="24"/>
              </w:rPr>
              <w:t>⑤贮存场所经竣工，验收合格后，方可投入生产或使用；</w:t>
            </w:r>
          </w:p>
          <w:p w14:paraId="7F994994">
            <w:pPr>
              <w:pStyle w:val="128"/>
              <w:adjustRightInd w:val="0"/>
              <w:snapToGrid w:val="0"/>
              <w:spacing w:line="360" w:lineRule="auto"/>
              <w:ind w:firstLineChars="200"/>
              <w:rPr>
                <w:rFonts w:hint="default" w:ascii="Times New Roman" w:hAnsi="Times New Roman" w:cs="Times New Roman"/>
                <w:color w:val="auto"/>
                <w:sz w:val="24"/>
              </w:rPr>
            </w:pPr>
            <w:r>
              <w:rPr>
                <w:rFonts w:hint="default" w:ascii="Times New Roman" w:hAnsi="Times New Roman" w:cs="Times New Roman"/>
                <w:color w:val="auto"/>
                <w:sz w:val="24"/>
              </w:rPr>
              <w:t>⑥贮存场所应具有防雨等设施。</w:t>
            </w:r>
          </w:p>
          <w:p w14:paraId="157AB663">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贮存</w:t>
            </w:r>
            <w:r>
              <w:rPr>
                <w:rFonts w:hint="default" w:ascii="Times New Roman" w:hAnsi="Times New Roman" w:cs="Times New Roman"/>
                <w:color w:val="auto"/>
                <w:sz w:val="24"/>
              </w:rPr>
              <w:t>场所应防风防雨，地面需进行硬化、防渗等处理。各种固体废弃物分类分区存放并做好标识，可利用固废返回生产线或外售，不能利用的部分定期外售处置。采取上述处理处置措施后，几乎不会对环境造成不良影响。</w:t>
            </w:r>
          </w:p>
          <w:p w14:paraId="1465C10B">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危险废物贮存：</w:t>
            </w:r>
          </w:p>
          <w:p w14:paraId="7C4BEF71">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w:t>
            </w:r>
            <w:r>
              <w:rPr>
                <w:rFonts w:hint="default" w:ascii="Times New Roman" w:hAnsi="Times New Roman" w:cs="Times New Roman"/>
                <w:color w:val="auto"/>
                <w:sz w:val="24"/>
                <w:lang w:val="en-US" w:eastAsia="zh-CN"/>
              </w:rPr>
              <w:t>废酸贮存于废酸罐，其余</w:t>
            </w:r>
            <w:r>
              <w:rPr>
                <w:rFonts w:hint="default" w:ascii="Times New Roman" w:hAnsi="Times New Roman" w:cs="Times New Roman"/>
                <w:color w:val="auto"/>
                <w:sz w:val="24"/>
              </w:rPr>
              <w:t>产生的危险废物采用专用容器包装，依托现有危险固体废物贮存场。危险废物的贮存和转运应严格按照《危险废物贮存污染控制标准》（GB18597-2023）和《危险废物转移管理办法》要求执行。危险废物标识的设置满足《危险废物识别标志设置技术规范》（HJ1276-2022）。</w:t>
            </w:r>
          </w:p>
          <w:p w14:paraId="014F162B">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①贮存设施应根据危险废物的形态、物理化学性质、包装形式和污染物迁移途径，采取必要的防风、防晒、防雨、防漏、防渗、防腐以及其他环境污染防治措施，不应露天堆放危险废物。</w:t>
            </w:r>
          </w:p>
          <w:p w14:paraId="549BF171">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②贮存设施应根据危险废物的类别、数量、形态、物理化学性质和污染防治等要求设置必要的贮存分区，避免不相容的危险废物接触、混合。</w:t>
            </w:r>
          </w:p>
          <w:p w14:paraId="25CFF0DB">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③贮存设施或贮存分区内地面、墙面裙角、堵截泄漏的围堰、接触危险废物的隔板和墙体等应采用坚固的材料建造，表面无裂缝。</w:t>
            </w:r>
          </w:p>
          <w:p w14:paraId="729DD959">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④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default" w:ascii="Times New Roman" w:hAnsi="Times New Roman" w:cs="Times New Roman"/>
                <w:color w:val="auto"/>
                <w:sz w:val="24"/>
                <w:vertAlign w:val="superscript"/>
              </w:rPr>
              <w:t>-7</w:t>
            </w:r>
            <w:r>
              <w:rPr>
                <w:rFonts w:hint="default" w:ascii="Times New Roman" w:hAnsi="Times New Roman" w:cs="Times New Roman"/>
                <w:color w:val="auto"/>
                <w:sz w:val="24"/>
              </w:rPr>
              <w:t>cm/s），或至少2mm厚高密度聚乙烯膜等人工防渗材料（渗透系数不大于10</w:t>
            </w:r>
            <w:r>
              <w:rPr>
                <w:rFonts w:hint="default" w:ascii="Times New Roman" w:hAnsi="Times New Roman" w:cs="Times New Roman"/>
                <w:color w:val="auto"/>
                <w:sz w:val="24"/>
                <w:vertAlign w:val="superscript"/>
              </w:rPr>
              <w:t>-10</w:t>
            </w:r>
            <w:r>
              <w:rPr>
                <w:rFonts w:hint="default" w:ascii="Times New Roman" w:hAnsi="Times New Roman" w:cs="Times New Roman"/>
                <w:color w:val="auto"/>
                <w:sz w:val="24"/>
              </w:rPr>
              <w:t>cm/s），或其他防渗性能等效的材料。</w:t>
            </w:r>
          </w:p>
          <w:p w14:paraId="30F9553B">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⑤同一贮存设施宜采用相同的防渗、防腐工艺（包括防渗、防腐结构或材料），防渗、防腐材料应覆盖所有可能与废物及其渗滤液、渗漏液等接触的构筑物表面；采用不同防渗、防腐工艺应分别建设贮存分区。</w:t>
            </w:r>
          </w:p>
          <w:p w14:paraId="3D53E481">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⑥贮存设施应采取技术和管理措施防止无关人员进入。</w:t>
            </w:r>
          </w:p>
          <w:p w14:paraId="65269A8D">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⑦危废间内不同贮存分区之间应采取隔离措施。隔离措施可根据危险废物特性采用过道、隔板或隔墙等方式。</w:t>
            </w:r>
          </w:p>
          <w:p w14:paraId="4226EE93">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⑧在危废间内贮存液态危险废物的，应具有液体泄漏堵截设施，堵截设施最小容积不应低于对应贮存区域最大液态废物容器容积或液态废物总储量 1/10（二者取较大者）；用于贮存可能产生渗滤液的危险废物的贮存库或贮存分区应设计渗滤液收集设施，收集设施容积应满足渗滤液的收集要求。</w:t>
            </w:r>
          </w:p>
          <w:p w14:paraId="1C3747A6">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⑨液态危险废物应装入容器内贮存，半固态危险废物应装入容器或包装袋内贮存，易产生粉尘、VOCs、酸雾、有毒有害大气污染物和刺激性气味气体的危险废物应装入闭口容器或包装物内贮存，要求包装物堆叠码放时应封口严密，无破损泄漏。</w:t>
            </w:r>
          </w:p>
          <w:p w14:paraId="1AF3E094">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⑩危险废物的厂外运输采取危险废物转移“电子联单”制度，在转移危险废物之前，按照国家和地方有关规定报批危险废物转移计划；经批准后，通过固废监管平台申请电子联单。建设单位应如实填写电子联单中产生单位栏目。危险废物转移时，通过固废监管平台打印危险废物转移纸质联单，加盖公章，交付危险废物运输单位随车携带。危险废物运至接</w:t>
            </w:r>
            <w:r>
              <w:rPr>
                <w:rFonts w:hint="default" w:ascii="Times New Roman" w:hAnsi="Times New Roman" w:cs="Times New Roman"/>
                <w:color w:val="auto"/>
                <w:sz w:val="24"/>
                <w:lang w:val="en-US" w:eastAsia="zh-CN"/>
              </w:rPr>
              <w:t>收</w:t>
            </w:r>
            <w:r>
              <w:rPr>
                <w:rFonts w:hint="default" w:ascii="Times New Roman" w:hAnsi="Times New Roman" w:cs="Times New Roman"/>
                <w:color w:val="auto"/>
                <w:sz w:val="24"/>
              </w:rPr>
              <w:t>单位后，运输单位将随车携带的纸质联单交</w:t>
            </w:r>
            <w:r>
              <w:rPr>
                <w:rFonts w:hint="default" w:ascii="Times New Roman" w:hAnsi="Times New Roman" w:cs="Times New Roman"/>
                <w:color w:val="auto"/>
                <w:sz w:val="24"/>
                <w:lang w:eastAsia="zh-CN"/>
              </w:rPr>
              <w:t>接收</w:t>
            </w:r>
            <w:r>
              <w:rPr>
                <w:rFonts w:hint="default" w:ascii="Times New Roman" w:hAnsi="Times New Roman" w:cs="Times New Roman"/>
                <w:color w:val="auto"/>
                <w:sz w:val="24"/>
              </w:rPr>
              <w:t>单位，危险废物</w:t>
            </w:r>
            <w:r>
              <w:rPr>
                <w:rFonts w:hint="default" w:ascii="Times New Roman" w:hAnsi="Times New Roman" w:cs="Times New Roman"/>
                <w:color w:val="auto"/>
                <w:sz w:val="24"/>
                <w:lang w:eastAsia="zh-CN"/>
              </w:rPr>
              <w:t>接收</w:t>
            </w:r>
            <w:r>
              <w:rPr>
                <w:rFonts w:hint="default" w:ascii="Times New Roman" w:hAnsi="Times New Roman" w:cs="Times New Roman"/>
                <w:color w:val="auto"/>
                <w:sz w:val="24"/>
              </w:rPr>
              <w:t>单位按照联单内容对危险废物核实验收，通过扫描电子联单条码进行</w:t>
            </w:r>
            <w:r>
              <w:rPr>
                <w:rFonts w:hint="default" w:ascii="Times New Roman" w:hAnsi="Times New Roman" w:cs="Times New Roman"/>
                <w:color w:val="auto"/>
                <w:sz w:val="24"/>
                <w:lang w:eastAsia="zh-CN"/>
              </w:rPr>
              <w:t>接收</w:t>
            </w:r>
            <w:r>
              <w:rPr>
                <w:rFonts w:hint="default" w:ascii="Times New Roman" w:hAnsi="Times New Roman" w:cs="Times New Roman"/>
                <w:color w:val="auto"/>
                <w:sz w:val="24"/>
              </w:rPr>
              <w:t>确认。</w:t>
            </w:r>
          </w:p>
          <w:p w14:paraId="7FBA98EB">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EQ \o\ac(○,</w:instrText>
            </w:r>
            <w:r>
              <w:rPr>
                <w:rFonts w:hint="default" w:ascii="Times New Roman" w:hAnsi="Times New Roman" w:cs="Times New Roman"/>
                <w:color w:val="auto"/>
                <w:position w:val="3"/>
                <w:sz w:val="16"/>
              </w:rPr>
              <w:instrText xml:space="preserve">11</w:instrText>
            </w:r>
            <w:r>
              <w:rPr>
                <w:rFonts w:hint="default" w:ascii="Times New Roman" w:hAnsi="Times New Roman" w:cs="Times New Roman"/>
                <w:color w:val="auto"/>
                <w:sz w:val="24"/>
              </w:rPr>
              <w:instrText xml:space="preserve">)</w:instrText>
            </w:r>
            <w:r>
              <w:rPr>
                <w:rFonts w:hint="default" w:ascii="Times New Roman" w:hAnsi="Times New Roman" w:cs="Times New Roman"/>
                <w:color w:val="auto"/>
                <w:sz w:val="24"/>
              </w:rPr>
              <w:fldChar w:fldCharType="end"/>
            </w:r>
            <w:r>
              <w:rPr>
                <w:rFonts w:hint="default" w:ascii="Times New Roman" w:hAnsi="Times New Roman" w:cs="Times New Roman"/>
                <w:color w:val="auto"/>
                <w:sz w:val="24"/>
              </w:rPr>
              <w:t>运输危废应当遵守国家有关危险货物运输管理的规定，必须采用专用车辆，驾驶员须具有危险物品的运输资质。并严格按照《汽车危险货物运输、装卸作业规程》、《汽车危险货物运输规则》进行，避免危废在运输过程中散落、泄漏对环境造成影响。</w:t>
            </w:r>
          </w:p>
          <w:p w14:paraId="33B46BF4">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各类固体废物在厂内暂存期间，应加强固体废弃物的管理，一般工业固废按《一般工业固体废物贮存和填埋污染控制标准》（GB18599-2020）的要求处置。废液压油和润滑油等危险废物，</w:t>
            </w:r>
            <w:r>
              <w:rPr>
                <w:rFonts w:hint="default" w:ascii="Times New Roman" w:hAnsi="Times New Roman" w:cs="Times New Roman"/>
                <w:color w:val="auto"/>
                <w:sz w:val="24"/>
                <w:lang w:val="en-US" w:eastAsia="zh-CN"/>
              </w:rPr>
              <w:t>贮存</w:t>
            </w:r>
            <w:r>
              <w:rPr>
                <w:rFonts w:hint="default" w:ascii="Times New Roman" w:hAnsi="Times New Roman" w:cs="Times New Roman"/>
                <w:color w:val="auto"/>
                <w:sz w:val="24"/>
              </w:rPr>
              <w:t>于符合《危险废物贮存污染控制标准》（GB18597-2023）要求的危废间内，并委托有资质单位定期外运处置。项目建成后产生的固废经妥善处置处理，对周边环境产生影响小。</w:t>
            </w:r>
          </w:p>
          <w:p w14:paraId="6FA207CC">
            <w:pPr>
              <w:pStyle w:val="6"/>
              <w:spacing w:before="113" w:beforeLines="30" w:after="189" w:afterLines="50" w:line="240" w:lineRule="auto"/>
              <w:outlineLvl w:val="3"/>
              <w:rPr>
                <w:rFonts w:hint="default" w:ascii="Times New Roman" w:hAnsi="Times New Roman" w:cs="Times New Roman"/>
                <w:color w:val="auto"/>
              </w:rPr>
            </w:pPr>
            <w:r>
              <w:rPr>
                <w:rFonts w:hint="default" w:ascii="Times New Roman" w:hAnsi="Times New Roman" w:cs="Times New Roman"/>
                <w:color w:val="auto"/>
              </w:rPr>
              <w:t>4.2.4.2固废影响分析</w:t>
            </w:r>
          </w:p>
          <w:p w14:paraId="064AB328">
            <w:pPr>
              <w:pStyle w:val="10"/>
              <w:adjustRightInd w:val="0"/>
              <w:snapToGrid w:val="0"/>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rPr>
              <w:t>项目的生产固体废物有一般工业固废和危险废物。其中一般工业固废综合利用，危险废物</w:t>
            </w:r>
            <w:r>
              <w:rPr>
                <w:rFonts w:hint="default" w:ascii="Times New Roman" w:hAnsi="Times New Roman" w:cs="Times New Roman"/>
                <w:color w:val="auto"/>
                <w:sz w:val="24"/>
                <w:lang w:val="en-US" w:eastAsia="zh-CN"/>
              </w:rPr>
              <w:t>贮存</w:t>
            </w:r>
            <w:r>
              <w:rPr>
                <w:rFonts w:hint="default" w:ascii="Times New Roman" w:hAnsi="Times New Roman" w:cs="Times New Roman"/>
                <w:color w:val="auto"/>
                <w:kern w:val="0"/>
                <w:sz w:val="24"/>
              </w:rPr>
              <w:t>危废间，委托有资质单位处置。生活垃圾暂存厂内垃圾箱，由环卫部门清运和统一处置。</w:t>
            </w:r>
          </w:p>
          <w:p w14:paraId="4024EB00">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kern w:val="0"/>
                <w:sz w:val="24"/>
              </w:rPr>
              <w:t>本项目废酸液储存在50m</w:t>
            </w:r>
            <w:r>
              <w:rPr>
                <w:rFonts w:hint="default" w:ascii="Times New Roman" w:hAnsi="Times New Roman" w:cs="Times New Roman"/>
                <w:color w:val="auto"/>
                <w:kern w:val="0"/>
                <w:sz w:val="24"/>
                <w:vertAlign w:val="superscript"/>
              </w:rPr>
              <w:t>3</w:t>
            </w:r>
            <w:r>
              <w:rPr>
                <w:rFonts w:hint="default" w:ascii="Times New Roman" w:hAnsi="Times New Roman" w:cs="Times New Roman"/>
                <w:color w:val="auto"/>
                <w:kern w:val="0"/>
                <w:sz w:val="24"/>
              </w:rPr>
              <w:t>废酸罐，废酸罐区进行防渗处理，并设置围堰；现有工程危险废物贮存间面积60m</w:t>
            </w:r>
            <w:r>
              <w:rPr>
                <w:rFonts w:hint="default" w:ascii="Times New Roman" w:hAnsi="Times New Roman" w:cs="Times New Roman"/>
                <w:color w:val="auto"/>
                <w:kern w:val="0"/>
                <w:sz w:val="24"/>
                <w:vertAlign w:val="superscript"/>
              </w:rPr>
              <w:t>2</w:t>
            </w:r>
            <w:r>
              <w:rPr>
                <w:rFonts w:hint="default" w:ascii="Times New Roman" w:hAnsi="Times New Roman" w:cs="Times New Roman"/>
                <w:color w:val="auto"/>
                <w:kern w:val="0"/>
                <w:sz w:val="24"/>
              </w:rPr>
              <w:t>，</w:t>
            </w:r>
            <w:r>
              <w:rPr>
                <w:rFonts w:hint="default" w:ascii="Times New Roman" w:hAnsi="Times New Roman" w:cs="Times New Roman"/>
                <w:bCs/>
                <w:color w:val="auto"/>
                <w:sz w:val="24"/>
              </w:rPr>
              <w:t>危废间地面进行了防渗处理，设置了导流沟和收集池，</w:t>
            </w:r>
            <w:r>
              <w:rPr>
                <w:rFonts w:hint="default" w:ascii="Times New Roman" w:hAnsi="Times New Roman" w:cs="Times New Roman"/>
                <w:color w:val="auto"/>
                <w:kern w:val="0"/>
                <w:sz w:val="24"/>
              </w:rPr>
              <w:t>目前危废贮存间</w:t>
            </w:r>
            <w:r>
              <w:rPr>
                <w:rFonts w:hint="default" w:ascii="Times New Roman" w:hAnsi="Times New Roman" w:cs="Times New Roman"/>
                <w:bCs/>
                <w:color w:val="auto"/>
                <w:sz w:val="24"/>
              </w:rPr>
              <w:t>储存现有工程废润滑油，本项目新增的除</w:t>
            </w:r>
            <w:r>
              <w:rPr>
                <w:rFonts w:hint="default" w:ascii="Times New Roman" w:hAnsi="Times New Roman" w:cs="Times New Roman"/>
                <w:color w:val="auto"/>
                <w:kern w:val="0"/>
                <w:sz w:val="24"/>
              </w:rPr>
              <w:t>废酸外的其余危废依托现有危废间贮存，其余危险废物产生量较少，可满足本项目储存需求</w:t>
            </w:r>
            <w:r>
              <w:rPr>
                <w:rFonts w:hint="default" w:ascii="Times New Roman" w:hAnsi="Times New Roman" w:cs="Times New Roman"/>
                <w:bCs/>
                <w:color w:val="auto"/>
                <w:sz w:val="24"/>
              </w:rPr>
              <w:t>，依托是可行的</w:t>
            </w:r>
            <w:r>
              <w:rPr>
                <w:rFonts w:hint="default" w:ascii="Times New Roman" w:hAnsi="Times New Roman" w:cs="Times New Roman"/>
                <w:color w:val="auto"/>
                <w:kern w:val="0"/>
                <w:sz w:val="24"/>
              </w:rPr>
              <w:t>。危险废物贮存在危险废物贮存间，按照危险废物管理方法进行管理，委托有资质单位定期处置</w:t>
            </w:r>
            <w:r>
              <w:rPr>
                <w:rFonts w:hint="default" w:ascii="Times New Roman" w:hAnsi="Times New Roman" w:cs="Times New Roman"/>
                <w:color w:val="auto"/>
                <w:sz w:val="24"/>
              </w:rPr>
              <w:t>。</w:t>
            </w:r>
          </w:p>
          <w:p w14:paraId="6082A99E">
            <w:pPr>
              <w:pStyle w:val="10"/>
              <w:adjustRightInd w:val="0"/>
              <w:snapToGrid w:val="0"/>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在落实本评价提出的固废处置措施前提下，所有固废均可得到妥善处置，固废对环境影响较小。</w:t>
            </w:r>
          </w:p>
          <w:p w14:paraId="103E77A7">
            <w:pPr>
              <w:keepNext/>
              <w:keepLines/>
              <w:tabs>
                <w:tab w:val="left" w:pos="900"/>
              </w:tabs>
              <w:adjustRightInd w:val="0"/>
              <w:snapToGrid w:val="0"/>
              <w:spacing w:before="189" w:beforeLines="50" w:after="189" w:afterLines="50"/>
              <w:outlineLvl w:val="2"/>
              <w:rPr>
                <w:rFonts w:hint="default" w:ascii="Times New Roman" w:hAnsi="Times New Roman" w:eastAsia="黑体" w:cs="Times New Roman"/>
                <w:snapToGrid w:val="0"/>
                <w:color w:val="auto"/>
                <w:sz w:val="28"/>
              </w:rPr>
            </w:pPr>
            <w:r>
              <w:rPr>
                <w:rFonts w:hint="default" w:ascii="Times New Roman" w:hAnsi="Times New Roman" w:eastAsia="黑体" w:cs="Times New Roman"/>
                <w:snapToGrid w:val="0"/>
                <w:color w:val="auto"/>
                <w:sz w:val="28"/>
              </w:rPr>
              <w:t>4.2.5环境风险影响分析</w:t>
            </w:r>
          </w:p>
          <w:p w14:paraId="23D4A28B">
            <w:pPr>
              <w:pStyle w:val="33"/>
              <w:adjustRightInd w:val="0"/>
              <w:spacing w:before="0" w:after="0" w:line="360" w:lineRule="auto"/>
              <w:ind w:right="0" w:firstLine="480"/>
              <w:rPr>
                <w:rFonts w:hint="default" w:ascii="Times New Roman" w:hAnsi="Times New Roman" w:cs="Times New Roman"/>
                <w:color w:val="auto"/>
                <w:sz w:val="24"/>
                <w:szCs w:val="24"/>
              </w:rPr>
            </w:pPr>
            <w:bookmarkStart w:id="246" w:name="_Toc13201"/>
            <w:bookmarkStart w:id="247" w:name="_Toc17119"/>
            <w:bookmarkStart w:id="248" w:name="_Toc25257"/>
            <w:bookmarkStart w:id="249" w:name="_Toc6556"/>
            <w:bookmarkStart w:id="250" w:name="_Toc31519"/>
            <w:bookmarkStart w:id="251" w:name="_Toc4995"/>
            <w:bookmarkStart w:id="252" w:name="_Toc29936"/>
            <w:bookmarkStart w:id="253" w:name="_Toc5837"/>
            <w:bookmarkStart w:id="254" w:name="_Toc22510"/>
            <w:bookmarkStart w:id="255" w:name="_Toc19579"/>
            <w:bookmarkStart w:id="256" w:name="_Toc17895"/>
            <w:bookmarkStart w:id="257" w:name="_Toc24322"/>
            <w:bookmarkStart w:id="258" w:name="_Toc24383"/>
            <w:bookmarkStart w:id="259" w:name="_Toc26761"/>
            <w:bookmarkStart w:id="260" w:name="_Toc14136"/>
            <w:bookmarkStart w:id="261" w:name="_Toc20804"/>
            <w:bookmarkStart w:id="262" w:name="_Toc9495"/>
            <w:bookmarkStart w:id="263" w:name="_Toc27713"/>
            <w:bookmarkStart w:id="264" w:name="_Toc812"/>
            <w:bookmarkStart w:id="265" w:name="_Toc26920"/>
            <w:bookmarkStart w:id="266" w:name="_Toc17516"/>
            <w:r>
              <w:rPr>
                <w:rFonts w:hint="default" w:ascii="Times New Roman" w:hAnsi="Times New Roman" w:cs="Times New Roman"/>
                <w:color w:val="auto"/>
                <w:sz w:val="24"/>
                <w:szCs w:val="24"/>
              </w:rPr>
              <w:t>本报告的环境风险影响分析具体见《环境风险专项评价》，以下简称“环境风险专项”。</w:t>
            </w:r>
          </w:p>
          <w:p w14:paraId="066C9B74">
            <w:pPr>
              <w:pStyle w:val="6"/>
              <w:keepNext/>
              <w:keepLines/>
              <w:pageBreakBefore w:val="0"/>
              <w:widowControl w:val="0"/>
              <w:kinsoku/>
              <w:wordWrap/>
              <w:overflowPunct/>
              <w:topLinePunct w:val="0"/>
              <w:autoSpaceDE/>
              <w:autoSpaceDN/>
              <w:bidi w:val="0"/>
              <w:adjustRightInd/>
              <w:snapToGrid/>
              <w:textAlignment w:val="auto"/>
              <w:outlineLvl w:val="3"/>
              <w:rPr>
                <w:rFonts w:hint="default" w:ascii="Times New Roman" w:hAnsi="Times New Roman" w:eastAsia="宋体" w:cs="Times New Roman"/>
                <w:b/>
                <w:bCs w:val="0"/>
                <w:color w:val="auto"/>
              </w:rPr>
            </w:pPr>
            <w:r>
              <w:rPr>
                <w:rFonts w:hint="default" w:ascii="Times New Roman" w:hAnsi="Times New Roman" w:eastAsia="宋体" w:cs="Times New Roman"/>
                <w:b/>
                <w:bCs w:val="0"/>
                <w:color w:val="auto"/>
              </w:rPr>
              <w:t>环境风险结论</w:t>
            </w:r>
          </w:p>
          <w:p w14:paraId="7EBBAC39">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大气环境风险：项目盐酸储罐泄漏挥发时，不会对周边厂界外居民健康造成严重影响。天然气泄漏发生火灾产生CO时，在大气毒性终点浓度2级标准的最大影响范围内活动的人员所受到的生命健康不利影响较为严重，但不会产生致死性。</w:t>
            </w:r>
            <w:r>
              <w:rPr>
                <w:rFonts w:hint="default" w:ascii="Times New Roman" w:hAnsi="Times New Roman" w:cs="Times New Roman"/>
                <w:color w:val="auto"/>
                <w:kern w:val="0"/>
                <w:sz w:val="24"/>
                <w:lang w:val="zh-CN"/>
              </w:rPr>
              <w:t>项目应做好风险防范措施，避免发生泄漏、</w:t>
            </w:r>
            <w:r>
              <w:rPr>
                <w:rFonts w:hint="default" w:ascii="Times New Roman" w:hAnsi="Times New Roman" w:cs="Times New Roman"/>
                <w:color w:val="auto"/>
                <w:kern w:val="0"/>
                <w:sz w:val="24"/>
              </w:rPr>
              <w:t>火灾</w:t>
            </w:r>
            <w:r>
              <w:rPr>
                <w:rFonts w:hint="default" w:ascii="Times New Roman" w:hAnsi="Times New Roman" w:cs="Times New Roman"/>
                <w:color w:val="auto"/>
                <w:kern w:val="0"/>
                <w:sz w:val="24"/>
                <w:lang w:val="zh-CN"/>
              </w:rPr>
              <w:t>事故。</w:t>
            </w:r>
          </w:p>
          <w:p w14:paraId="39EB3FE6">
            <w:pPr>
              <w:adjustRightInd w:val="0"/>
              <w:snapToGrid w:val="0"/>
              <w:spacing w:line="360" w:lineRule="auto"/>
              <w:ind w:firstLine="480" w:firstLineChars="200"/>
              <w:rPr>
                <w:rFonts w:hint="default" w:ascii="Times New Roman" w:hAnsi="Times New Roman" w:cs="Times New Roman"/>
                <w:color w:val="auto"/>
                <w:sz w:val="24"/>
                <w:highlight w:val="yellow"/>
              </w:rPr>
            </w:pPr>
            <w:r>
              <w:rPr>
                <w:rFonts w:hint="default" w:ascii="Times New Roman" w:hAnsi="Times New Roman" w:cs="Times New Roman"/>
                <w:color w:val="auto"/>
                <w:sz w:val="24"/>
                <w:highlight w:val="none"/>
              </w:rPr>
              <w:t>（2）地表水环境风险：</w:t>
            </w:r>
            <w:r>
              <w:rPr>
                <w:rFonts w:hint="default" w:ascii="Times New Roman" w:hAnsi="Times New Roman" w:cs="Times New Roman"/>
                <w:color w:val="auto"/>
                <w:sz w:val="24"/>
                <w:szCs w:val="24"/>
                <w:highlight w:val="none"/>
              </w:rPr>
              <w:t>盐酸罐区泄漏时，其周边围堰可将泄漏的盐酸滞留于围堰内。盐酸罐区按重点防渗区要求建设，只要及时将泄漏出的废液收集至废液罐内，并进行清洗，清洗废水进入厂区废水处理设施内处理，则项目盐酸罐区泄漏不会对地表水环境产生不利影响</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因天然气泄漏起火时，在落实全厂事故应急池总容积</w:t>
            </w:r>
            <w:r>
              <w:rPr>
                <w:rFonts w:hint="default" w:ascii="Times New Roman" w:hAnsi="Times New Roman" w:cs="Times New Roman"/>
                <w:color w:val="auto"/>
                <w:sz w:val="24"/>
                <w:szCs w:val="24"/>
                <w:highlight w:val="none"/>
                <w:lang w:val="en-US" w:eastAsia="zh-CN"/>
              </w:rPr>
              <w:t>302</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情况下，可满足项目因天然气泄漏起火产生消防废水及污染雨水的应急需求。只要及时将泄漏出的废液收集至厂区废水处理设施内处理，则项目因天然气泄漏起火不会对地表水环境产生不利影响</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厂区污水处理站设有一个100m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事故池，废水处理设施故障时，应在</w:t>
            </w:r>
            <w:r>
              <w:rPr>
                <w:rFonts w:hint="default" w:ascii="Times New Roman" w:hAnsi="Times New Roman" w:cs="Times New Roman"/>
                <w:color w:val="auto"/>
                <w:sz w:val="24"/>
                <w:szCs w:val="24"/>
                <w:highlight w:val="none"/>
                <w:lang w:val="en-US" w:eastAsia="zh-CN"/>
              </w:rPr>
              <w:t>0</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61</w:t>
            </w:r>
            <w:r>
              <w:rPr>
                <w:rFonts w:hint="default" w:ascii="Times New Roman" w:hAnsi="Times New Roman" w:cs="Times New Roman"/>
                <w:color w:val="auto"/>
                <w:sz w:val="24"/>
                <w:szCs w:val="24"/>
                <w:highlight w:val="none"/>
              </w:rPr>
              <w:t>d内检修完成，并将事故废水收集至污水处理站事故应急池内，若超时未检修完成，应对相应产废水单元进行停机处理。只要处置得当，废水处理设施故障不会造成生产废水外流至地表水体，</w:t>
            </w:r>
            <w:r>
              <w:rPr>
                <w:rFonts w:hint="default" w:ascii="Times New Roman" w:hAnsi="Times New Roman" w:cs="Times New Roman"/>
                <w:color w:val="auto"/>
                <w:sz w:val="24"/>
                <w:highlight w:val="none"/>
              </w:rPr>
              <w:t>不会对地表水环境产生不利影响。</w:t>
            </w:r>
          </w:p>
          <w:p w14:paraId="66524543">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（3）地下水环境风险：项目采用分区防渗措施，在落实本评价提出的分区防渗措施后，防渗层正常的情况下，可有效阻隔泄漏物料进入地下水的途径，基本不会对地下水环境质量产生影响。</w:t>
            </w:r>
          </w:p>
          <w:p w14:paraId="0A69EB3D">
            <w:pPr>
              <w:keepNext/>
              <w:keepLines/>
              <w:tabs>
                <w:tab w:val="left" w:pos="900"/>
              </w:tabs>
              <w:adjustRightInd w:val="0"/>
              <w:snapToGrid w:val="0"/>
              <w:spacing w:before="189" w:beforeLines="50" w:after="189" w:afterLines="50"/>
              <w:outlineLvl w:val="2"/>
              <w:rPr>
                <w:rFonts w:hint="default" w:ascii="Times New Roman" w:hAnsi="Times New Roman" w:eastAsia="黑体" w:cs="Times New Roman"/>
                <w:snapToGrid w:val="0"/>
                <w:color w:val="auto"/>
                <w:sz w:val="28"/>
              </w:rPr>
            </w:pPr>
            <w:r>
              <w:rPr>
                <w:rFonts w:hint="default" w:ascii="Times New Roman" w:hAnsi="Times New Roman" w:eastAsia="黑体" w:cs="Times New Roman"/>
                <w:snapToGrid w:val="0"/>
                <w:color w:val="auto"/>
                <w:sz w:val="28"/>
              </w:rPr>
              <w:t>4.2.6地下水影响及措施</w:t>
            </w:r>
          </w:p>
          <w:p w14:paraId="267117C7">
            <w:pPr>
              <w:autoSpaceDE w:val="0"/>
              <w:autoSpaceDN w:val="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根据《环境影响评价技术导则 地下水环境》（HJ610-2016），本项目属于地下水类别Ⅳ类，不开展地下水环境影响评价。</w:t>
            </w:r>
          </w:p>
          <w:p w14:paraId="73974743">
            <w:pPr>
              <w:pStyle w:val="6"/>
              <w:spacing w:before="113" w:beforeLines="30" w:after="189" w:afterLines="50" w:line="240" w:lineRule="auto"/>
              <w:outlineLvl w:val="3"/>
              <w:rPr>
                <w:rFonts w:hint="default" w:ascii="Times New Roman" w:hAnsi="Times New Roman" w:cs="Times New Roman"/>
                <w:color w:val="auto"/>
              </w:rPr>
            </w:pPr>
            <w:r>
              <w:rPr>
                <w:rFonts w:hint="default" w:ascii="Times New Roman" w:hAnsi="Times New Roman" w:cs="Times New Roman"/>
                <w:color w:val="auto"/>
              </w:rPr>
              <w:t>4.2.6.1防治原则</w:t>
            </w:r>
          </w:p>
          <w:p w14:paraId="372ADEDF">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针对本项目可能发生的地下水、土壤污染，地下水、土壤污染防治措施按照“源头控制、分区防控、污染监控、应急响应”相结合的原则，从污染物的产生、入渗、扩散、应急响应全阶段进行控制。</w:t>
            </w:r>
          </w:p>
          <w:p w14:paraId="31BCD93D">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①源头控制措施：主要包括在工艺、管道、设备、污水储存采取相应措施，防止和降低污染物跑、冒、滴、漏，将污染物泄漏的环境风险事故降到最低程度；管线敷设尽量采用“可视化”原则，即管道尽可能地上敷设，做到污染物“早发现、早处理”，减少由于埋地管道泄漏而造成的地下水污染。</w:t>
            </w:r>
          </w:p>
          <w:p w14:paraId="1AF62A42">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末端控制措施：主要包括建设区域污染区地面的防渗措施和泄漏、渗漏污染物收集措施，即在污染区地面进行防渗处理，防止洒落地面的污染物渗入地下，并把滞留在地面的污染物收集起来，集中送至污水处理场处理，末端控制采取分区防渗，按重点污染防治区、一般污染防治区和非污染区防渗措施有区别的防渗原则。</w:t>
            </w:r>
          </w:p>
          <w:p w14:paraId="6B1DBF36">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③污染监控：建立场地区地下水环境监控系统，建立完善的监测制度和环境管理体系，制定监测计划，及时发现污染、控制污染。</w:t>
            </w:r>
          </w:p>
          <w:p w14:paraId="0F475EA7">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④风险事故应急响应：制定地下水风险事故应急响应预案，明确风险事故状态下应采取的封闭、截留等措施，提出防止受污染的地下水扩散和对受污染的地下水进行治理的具体方案。</w:t>
            </w:r>
          </w:p>
          <w:p w14:paraId="3E4F0A58">
            <w:pPr>
              <w:pStyle w:val="6"/>
              <w:spacing w:before="113" w:beforeLines="30" w:after="189" w:afterLines="50" w:line="240" w:lineRule="auto"/>
              <w:outlineLvl w:val="3"/>
              <w:rPr>
                <w:rFonts w:hint="default" w:ascii="Times New Roman" w:hAnsi="Times New Roman" w:cs="Times New Roman"/>
                <w:color w:val="auto"/>
              </w:rPr>
            </w:pPr>
            <w:r>
              <w:rPr>
                <w:rFonts w:hint="default" w:ascii="Times New Roman" w:hAnsi="Times New Roman" w:cs="Times New Roman"/>
                <w:color w:val="auto"/>
              </w:rPr>
              <w:t>4.2.6.2污染防治区分区防治方案</w:t>
            </w:r>
          </w:p>
          <w:p w14:paraId="769A5DBA">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本项目新建表面处理车间，需按照重点防渗要求进行防渗建设。</w:t>
            </w:r>
          </w:p>
          <w:p w14:paraId="5BEB7DB2">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①重点防渗区</w:t>
            </w:r>
          </w:p>
          <w:p w14:paraId="53EAE24C">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重点防渗区主要是物料泄漏后可能污染地下水，不容易被及时发现和处理的区域，主要包括废水处理系统、收集沟（管）、化学品仓库和危险废物临时贮存场等区域。</w:t>
            </w:r>
          </w:p>
          <w:p w14:paraId="3E8CC40F">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根据《环境影响评价技术导则地下水环境》（HJ610-2016）中“表7地下水污染防渗分区参照表”的要求，重点防渗区的防渗技术要求：等效黏土防渗层Mb≥6.0m，K≤1×10</w:t>
            </w:r>
            <w:r>
              <w:rPr>
                <w:rFonts w:hint="default" w:ascii="Times New Roman" w:hAnsi="Times New Roman" w:cs="Times New Roman"/>
                <w:color w:val="auto"/>
                <w:sz w:val="24"/>
                <w:vertAlign w:val="superscript"/>
              </w:rPr>
              <w:t>-7</w:t>
            </w:r>
            <w:r>
              <w:rPr>
                <w:rFonts w:hint="default" w:ascii="Times New Roman" w:hAnsi="Times New Roman" w:cs="Times New Roman"/>
                <w:color w:val="auto"/>
                <w:sz w:val="24"/>
              </w:rPr>
              <w:t>cm/s；或参照GB18598执行。</w:t>
            </w:r>
          </w:p>
          <w:p w14:paraId="5783C711">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②一般防渗区</w:t>
            </w:r>
          </w:p>
          <w:p w14:paraId="01FA609A">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一般防渗区主要是物料泄漏后可能污染地下水，可及时发现和处理的区域，根据《环境影响评价技术导则地下水环境》（HJ610-2016）中“表7地下水污染防渗分区参照表”的要求，一般防渗区的防渗技术要求：等效黏土防渗层Mb≥1.5m，K≤1×10</w:t>
            </w:r>
            <w:r>
              <w:rPr>
                <w:rFonts w:hint="default" w:ascii="Times New Roman" w:hAnsi="Times New Roman" w:cs="Times New Roman"/>
                <w:color w:val="auto"/>
                <w:sz w:val="24"/>
                <w:vertAlign w:val="superscript"/>
              </w:rPr>
              <w:t>-7</w:t>
            </w:r>
            <w:r>
              <w:rPr>
                <w:rFonts w:hint="default" w:ascii="Times New Roman" w:hAnsi="Times New Roman" w:cs="Times New Roman"/>
                <w:color w:val="auto"/>
                <w:sz w:val="24"/>
              </w:rPr>
              <w:t>cm/s；或参照GB16889执行。</w:t>
            </w:r>
          </w:p>
          <w:p w14:paraId="7972DF5D">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③简单防渗区</w:t>
            </w:r>
          </w:p>
          <w:p w14:paraId="2ACA6500">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对于基本上不产生污染物的非污染防治区，不采取专门针对地下水污染的防治措施，采用一般地面硬化措施。</w:t>
            </w:r>
          </w:p>
          <w:p w14:paraId="7D8A7A42">
            <w:pPr>
              <w:pStyle w:val="1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本项目装置设施的分区防渗级别详见表4.2-2</w:t>
            </w:r>
            <w:r>
              <w:rPr>
                <w:rFonts w:hint="default" w:ascii="Times New Roman" w:hAnsi="Times New Roman" w:cs="Times New Roman"/>
                <w:color w:val="auto"/>
                <w:sz w:val="24"/>
                <w:lang w:val="en-US" w:eastAsia="zh-CN"/>
              </w:rPr>
              <w:t>7</w:t>
            </w:r>
            <w:r>
              <w:rPr>
                <w:rFonts w:hint="default" w:ascii="Times New Roman" w:hAnsi="Times New Roman" w:cs="Times New Roman"/>
                <w:color w:val="auto"/>
                <w:sz w:val="24"/>
              </w:rPr>
              <w:t>，防渗分区见</w:t>
            </w:r>
            <w:r>
              <w:rPr>
                <w:rFonts w:hint="default" w:ascii="Times New Roman" w:hAnsi="Times New Roman" w:cs="Times New Roman"/>
                <w:color w:val="auto"/>
                <w:sz w:val="24"/>
                <w:highlight w:val="none"/>
              </w:rPr>
              <w:t>附图</w:t>
            </w:r>
            <w:r>
              <w:rPr>
                <w:rFonts w:hint="default" w:ascii="Times New Roman" w:hAnsi="Times New Roman" w:cs="Times New Roman"/>
                <w:color w:val="auto"/>
                <w:sz w:val="24"/>
                <w:highlight w:val="none"/>
                <w:lang w:val="en-US" w:eastAsia="zh-CN"/>
              </w:rPr>
              <w:t>十一</w:t>
            </w:r>
            <w:r>
              <w:rPr>
                <w:rFonts w:hint="default" w:ascii="Times New Roman" w:hAnsi="Times New Roman" w:cs="Times New Roman"/>
                <w:color w:val="auto"/>
                <w:sz w:val="24"/>
                <w:highlight w:val="none"/>
              </w:rPr>
              <w:t>。</w:t>
            </w:r>
          </w:p>
          <w:p w14:paraId="3840E34B">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表4.2-2</w:t>
            </w:r>
            <w:r>
              <w:rPr>
                <w:rFonts w:hint="default" w:ascii="Times New Roman" w:hAnsi="Times New Roman" w:eastAsia="黑体" w:cs="Times New Roman"/>
                <w:b w:val="0"/>
                <w:bCs/>
                <w:color w:val="auto"/>
                <w:lang w:val="en-US" w:eastAsia="zh-CN"/>
              </w:rPr>
              <w:t>7</w:t>
            </w:r>
            <w:r>
              <w:rPr>
                <w:rFonts w:hint="default" w:ascii="Times New Roman" w:hAnsi="Times New Roman" w:eastAsia="黑体" w:cs="Times New Roman"/>
                <w:b w:val="0"/>
                <w:bCs/>
                <w:color w:val="auto"/>
              </w:rPr>
              <w:t xml:space="preserve">  本项目地下水污染分区防渗一览表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Change w:id="0" w:author="翁玉枝" w:date="2023-06-17T11:21:00Z">
                <w:tblPr>
                  <w:tblStyle w:val="34"/>
                  <w:tblW w:w="468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PrChange>
            </w:tblPr>
            <w:tblGrid>
              <w:gridCol w:w="1564"/>
              <w:gridCol w:w="3107"/>
              <w:gridCol w:w="1822"/>
              <w:gridCol w:w="2169"/>
              <w:tblGridChange w:id="1">
                <w:tblGrid>
                  <w:gridCol w:w="5"/>
                  <w:gridCol w:w="837"/>
                  <w:gridCol w:w="52"/>
                  <w:gridCol w:w="2415"/>
                  <w:gridCol w:w="1886"/>
                  <w:gridCol w:w="2659"/>
                </w:tblGrid>
              </w:tblGridChange>
            </w:tblGrid>
            <w:tr w14:paraId="10761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2" w:author="翁玉枝" w:date="2023-06-17T11:21:00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wBefore w:w="0" w:type="auto"/>
                <w:trHeight w:val="363" w:hRule="atLeast"/>
                <w:tblHeader/>
                <w:jc w:val="center"/>
                <w:trPrChange w:id="2" w:author="翁玉枝" w:date="2023-06-17T11:21:00Z">
                  <w:trPr>
                    <w:gridBefore w:val="1"/>
                    <w:wBefore w:w="5" w:type="dxa"/>
                    <w:trHeight w:val="340" w:hRule="atLeast"/>
                    <w:tblHeader/>
                    <w:jc w:val="center"/>
                  </w:trPr>
                </w:trPrChange>
              </w:trPr>
              <w:tc>
                <w:tcPr>
                  <w:tcW w:w="902" w:type="pct"/>
                  <w:vAlign w:val="center"/>
                  <w:tcPrChange w:id="3" w:author="翁玉枝" w:date="2023-06-17T11:21:00Z">
                    <w:tcPr>
                      <w:tcW w:w="533" w:type="pct"/>
                      <w:vAlign w:val="center"/>
                    </w:tcPr>
                  </w:tcPrChange>
                </w:tcPr>
                <w:p w14:paraId="1A47CA58">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防治分区</w:t>
                  </w:r>
                </w:p>
              </w:tc>
              <w:tc>
                <w:tcPr>
                  <w:tcW w:w="1793" w:type="pct"/>
                  <w:tcBorders>
                    <w:right w:val="single" w:color="auto" w:sz="2" w:space="0"/>
                  </w:tcBorders>
                  <w:vAlign w:val="center"/>
                  <w:tcPrChange w:id="4" w:author="翁玉枝" w:date="2023-06-17T11:21:00Z">
                    <w:tcPr>
                      <w:tcW w:w="1571" w:type="pct"/>
                      <w:gridSpan w:val="2"/>
                      <w:tcBorders>
                        <w:right w:val="single" w:color="auto" w:sz="2" w:space="0"/>
                      </w:tcBorders>
                      <w:vAlign w:val="center"/>
                    </w:tcPr>
                  </w:tcPrChange>
                </w:tcPr>
                <w:p w14:paraId="6FDCF7E3">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装置名称</w:t>
                  </w:r>
                </w:p>
              </w:tc>
              <w:tc>
                <w:tcPr>
                  <w:tcW w:w="1051" w:type="pct"/>
                  <w:tcBorders>
                    <w:left w:val="single" w:color="auto" w:sz="2" w:space="0"/>
                  </w:tcBorders>
                  <w:vAlign w:val="center"/>
                  <w:tcPrChange w:id="5" w:author="翁玉枝" w:date="2023-06-17T11:21:00Z">
                    <w:tcPr>
                      <w:tcW w:w="1201" w:type="pct"/>
                      <w:tcBorders>
                        <w:left w:val="single" w:color="auto" w:sz="2" w:space="0"/>
                      </w:tcBorders>
                      <w:vAlign w:val="center"/>
                    </w:tcPr>
                  </w:tcPrChange>
                </w:tcPr>
                <w:p w14:paraId="5C8C9952">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防渗区域</w:t>
                  </w:r>
                </w:p>
              </w:tc>
              <w:tc>
                <w:tcPr>
                  <w:tcW w:w="1252" w:type="pct"/>
                  <w:vAlign w:val="center"/>
                  <w:tcPrChange w:id="6" w:author="翁玉枝" w:date="2023-06-17T11:21:00Z">
                    <w:tcPr>
                      <w:tcW w:w="1693" w:type="pct"/>
                      <w:vAlign w:val="center"/>
                    </w:tcPr>
                  </w:tcPrChange>
                </w:tcPr>
                <w:p w14:paraId="49B064E3">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防渗措施</w:t>
                  </w:r>
                </w:p>
              </w:tc>
            </w:tr>
            <w:tr w14:paraId="176DC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902" w:type="pct"/>
                  <w:vMerge w:val="restart"/>
                  <w:vAlign w:val="center"/>
                </w:tcPr>
                <w:p w14:paraId="143CF202">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重点防渗区</w:t>
                  </w:r>
                </w:p>
              </w:tc>
              <w:tc>
                <w:tcPr>
                  <w:tcW w:w="1793" w:type="pct"/>
                  <w:tcBorders>
                    <w:right w:val="single" w:color="auto" w:sz="2" w:space="0"/>
                  </w:tcBorders>
                  <w:shd w:val="clear" w:color="auto" w:fill="auto"/>
                  <w:vAlign w:val="center"/>
                </w:tcPr>
                <w:p w14:paraId="2F735C16">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表面处理</w:t>
                  </w:r>
                  <w:r>
                    <w:rPr>
                      <w:rFonts w:hint="default" w:ascii="Times New Roman" w:hAnsi="Times New Roman" w:cs="Times New Roman" w:eastAsiaTheme="minorEastAsia"/>
                      <w:bCs/>
                      <w:color w:val="auto"/>
                      <w:szCs w:val="32"/>
                    </w:rPr>
                    <w:t>生产装置区</w:t>
                  </w:r>
                </w:p>
              </w:tc>
              <w:tc>
                <w:tcPr>
                  <w:tcW w:w="1051" w:type="pct"/>
                  <w:tcBorders>
                    <w:left w:val="single" w:color="auto" w:sz="2" w:space="0"/>
                  </w:tcBorders>
                  <w:shd w:val="clear" w:color="auto" w:fill="auto"/>
                  <w:vAlign w:val="center"/>
                </w:tcPr>
                <w:p w14:paraId="508522EE">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地面、导流沟</w:t>
                  </w:r>
                </w:p>
              </w:tc>
              <w:tc>
                <w:tcPr>
                  <w:tcW w:w="1252" w:type="pct"/>
                  <w:vMerge w:val="restart"/>
                  <w:shd w:val="clear" w:color="auto" w:fill="auto"/>
                  <w:vAlign w:val="center"/>
                </w:tcPr>
                <w:p w14:paraId="342A16FE">
                  <w:pPr>
                    <w:keepNext w:val="0"/>
                    <w:keepLines w:val="0"/>
                    <w:pageBreakBefore w:val="0"/>
                    <w:widowControl/>
                    <w:kinsoku/>
                    <w:wordWrap/>
                    <w:overflowPunct/>
                    <w:topLinePunct w:val="0"/>
                    <w:autoSpaceDN/>
                    <w:bidi w:val="0"/>
                    <w:adjustRightInd w:val="0"/>
                    <w:snapToGrid w:val="0"/>
                    <w:spacing w:beforeAutospacing="0" w:afterAutospacing="0"/>
                    <w:jc w:val="left"/>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等效黏土防渗层Mb≥6.0m，K≤1×10</w:t>
                  </w:r>
                  <w:r>
                    <w:rPr>
                      <w:rFonts w:hint="default" w:ascii="Times New Roman" w:hAnsi="Times New Roman" w:cs="Times New Roman"/>
                      <w:color w:val="auto"/>
                      <w:szCs w:val="21"/>
                      <w:vertAlign w:val="superscript"/>
                    </w:rPr>
                    <w:t>-7</w:t>
                  </w:r>
                  <w:r>
                    <w:rPr>
                      <w:rFonts w:hint="default" w:ascii="Times New Roman" w:hAnsi="Times New Roman" w:cs="Times New Roman"/>
                      <w:color w:val="auto"/>
                      <w:szCs w:val="21"/>
                    </w:rPr>
                    <w:t>cm/s；或参照GB18598执行。</w:t>
                  </w:r>
                </w:p>
              </w:tc>
            </w:tr>
            <w:tr w14:paraId="33F49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3" w:hRule="atLeast"/>
                <w:tblHeader/>
                <w:jc w:val="center"/>
              </w:trPr>
              <w:tc>
                <w:tcPr>
                  <w:tcW w:w="902" w:type="pct"/>
                  <w:vMerge w:val="continue"/>
                  <w:vAlign w:val="center"/>
                </w:tcPr>
                <w:p w14:paraId="3EF3BB0E">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p>
              </w:tc>
              <w:tc>
                <w:tcPr>
                  <w:tcW w:w="1793" w:type="pct"/>
                  <w:tcBorders>
                    <w:right w:val="single" w:color="auto" w:sz="2" w:space="0"/>
                  </w:tcBorders>
                  <w:shd w:val="clear" w:color="auto" w:fill="auto"/>
                  <w:vAlign w:val="center"/>
                </w:tcPr>
                <w:p w14:paraId="2B1DF869">
                  <w:pPr>
                    <w:keepNext w:val="0"/>
                    <w:keepLines w:val="0"/>
                    <w:pageBreakBefore w:val="0"/>
                    <w:widowControl/>
                    <w:kinsoku/>
                    <w:wordWrap/>
                    <w:overflowPunct/>
                    <w:topLinePunct w:val="0"/>
                    <w:autoSpaceDN/>
                    <w:bidi w:val="0"/>
                    <w:adjustRightInd w:val="0"/>
                    <w:snapToGrid w:val="0"/>
                    <w:spacing w:beforeAutospacing="0" w:afterAutospacing="0"/>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表面处理</w:t>
                  </w:r>
                  <w:r>
                    <w:rPr>
                      <w:rFonts w:hint="default" w:ascii="Times New Roman" w:hAnsi="Times New Roman" w:cs="Times New Roman" w:eastAsiaTheme="minorEastAsia"/>
                      <w:bCs/>
                      <w:color w:val="auto"/>
                      <w:szCs w:val="32"/>
                    </w:rPr>
                    <w:t>配套液池（石灰预溶池、低位皂化液池、低位磷化液池、低位磷渣池、低位清水池等）</w:t>
                  </w:r>
                </w:p>
              </w:tc>
              <w:tc>
                <w:tcPr>
                  <w:tcW w:w="1051" w:type="pct"/>
                  <w:tcBorders>
                    <w:left w:val="single" w:color="auto" w:sz="2" w:space="0"/>
                  </w:tcBorders>
                  <w:shd w:val="clear" w:color="auto" w:fill="auto"/>
                  <w:vAlign w:val="center"/>
                </w:tcPr>
                <w:p w14:paraId="045000EF">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地面、导流沟</w:t>
                  </w:r>
                </w:p>
              </w:tc>
              <w:tc>
                <w:tcPr>
                  <w:tcW w:w="1252" w:type="pct"/>
                  <w:vMerge w:val="continue"/>
                  <w:shd w:val="clear" w:color="auto" w:fill="auto"/>
                  <w:vAlign w:val="center"/>
                </w:tcPr>
                <w:p w14:paraId="133EA520">
                  <w:pPr>
                    <w:keepNext w:val="0"/>
                    <w:keepLines w:val="0"/>
                    <w:pageBreakBefore w:val="0"/>
                    <w:widowControl/>
                    <w:kinsoku/>
                    <w:wordWrap/>
                    <w:overflowPunct/>
                    <w:topLinePunct w:val="0"/>
                    <w:autoSpaceDN/>
                    <w:bidi w:val="0"/>
                    <w:adjustRightInd w:val="0"/>
                    <w:snapToGrid w:val="0"/>
                    <w:spacing w:beforeAutospacing="0" w:afterAutospacing="0"/>
                    <w:textAlignment w:val="auto"/>
                    <w:rPr>
                      <w:rFonts w:hint="default" w:ascii="Times New Roman" w:hAnsi="Times New Roman" w:cs="Times New Roman"/>
                      <w:color w:val="auto"/>
                      <w:szCs w:val="21"/>
                    </w:rPr>
                  </w:pPr>
                </w:p>
              </w:tc>
            </w:tr>
            <w:tr w14:paraId="07C06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902" w:type="pct"/>
                  <w:vMerge w:val="continue"/>
                  <w:vAlign w:val="center"/>
                </w:tcPr>
                <w:p w14:paraId="4EF4EE9B">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p>
              </w:tc>
              <w:tc>
                <w:tcPr>
                  <w:tcW w:w="1793" w:type="pct"/>
                  <w:tcBorders>
                    <w:right w:val="single" w:color="auto" w:sz="2" w:space="0"/>
                  </w:tcBorders>
                  <w:shd w:val="clear" w:color="auto" w:fill="auto"/>
                  <w:vAlign w:val="center"/>
                </w:tcPr>
                <w:p w14:paraId="0BC545FE">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酸罐区、废酸罐区</w:t>
                  </w:r>
                </w:p>
              </w:tc>
              <w:tc>
                <w:tcPr>
                  <w:tcW w:w="1051" w:type="pct"/>
                  <w:tcBorders>
                    <w:left w:val="single" w:color="auto" w:sz="2" w:space="0"/>
                  </w:tcBorders>
                  <w:shd w:val="clear" w:color="auto" w:fill="auto"/>
                  <w:vAlign w:val="center"/>
                </w:tcPr>
                <w:p w14:paraId="14B17F8F">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地面、围堰</w:t>
                  </w:r>
                </w:p>
              </w:tc>
              <w:tc>
                <w:tcPr>
                  <w:tcW w:w="1252" w:type="pct"/>
                  <w:vMerge w:val="continue"/>
                  <w:shd w:val="clear" w:color="auto" w:fill="auto"/>
                  <w:vAlign w:val="center"/>
                </w:tcPr>
                <w:p w14:paraId="33944E29">
                  <w:pPr>
                    <w:keepNext w:val="0"/>
                    <w:keepLines w:val="0"/>
                    <w:pageBreakBefore w:val="0"/>
                    <w:widowControl/>
                    <w:kinsoku/>
                    <w:wordWrap/>
                    <w:overflowPunct/>
                    <w:topLinePunct w:val="0"/>
                    <w:autoSpaceDN/>
                    <w:bidi w:val="0"/>
                    <w:adjustRightInd w:val="0"/>
                    <w:snapToGrid w:val="0"/>
                    <w:spacing w:beforeAutospacing="0" w:afterAutospacing="0"/>
                    <w:textAlignment w:val="auto"/>
                    <w:rPr>
                      <w:rFonts w:hint="default" w:ascii="Times New Roman" w:hAnsi="Times New Roman" w:cs="Times New Roman"/>
                      <w:color w:val="auto"/>
                      <w:szCs w:val="21"/>
                    </w:rPr>
                  </w:pPr>
                </w:p>
              </w:tc>
            </w:tr>
            <w:tr w14:paraId="6A2CF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902" w:type="pct"/>
                  <w:vMerge w:val="continue"/>
                  <w:vAlign w:val="center"/>
                </w:tcPr>
                <w:p w14:paraId="50864F3E">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p>
              </w:tc>
              <w:tc>
                <w:tcPr>
                  <w:tcW w:w="1793" w:type="pct"/>
                  <w:tcBorders>
                    <w:right w:val="single" w:color="auto" w:sz="2" w:space="0"/>
                  </w:tcBorders>
                  <w:shd w:val="clear" w:color="auto" w:fill="auto"/>
                  <w:vAlign w:val="center"/>
                </w:tcPr>
                <w:p w14:paraId="792744A2">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污水处理站</w:t>
                  </w:r>
                </w:p>
              </w:tc>
              <w:tc>
                <w:tcPr>
                  <w:tcW w:w="1051" w:type="pct"/>
                  <w:tcBorders>
                    <w:left w:val="single" w:color="auto" w:sz="2" w:space="0"/>
                  </w:tcBorders>
                  <w:shd w:val="clear" w:color="auto" w:fill="auto"/>
                  <w:vAlign w:val="center"/>
                </w:tcPr>
                <w:p w14:paraId="4D6F3D8D">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池体</w:t>
                  </w:r>
                </w:p>
              </w:tc>
              <w:tc>
                <w:tcPr>
                  <w:tcW w:w="1252" w:type="pct"/>
                  <w:vMerge w:val="continue"/>
                  <w:shd w:val="clear" w:color="auto" w:fill="auto"/>
                  <w:vAlign w:val="center"/>
                </w:tcPr>
                <w:p w14:paraId="29B80BCA">
                  <w:pPr>
                    <w:keepNext w:val="0"/>
                    <w:keepLines w:val="0"/>
                    <w:pageBreakBefore w:val="0"/>
                    <w:widowControl/>
                    <w:kinsoku/>
                    <w:wordWrap/>
                    <w:overflowPunct/>
                    <w:topLinePunct w:val="0"/>
                    <w:autoSpaceDN/>
                    <w:bidi w:val="0"/>
                    <w:adjustRightInd w:val="0"/>
                    <w:snapToGrid w:val="0"/>
                    <w:spacing w:beforeAutospacing="0" w:afterAutospacing="0"/>
                    <w:textAlignment w:val="auto"/>
                    <w:rPr>
                      <w:rFonts w:hint="default" w:ascii="Times New Roman" w:hAnsi="Times New Roman" w:cs="Times New Roman"/>
                      <w:color w:val="auto"/>
                      <w:szCs w:val="21"/>
                    </w:rPr>
                  </w:pPr>
                </w:p>
              </w:tc>
            </w:tr>
            <w:tr w14:paraId="02D3E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902" w:type="pct"/>
                  <w:vMerge w:val="continue"/>
                  <w:vAlign w:val="center"/>
                </w:tcPr>
                <w:p w14:paraId="5BFDEDFB">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p>
              </w:tc>
              <w:tc>
                <w:tcPr>
                  <w:tcW w:w="1793" w:type="pct"/>
                  <w:tcBorders>
                    <w:right w:val="single" w:color="auto" w:sz="2" w:space="0"/>
                  </w:tcBorders>
                  <w:shd w:val="clear" w:color="auto" w:fill="auto"/>
                  <w:vAlign w:val="center"/>
                </w:tcPr>
                <w:p w14:paraId="6535B5C3">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危废贮存间</w:t>
                  </w:r>
                  <w:r>
                    <w:rPr>
                      <w:rFonts w:hint="eastAsia" w:cs="Times New Roman"/>
                      <w:color w:val="auto"/>
                      <w:szCs w:val="21"/>
                      <w:lang w:eastAsia="zh-CN"/>
                    </w:rPr>
                    <w:t>、化学品仓库</w:t>
                  </w:r>
                </w:p>
              </w:tc>
              <w:tc>
                <w:tcPr>
                  <w:tcW w:w="1051" w:type="pct"/>
                  <w:tcBorders>
                    <w:left w:val="single" w:color="auto" w:sz="2" w:space="0"/>
                  </w:tcBorders>
                  <w:shd w:val="clear" w:color="auto" w:fill="auto"/>
                  <w:vAlign w:val="center"/>
                </w:tcPr>
                <w:p w14:paraId="4B7550CA">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地面</w:t>
                  </w:r>
                </w:p>
              </w:tc>
              <w:tc>
                <w:tcPr>
                  <w:tcW w:w="1252" w:type="pct"/>
                  <w:vMerge w:val="continue"/>
                  <w:shd w:val="clear" w:color="auto" w:fill="auto"/>
                  <w:vAlign w:val="center"/>
                </w:tcPr>
                <w:p w14:paraId="532AA284">
                  <w:pPr>
                    <w:keepNext w:val="0"/>
                    <w:keepLines w:val="0"/>
                    <w:pageBreakBefore w:val="0"/>
                    <w:widowControl/>
                    <w:kinsoku/>
                    <w:wordWrap/>
                    <w:overflowPunct/>
                    <w:topLinePunct w:val="0"/>
                    <w:autoSpaceDN/>
                    <w:bidi w:val="0"/>
                    <w:adjustRightInd w:val="0"/>
                    <w:snapToGrid w:val="0"/>
                    <w:spacing w:beforeAutospacing="0" w:afterAutospacing="0"/>
                    <w:textAlignment w:val="auto"/>
                    <w:rPr>
                      <w:rFonts w:hint="default" w:ascii="Times New Roman" w:hAnsi="Times New Roman" w:cs="Times New Roman"/>
                      <w:color w:val="auto"/>
                      <w:szCs w:val="21"/>
                    </w:rPr>
                  </w:pPr>
                </w:p>
              </w:tc>
            </w:tr>
            <w:tr w14:paraId="0387D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902" w:type="pct"/>
                  <w:vMerge w:val="continue"/>
                  <w:vAlign w:val="center"/>
                </w:tcPr>
                <w:p w14:paraId="67636697">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p>
              </w:tc>
              <w:tc>
                <w:tcPr>
                  <w:tcW w:w="1793" w:type="pct"/>
                  <w:tcBorders>
                    <w:right w:val="single" w:color="auto" w:sz="2" w:space="0"/>
                  </w:tcBorders>
                  <w:shd w:val="clear" w:color="auto" w:fill="auto"/>
                  <w:vAlign w:val="center"/>
                </w:tcPr>
                <w:p w14:paraId="1CF4FA02">
                  <w:pPr>
                    <w:pStyle w:val="30"/>
                    <w:keepNext w:val="0"/>
                    <w:keepLines w:val="0"/>
                    <w:pageBreakBefore w:val="0"/>
                    <w:widowControl/>
                    <w:kinsoku/>
                    <w:wordWrap/>
                    <w:overflowPunct/>
                    <w:topLinePunct w:val="0"/>
                    <w:autoSpaceDE w:val="0"/>
                    <w:autoSpaceDN/>
                    <w:bidi w:val="0"/>
                    <w:adjustRightInd w:val="0"/>
                    <w:snapToGrid w:val="0"/>
                    <w:spacing w:before="0" w:beforeAutospacing="0" w:after="0" w:afterAutospacing="0"/>
                    <w:jc w:val="center"/>
                    <w:textAlignment w:val="auto"/>
                    <w:rPr>
                      <w:rFonts w:hint="default" w:ascii="Times New Roman" w:hAnsi="Times New Roman" w:cs="Times New Roman"/>
                      <w:color w:val="auto"/>
                      <w:kern w:val="2"/>
                      <w:sz w:val="21"/>
                      <w:szCs w:val="21"/>
                    </w:rPr>
                  </w:pPr>
                  <w:r>
                    <w:rPr>
                      <w:rFonts w:hint="default" w:ascii="Times New Roman" w:hAnsi="Times New Roman" w:cs="Times New Roman"/>
                      <w:color w:val="auto"/>
                      <w:spacing w:val="-1"/>
                      <w:sz w:val="21"/>
                      <w:szCs w:val="21"/>
                    </w:rPr>
                    <w:t>初期雨水</w:t>
                  </w:r>
                  <w:r>
                    <w:rPr>
                      <w:rFonts w:hint="default" w:ascii="Times New Roman" w:hAnsi="Times New Roman" w:cs="Times New Roman"/>
                      <w:color w:val="auto"/>
                      <w:sz w:val="21"/>
                      <w:szCs w:val="21"/>
                    </w:rPr>
                    <w:t>池</w:t>
                  </w:r>
                </w:p>
              </w:tc>
              <w:tc>
                <w:tcPr>
                  <w:tcW w:w="1051" w:type="pct"/>
                  <w:tcBorders>
                    <w:left w:val="single" w:color="auto" w:sz="2" w:space="0"/>
                  </w:tcBorders>
                  <w:shd w:val="clear" w:color="auto" w:fill="auto"/>
                  <w:vAlign w:val="center"/>
                </w:tcPr>
                <w:p w14:paraId="59BE1998">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水池底部和四周</w:t>
                  </w:r>
                </w:p>
              </w:tc>
              <w:tc>
                <w:tcPr>
                  <w:tcW w:w="1252" w:type="pct"/>
                  <w:vMerge w:val="continue"/>
                  <w:shd w:val="clear" w:color="auto" w:fill="auto"/>
                  <w:vAlign w:val="center"/>
                </w:tcPr>
                <w:p w14:paraId="0D4B8976">
                  <w:pPr>
                    <w:keepNext w:val="0"/>
                    <w:keepLines w:val="0"/>
                    <w:pageBreakBefore w:val="0"/>
                    <w:widowControl/>
                    <w:kinsoku/>
                    <w:wordWrap/>
                    <w:overflowPunct/>
                    <w:topLinePunct w:val="0"/>
                    <w:autoSpaceDN/>
                    <w:bidi w:val="0"/>
                    <w:adjustRightInd w:val="0"/>
                    <w:snapToGrid w:val="0"/>
                    <w:spacing w:beforeAutospacing="0" w:afterAutospacing="0"/>
                    <w:textAlignment w:val="auto"/>
                    <w:rPr>
                      <w:rFonts w:hint="default" w:ascii="Times New Roman" w:hAnsi="Times New Roman" w:cs="Times New Roman"/>
                      <w:color w:val="auto"/>
                      <w:szCs w:val="21"/>
                    </w:rPr>
                  </w:pPr>
                </w:p>
              </w:tc>
            </w:tr>
            <w:tr w14:paraId="1E709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902" w:type="pct"/>
                  <w:vMerge w:val="restart"/>
                  <w:vAlign w:val="center"/>
                </w:tcPr>
                <w:p w14:paraId="2C635E2D">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一般防渗区</w:t>
                  </w:r>
                </w:p>
              </w:tc>
              <w:tc>
                <w:tcPr>
                  <w:tcW w:w="1793" w:type="pct"/>
                  <w:tcBorders>
                    <w:right w:val="single" w:color="auto" w:sz="2" w:space="0"/>
                  </w:tcBorders>
                  <w:vAlign w:val="center"/>
                </w:tcPr>
                <w:p w14:paraId="253C1B62">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净环水冷却系统</w:t>
                  </w:r>
                </w:p>
              </w:tc>
              <w:tc>
                <w:tcPr>
                  <w:tcW w:w="1051" w:type="pct"/>
                  <w:tcBorders>
                    <w:left w:val="single" w:color="auto" w:sz="2" w:space="0"/>
                  </w:tcBorders>
                  <w:vAlign w:val="center"/>
                </w:tcPr>
                <w:p w14:paraId="12B35081">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水池底部和四周</w:t>
                  </w:r>
                </w:p>
              </w:tc>
              <w:tc>
                <w:tcPr>
                  <w:tcW w:w="1252" w:type="pct"/>
                  <w:vMerge w:val="restart"/>
                  <w:vAlign w:val="center"/>
                </w:tcPr>
                <w:p w14:paraId="13C58CBA">
                  <w:pPr>
                    <w:keepNext w:val="0"/>
                    <w:keepLines w:val="0"/>
                    <w:pageBreakBefore w:val="0"/>
                    <w:widowControl/>
                    <w:kinsoku/>
                    <w:wordWrap/>
                    <w:overflowPunct/>
                    <w:topLinePunct w:val="0"/>
                    <w:autoSpaceDN/>
                    <w:bidi w:val="0"/>
                    <w:adjustRightInd w:val="0"/>
                    <w:snapToGrid w:val="0"/>
                    <w:spacing w:beforeAutospacing="0" w:afterAutospacing="0"/>
                    <w:jc w:val="left"/>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等效黏土防渗层Mb≥1.5m，K≤1×10</w:t>
                  </w:r>
                  <w:r>
                    <w:rPr>
                      <w:rFonts w:hint="default" w:ascii="Times New Roman" w:hAnsi="Times New Roman" w:cs="Times New Roman"/>
                      <w:color w:val="auto"/>
                      <w:szCs w:val="21"/>
                      <w:vertAlign w:val="superscript"/>
                    </w:rPr>
                    <w:t>-7</w:t>
                  </w:r>
                  <w:r>
                    <w:rPr>
                      <w:rFonts w:hint="default" w:ascii="Times New Roman" w:hAnsi="Times New Roman" w:cs="Times New Roman"/>
                      <w:color w:val="auto"/>
                      <w:szCs w:val="21"/>
                    </w:rPr>
                    <w:t>cm/s；或参照GB16889执行。</w:t>
                  </w:r>
                </w:p>
              </w:tc>
            </w:tr>
            <w:tr w14:paraId="77573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902" w:type="pct"/>
                  <w:vMerge w:val="continue"/>
                  <w:vAlign w:val="center"/>
                </w:tcPr>
                <w:p w14:paraId="4B6313D4">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p>
              </w:tc>
              <w:tc>
                <w:tcPr>
                  <w:tcW w:w="1793" w:type="pct"/>
                  <w:tcBorders>
                    <w:right w:val="single" w:color="auto" w:sz="2" w:space="0"/>
                  </w:tcBorders>
                  <w:vAlign w:val="center"/>
                </w:tcPr>
                <w:p w14:paraId="7C32EE07">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生产车间</w:t>
                  </w:r>
                </w:p>
              </w:tc>
              <w:tc>
                <w:tcPr>
                  <w:tcW w:w="1051" w:type="pct"/>
                  <w:tcBorders>
                    <w:left w:val="single" w:color="auto" w:sz="2" w:space="0"/>
                  </w:tcBorders>
                  <w:vAlign w:val="center"/>
                </w:tcPr>
                <w:p w14:paraId="4A2AFC92">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地面</w:t>
                  </w:r>
                </w:p>
              </w:tc>
              <w:tc>
                <w:tcPr>
                  <w:tcW w:w="1252" w:type="pct"/>
                  <w:vMerge w:val="continue"/>
                  <w:vAlign w:val="center"/>
                </w:tcPr>
                <w:p w14:paraId="4AB65C82">
                  <w:pPr>
                    <w:keepNext w:val="0"/>
                    <w:keepLines w:val="0"/>
                    <w:pageBreakBefore w:val="0"/>
                    <w:widowControl/>
                    <w:kinsoku/>
                    <w:wordWrap/>
                    <w:overflowPunct/>
                    <w:topLinePunct w:val="0"/>
                    <w:autoSpaceDN/>
                    <w:bidi w:val="0"/>
                    <w:adjustRightInd w:val="0"/>
                    <w:snapToGrid w:val="0"/>
                    <w:spacing w:beforeAutospacing="0" w:afterAutospacing="0"/>
                    <w:textAlignment w:val="auto"/>
                    <w:rPr>
                      <w:rFonts w:hint="default" w:ascii="Times New Roman" w:hAnsi="Times New Roman" w:cs="Times New Roman"/>
                      <w:color w:val="auto"/>
                      <w:szCs w:val="21"/>
                    </w:rPr>
                  </w:pPr>
                </w:p>
              </w:tc>
            </w:tr>
            <w:tr w14:paraId="23841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902" w:type="pct"/>
                  <w:vMerge w:val="continue"/>
                  <w:vAlign w:val="center"/>
                </w:tcPr>
                <w:p w14:paraId="51D2F953">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p>
              </w:tc>
              <w:tc>
                <w:tcPr>
                  <w:tcW w:w="1793" w:type="pct"/>
                  <w:tcBorders>
                    <w:right w:val="single" w:color="auto" w:sz="2" w:space="0"/>
                  </w:tcBorders>
                  <w:vAlign w:val="center"/>
                </w:tcPr>
                <w:p w14:paraId="2928C485">
                  <w:pPr>
                    <w:pStyle w:val="30"/>
                    <w:keepNext w:val="0"/>
                    <w:keepLines w:val="0"/>
                    <w:pageBreakBefore w:val="0"/>
                    <w:widowControl/>
                    <w:kinsoku/>
                    <w:wordWrap/>
                    <w:overflowPunct/>
                    <w:topLinePunct w:val="0"/>
                    <w:autoSpaceDE w:val="0"/>
                    <w:autoSpaceDN/>
                    <w:bidi w:val="0"/>
                    <w:adjustRightInd w:val="0"/>
                    <w:snapToGrid w:val="0"/>
                    <w:spacing w:before="0" w:beforeAutospacing="0" w:after="0" w:afterAutospacing="0"/>
                    <w:jc w:val="center"/>
                    <w:textAlignment w:val="auto"/>
                    <w:rPr>
                      <w:rFonts w:hint="default" w:ascii="Times New Roman" w:hAnsi="Times New Roman" w:cs="Times New Roman"/>
                      <w:color w:val="auto"/>
                      <w:kern w:val="2"/>
                      <w:sz w:val="21"/>
                      <w:szCs w:val="21"/>
                    </w:rPr>
                  </w:pPr>
                  <w:r>
                    <w:rPr>
                      <w:rFonts w:hint="default" w:ascii="Times New Roman" w:hAnsi="Times New Roman" w:cs="Times New Roman"/>
                      <w:color w:val="auto"/>
                      <w:spacing w:val="-1"/>
                      <w:sz w:val="21"/>
                      <w:szCs w:val="21"/>
                    </w:rPr>
                    <w:t>事故应急池</w:t>
                  </w:r>
                </w:p>
              </w:tc>
              <w:tc>
                <w:tcPr>
                  <w:tcW w:w="1051" w:type="pct"/>
                  <w:tcBorders>
                    <w:left w:val="single" w:color="auto" w:sz="2" w:space="0"/>
                  </w:tcBorders>
                  <w:vAlign w:val="center"/>
                </w:tcPr>
                <w:p w14:paraId="73AC6A76">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水池底部和四周</w:t>
                  </w:r>
                </w:p>
              </w:tc>
              <w:tc>
                <w:tcPr>
                  <w:tcW w:w="1252" w:type="pct"/>
                  <w:vMerge w:val="continue"/>
                  <w:vAlign w:val="center"/>
                </w:tcPr>
                <w:p w14:paraId="2B278317">
                  <w:pPr>
                    <w:keepNext w:val="0"/>
                    <w:keepLines w:val="0"/>
                    <w:pageBreakBefore w:val="0"/>
                    <w:widowControl/>
                    <w:kinsoku/>
                    <w:wordWrap/>
                    <w:overflowPunct/>
                    <w:topLinePunct w:val="0"/>
                    <w:autoSpaceDN/>
                    <w:bidi w:val="0"/>
                    <w:adjustRightInd w:val="0"/>
                    <w:snapToGrid w:val="0"/>
                    <w:spacing w:beforeAutospacing="0" w:afterAutospacing="0"/>
                    <w:textAlignment w:val="auto"/>
                    <w:rPr>
                      <w:rFonts w:hint="default" w:ascii="Times New Roman" w:hAnsi="Times New Roman" w:cs="Times New Roman"/>
                      <w:color w:val="auto"/>
                      <w:szCs w:val="21"/>
                    </w:rPr>
                  </w:pPr>
                </w:p>
              </w:tc>
            </w:tr>
            <w:tr w14:paraId="3EA5D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902" w:type="pct"/>
                  <w:vMerge w:val="continue"/>
                  <w:vAlign w:val="center"/>
                </w:tcPr>
                <w:p w14:paraId="6793C03A">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p>
              </w:tc>
              <w:tc>
                <w:tcPr>
                  <w:tcW w:w="1793" w:type="pct"/>
                  <w:tcBorders>
                    <w:right w:val="single" w:color="auto" w:sz="2" w:space="0"/>
                  </w:tcBorders>
                  <w:vAlign w:val="center"/>
                </w:tcPr>
                <w:p w14:paraId="1F607A2B">
                  <w:pPr>
                    <w:pStyle w:val="30"/>
                    <w:keepNext w:val="0"/>
                    <w:keepLines w:val="0"/>
                    <w:pageBreakBefore w:val="0"/>
                    <w:widowControl/>
                    <w:kinsoku/>
                    <w:wordWrap/>
                    <w:overflowPunct/>
                    <w:topLinePunct w:val="0"/>
                    <w:autoSpaceDE w:val="0"/>
                    <w:autoSpaceDN/>
                    <w:bidi w:val="0"/>
                    <w:adjustRightInd w:val="0"/>
                    <w:snapToGrid w:val="0"/>
                    <w:spacing w:before="0" w:beforeAutospacing="0" w:after="0" w:afterAutospacing="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z w:val="21"/>
                      <w:szCs w:val="21"/>
                    </w:rPr>
                    <w:t>碱液喷淋塔</w:t>
                  </w:r>
                </w:p>
              </w:tc>
              <w:tc>
                <w:tcPr>
                  <w:tcW w:w="1051" w:type="pct"/>
                  <w:tcBorders>
                    <w:left w:val="single" w:color="auto" w:sz="2" w:space="0"/>
                  </w:tcBorders>
                  <w:vAlign w:val="center"/>
                </w:tcPr>
                <w:p w14:paraId="35D43E06">
                  <w:pPr>
                    <w:keepNext w:val="0"/>
                    <w:keepLines w:val="0"/>
                    <w:pageBreakBefore w:val="0"/>
                    <w:widowControl/>
                    <w:kinsoku/>
                    <w:wordWrap/>
                    <w:overflowPunct/>
                    <w:topLinePunct w:val="0"/>
                    <w:autoSpaceDN/>
                    <w:bidi w:val="0"/>
                    <w:adjustRightInd w:val="0"/>
                    <w:snapToGrid w:val="0"/>
                    <w:spacing w:beforeAutospacing="0" w:afterAutospacing="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地面</w:t>
                  </w:r>
                </w:p>
              </w:tc>
              <w:tc>
                <w:tcPr>
                  <w:tcW w:w="1252" w:type="pct"/>
                  <w:vMerge w:val="continue"/>
                  <w:vAlign w:val="center"/>
                </w:tcPr>
                <w:p w14:paraId="230FE6A8">
                  <w:pPr>
                    <w:keepNext w:val="0"/>
                    <w:keepLines w:val="0"/>
                    <w:pageBreakBefore w:val="0"/>
                    <w:widowControl/>
                    <w:kinsoku/>
                    <w:wordWrap/>
                    <w:overflowPunct/>
                    <w:topLinePunct w:val="0"/>
                    <w:autoSpaceDN/>
                    <w:bidi w:val="0"/>
                    <w:adjustRightInd w:val="0"/>
                    <w:snapToGrid w:val="0"/>
                    <w:spacing w:beforeAutospacing="0" w:afterAutospacing="0"/>
                    <w:textAlignment w:val="auto"/>
                    <w:rPr>
                      <w:rFonts w:hint="default" w:ascii="Times New Roman" w:hAnsi="Times New Roman" w:cs="Times New Roman"/>
                      <w:color w:val="auto"/>
                      <w:szCs w:val="21"/>
                    </w:rPr>
                  </w:pPr>
                </w:p>
              </w:tc>
            </w:tr>
          </w:tbl>
          <w:p w14:paraId="5F318B00">
            <w:pPr>
              <w:keepNext/>
              <w:keepLines/>
              <w:tabs>
                <w:tab w:val="left" w:pos="900"/>
              </w:tabs>
              <w:adjustRightInd w:val="0"/>
              <w:snapToGrid w:val="0"/>
              <w:spacing w:before="189" w:beforeLines="50" w:after="189" w:afterLines="50"/>
              <w:outlineLvl w:val="2"/>
              <w:rPr>
                <w:rFonts w:hint="default" w:ascii="Times New Roman" w:hAnsi="Times New Roman" w:eastAsia="黑体" w:cs="Times New Roman"/>
                <w:snapToGrid w:val="0"/>
                <w:color w:val="auto"/>
                <w:sz w:val="28"/>
              </w:rPr>
            </w:pPr>
            <w:r>
              <w:rPr>
                <w:rFonts w:hint="default" w:ascii="Times New Roman" w:hAnsi="Times New Roman" w:eastAsia="黑体" w:cs="Times New Roman"/>
                <w:snapToGrid w:val="0"/>
                <w:color w:val="auto"/>
                <w:sz w:val="28"/>
              </w:rPr>
              <w:t>4.2.</w:t>
            </w:r>
            <w:bookmarkEnd w:id="246"/>
            <w:bookmarkEnd w:id="247"/>
            <w:bookmarkEnd w:id="248"/>
            <w:bookmarkEnd w:id="249"/>
            <w:bookmarkEnd w:id="250"/>
            <w:bookmarkEnd w:id="251"/>
            <w:bookmarkEnd w:id="252"/>
            <w:bookmarkEnd w:id="253"/>
            <w:bookmarkEnd w:id="254"/>
            <w:bookmarkEnd w:id="255"/>
            <w:bookmarkEnd w:id="256"/>
            <w:bookmarkEnd w:id="257"/>
            <w:bookmarkStart w:id="267" w:name="_Toc18960"/>
            <w:bookmarkStart w:id="268" w:name="_Toc5582"/>
            <w:bookmarkStart w:id="269" w:name="_Toc14340"/>
            <w:bookmarkStart w:id="270" w:name="_Toc30814"/>
            <w:bookmarkStart w:id="271" w:name="_Toc28573"/>
            <w:bookmarkStart w:id="272" w:name="_Toc11528"/>
            <w:bookmarkStart w:id="273" w:name="_Toc7099"/>
            <w:bookmarkStart w:id="274" w:name="_Toc17801"/>
            <w:bookmarkStart w:id="275" w:name="_Toc5685"/>
            <w:bookmarkStart w:id="276" w:name="_Toc26306"/>
            <w:bookmarkStart w:id="277" w:name="_Toc12811"/>
            <w:r>
              <w:rPr>
                <w:rFonts w:hint="default" w:ascii="Times New Roman" w:hAnsi="Times New Roman" w:eastAsia="黑体" w:cs="Times New Roman"/>
                <w:snapToGrid w:val="0"/>
                <w:color w:val="auto"/>
                <w:sz w:val="28"/>
              </w:rPr>
              <w:t>7土壤影响及措施</w:t>
            </w:r>
            <w:bookmarkEnd w:id="267"/>
            <w:bookmarkEnd w:id="268"/>
            <w:bookmarkEnd w:id="269"/>
            <w:bookmarkEnd w:id="270"/>
            <w:bookmarkEnd w:id="271"/>
            <w:bookmarkEnd w:id="272"/>
            <w:bookmarkEnd w:id="273"/>
            <w:bookmarkEnd w:id="274"/>
            <w:bookmarkEnd w:id="275"/>
            <w:bookmarkEnd w:id="276"/>
            <w:bookmarkEnd w:id="277"/>
          </w:p>
          <w:p w14:paraId="39D09D3E">
            <w:pPr>
              <w:autoSpaceDE w:val="0"/>
              <w:autoSpaceDN w:val="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建设项目环境影响报告表编制技术指南（污染影响类）（试行）》原则上不开展环境质量现状调查。建设项目存在土壤、地下水环境污染途径的，应结合污染源、保护目标分布情况开展现状调查以留作背景值。</w:t>
            </w:r>
          </w:p>
          <w:p w14:paraId="30246E23">
            <w:pPr>
              <w:autoSpaceDE w:val="0"/>
              <w:autoSpaceDN w:val="0"/>
              <w:adjustRightInd w:val="0"/>
              <w:snapToGrid w:val="0"/>
              <w:spacing w:line="360" w:lineRule="auto"/>
              <w:ind w:firstLine="480" w:firstLineChars="200"/>
              <w:rPr>
                <w:rFonts w:hint="default" w:ascii="Times New Roman" w:hAnsi="Times New Roman" w:cs="Times New Roman"/>
                <w:color w:val="auto"/>
              </w:rPr>
            </w:pPr>
            <w:r>
              <w:rPr>
                <w:rFonts w:hint="default" w:ascii="Times New Roman" w:hAnsi="Times New Roman" w:cs="Times New Roman"/>
                <w:color w:val="auto"/>
                <w:sz w:val="24"/>
              </w:rPr>
              <w:t>本项目场地均硬化处理，生产车间均采用水泥硬化并进行防渗处理，在采取以上措施后，项目运营期基本不会对土壤造成污染。</w:t>
            </w:r>
            <w:bookmarkEnd w:id="258"/>
            <w:bookmarkEnd w:id="259"/>
            <w:bookmarkEnd w:id="260"/>
            <w:bookmarkEnd w:id="261"/>
            <w:bookmarkEnd w:id="262"/>
            <w:bookmarkEnd w:id="263"/>
            <w:bookmarkEnd w:id="264"/>
            <w:bookmarkEnd w:id="265"/>
            <w:bookmarkEnd w:id="266"/>
          </w:p>
        </w:tc>
      </w:tr>
    </w:tbl>
    <w:p w14:paraId="3BD874D7">
      <w:pPr>
        <w:rPr>
          <w:rFonts w:hint="default" w:ascii="Times New Roman" w:hAnsi="Times New Roman" w:cs="Times New Roman"/>
          <w:color w:val="auto"/>
        </w:rPr>
        <w:sectPr>
          <w:pgSz w:w="11905" w:h="16838"/>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p w14:paraId="656391EC">
      <w:pPr>
        <w:pStyle w:val="30"/>
        <w:numPr>
          <w:ilvl w:val="0"/>
          <w:numId w:val="19"/>
        </w:numPr>
        <w:spacing w:before="0" w:beforeAutospacing="0" w:after="0" w:afterAutospacing="0"/>
        <w:jc w:val="center"/>
        <w:outlineLvl w:val="0"/>
        <w:rPr>
          <w:rFonts w:hint="default" w:ascii="Times New Roman" w:hAnsi="Times New Roman" w:eastAsia="黑体" w:cs="Times New Roman"/>
          <w:snapToGrid w:val="0"/>
          <w:color w:val="auto"/>
          <w:sz w:val="32"/>
          <w:szCs w:val="32"/>
        </w:rPr>
      </w:pPr>
      <w:bookmarkStart w:id="278" w:name="_Toc25914"/>
      <w:bookmarkStart w:id="279" w:name="_Hlk54167917"/>
      <w:bookmarkStart w:id="280" w:name="_Toc22832"/>
      <w:bookmarkStart w:id="281" w:name="_Toc16162"/>
      <w:bookmarkStart w:id="282" w:name="_Toc3392"/>
      <w:bookmarkStart w:id="283" w:name="_Toc24552"/>
      <w:bookmarkStart w:id="284" w:name="_Toc27646"/>
      <w:bookmarkStart w:id="285" w:name="_Toc4856"/>
      <w:bookmarkStart w:id="286" w:name="_Toc18190"/>
      <w:r>
        <w:rPr>
          <w:rFonts w:hint="default" w:ascii="Times New Roman" w:hAnsi="Times New Roman" w:eastAsia="黑体" w:cs="Times New Roman"/>
          <w:snapToGrid w:val="0"/>
          <w:color w:val="auto"/>
          <w:sz w:val="32"/>
          <w:szCs w:val="32"/>
        </w:rPr>
        <w:t>环境保护措施监督检查清单</w:t>
      </w:r>
      <w:bookmarkEnd w:id="278"/>
      <w:bookmarkEnd w:id="279"/>
      <w:bookmarkEnd w:id="280"/>
      <w:bookmarkEnd w:id="281"/>
      <w:bookmarkEnd w:id="282"/>
      <w:bookmarkEnd w:id="283"/>
      <w:bookmarkEnd w:id="284"/>
      <w:bookmarkEnd w:id="285"/>
      <w:bookmarkEnd w:id="286"/>
    </w:p>
    <w:tbl>
      <w:tblPr>
        <w:tblStyle w:val="34"/>
        <w:tblW w:w="502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3"/>
        <w:gridCol w:w="616"/>
        <w:gridCol w:w="1480"/>
        <w:gridCol w:w="1535"/>
        <w:gridCol w:w="4815"/>
        <w:gridCol w:w="4931"/>
      </w:tblGrid>
      <w:tr w14:paraId="55D552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2" w:type="pct"/>
            <w:tcBorders>
              <w:tl2br w:val="single" w:color="auto" w:sz="4" w:space="0"/>
            </w:tcBorders>
          </w:tcPr>
          <w:p w14:paraId="0D7FC43A">
            <w:pPr>
              <w:wordWrap w:val="0"/>
              <w:topLinePunct/>
              <w:adjustRightInd w:val="0"/>
              <w:snapToGrid w:val="0"/>
              <w:ind w:firstLine="210" w:firstLineChars="100"/>
              <w:rPr>
                <w:rFonts w:hint="default" w:ascii="Times New Roman" w:hAnsi="Times New Roman" w:cs="Times New Roman"/>
                <w:color w:val="auto"/>
                <w:szCs w:val="21"/>
              </w:rPr>
            </w:pPr>
            <w:r>
              <w:rPr>
                <w:rFonts w:hint="default" w:ascii="Times New Roman" w:hAnsi="Times New Roman" w:cs="Times New Roman"/>
                <w:color w:val="auto"/>
                <w:szCs w:val="21"/>
              </w:rPr>
              <w:t>内容</w:t>
            </w:r>
          </w:p>
          <w:p w14:paraId="5E269ED8">
            <w:pPr>
              <w:wordWrap w:val="0"/>
              <w:topLinePunct/>
              <w:adjustRightInd w:val="0"/>
              <w:snapToGrid w:val="0"/>
              <w:rPr>
                <w:rFonts w:hint="default" w:ascii="Times New Roman" w:hAnsi="Times New Roman" w:cs="Times New Roman"/>
                <w:color w:val="auto"/>
                <w:szCs w:val="21"/>
              </w:rPr>
            </w:pPr>
          </w:p>
          <w:p w14:paraId="4075B69C">
            <w:pPr>
              <w:wordWrap w:val="0"/>
              <w:topLinePunct/>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要素</w:t>
            </w:r>
          </w:p>
        </w:tc>
        <w:tc>
          <w:tcPr>
            <w:tcW w:w="732" w:type="pct"/>
            <w:gridSpan w:val="2"/>
            <w:vAlign w:val="center"/>
          </w:tcPr>
          <w:p w14:paraId="72C0BDF4">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排放口（编号、名称）/污染源</w:t>
            </w:r>
          </w:p>
        </w:tc>
        <w:tc>
          <w:tcPr>
            <w:tcW w:w="536" w:type="pct"/>
            <w:vAlign w:val="center"/>
          </w:tcPr>
          <w:p w14:paraId="55FD8801">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污染物</w:t>
            </w:r>
          </w:p>
          <w:p w14:paraId="6A9B82E7">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项目</w:t>
            </w:r>
          </w:p>
        </w:tc>
        <w:tc>
          <w:tcPr>
            <w:tcW w:w="1683" w:type="pct"/>
            <w:vAlign w:val="center"/>
          </w:tcPr>
          <w:p w14:paraId="0F1917AE">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环境保护措施</w:t>
            </w:r>
          </w:p>
        </w:tc>
        <w:tc>
          <w:tcPr>
            <w:tcW w:w="1724" w:type="pct"/>
            <w:vAlign w:val="center"/>
          </w:tcPr>
          <w:p w14:paraId="59891F64">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执行标准</w:t>
            </w:r>
          </w:p>
        </w:tc>
      </w:tr>
      <w:tr w14:paraId="03DC8B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4" w:hRule="atLeast"/>
          <w:jc w:val="center"/>
        </w:trPr>
        <w:tc>
          <w:tcPr>
            <w:tcW w:w="322" w:type="pct"/>
            <w:vMerge w:val="restart"/>
            <w:vAlign w:val="center"/>
          </w:tcPr>
          <w:p w14:paraId="5AFDB050">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大气环境</w:t>
            </w:r>
          </w:p>
        </w:tc>
        <w:tc>
          <w:tcPr>
            <w:tcW w:w="732" w:type="pct"/>
            <w:gridSpan w:val="2"/>
            <w:vAlign w:val="center"/>
          </w:tcPr>
          <w:p w14:paraId="13140166">
            <w:pPr>
              <w:wordWrap w:val="0"/>
              <w:topLinePunct/>
              <w:adjustRightInd w:val="0"/>
              <w:snapToGrid w:val="0"/>
              <w:jc w:val="both"/>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DA006</w:t>
            </w:r>
          </w:p>
          <w:p w14:paraId="3CA989B2">
            <w:pPr>
              <w:wordWrap w:val="0"/>
              <w:topLinePunct/>
              <w:adjustRightInd w:val="0"/>
              <w:snapToGrid w:val="0"/>
              <w:jc w:val="both"/>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1#车间剥壳除锈、打磨工序</w:t>
            </w:r>
          </w:p>
        </w:tc>
        <w:tc>
          <w:tcPr>
            <w:tcW w:w="536" w:type="pct"/>
            <w:vAlign w:val="center"/>
          </w:tcPr>
          <w:p w14:paraId="43A51982">
            <w:pPr>
              <w:wordWrap w:val="0"/>
              <w:topLinePunct/>
              <w:adjustRightInd w:val="0"/>
              <w:snapToGrid w:val="0"/>
              <w:jc w:val="center"/>
              <w:rPr>
                <w:rFonts w:hint="default" w:ascii="Times New Roman" w:hAnsi="Times New Roman" w:cs="Times New Roman"/>
                <w:color w:val="auto"/>
                <w:szCs w:val="21"/>
              </w:rPr>
            </w:pPr>
            <w:bookmarkStart w:id="287" w:name="OLE_LINK5"/>
            <w:r>
              <w:rPr>
                <w:rFonts w:hint="default" w:ascii="Times New Roman" w:hAnsi="Times New Roman" w:cs="Times New Roman"/>
                <w:color w:val="auto"/>
                <w:szCs w:val="21"/>
              </w:rPr>
              <w:t>颗粒物</w:t>
            </w:r>
            <w:bookmarkEnd w:id="287"/>
          </w:p>
        </w:tc>
        <w:tc>
          <w:tcPr>
            <w:tcW w:w="1683" w:type="pct"/>
            <w:vAlign w:val="center"/>
          </w:tcPr>
          <w:p w14:paraId="2344BD7F">
            <w:pPr>
              <w:pStyle w:val="64"/>
              <w:widowControl w:val="0"/>
              <w:wordWrap w:val="0"/>
              <w:topLinePunct/>
              <w:adjustRightInd w:val="0"/>
              <w:snapToGrid w:val="0"/>
              <w:jc w:val="both"/>
              <w:rPr>
                <w:rFonts w:hint="default" w:ascii="Times New Roman" w:hAnsi="Times New Roman" w:eastAsia="宋体" w:cs="Times New Roman"/>
                <w:color w:val="auto"/>
                <w:szCs w:val="21"/>
              </w:rPr>
            </w:pPr>
            <w:bookmarkStart w:id="288" w:name="OLE_LINK4"/>
            <w:r>
              <w:rPr>
                <w:rFonts w:hint="default" w:ascii="Times New Roman" w:hAnsi="Times New Roman" w:eastAsia="宋体" w:cs="Times New Roman"/>
                <w:color w:val="auto"/>
                <w:szCs w:val="21"/>
                <w:lang w:val="en-US" w:eastAsia="zh-CN" w:bidi="ar"/>
              </w:rPr>
              <w:t>滤筒</w:t>
            </w:r>
            <w:r>
              <w:rPr>
                <w:rFonts w:hint="default" w:ascii="Times New Roman" w:hAnsi="Times New Roman" w:eastAsia="宋体" w:cs="Times New Roman"/>
                <w:color w:val="auto"/>
                <w:szCs w:val="21"/>
                <w:lang w:bidi="ar"/>
              </w:rPr>
              <w:t>除尘器</w:t>
            </w:r>
            <w:r>
              <w:rPr>
                <w:rFonts w:hint="default" w:ascii="Times New Roman" w:hAnsi="Times New Roman" w:eastAsia="宋体" w:cs="Times New Roman"/>
                <w:color w:val="auto"/>
                <w:szCs w:val="21"/>
              </w:rPr>
              <w:t>，尾气通过一根H18m排气筒排放</w:t>
            </w:r>
            <w:bookmarkEnd w:id="288"/>
          </w:p>
        </w:tc>
        <w:tc>
          <w:tcPr>
            <w:tcW w:w="1724" w:type="pct"/>
            <w:vAlign w:val="center"/>
          </w:tcPr>
          <w:p w14:paraId="21ADD06A">
            <w:pPr>
              <w:wordWrap w:val="0"/>
              <w:topLinePunct/>
              <w:adjustRightInd w:val="0"/>
              <w:spacing w:line="320" w:lineRule="exact"/>
              <w:jc w:val="both"/>
              <w:rPr>
                <w:rFonts w:hint="default" w:ascii="Times New Roman" w:hAnsi="Times New Roman" w:cs="Times New Roman"/>
                <w:color w:val="auto"/>
                <w:kern w:val="0"/>
                <w:szCs w:val="21"/>
              </w:rPr>
            </w:pPr>
            <w:r>
              <w:rPr>
                <w:rFonts w:hint="default" w:ascii="Times New Roman" w:hAnsi="Times New Roman" w:cs="Times New Roman"/>
                <w:color w:val="auto"/>
                <w:szCs w:val="21"/>
              </w:rPr>
              <w:t>颗粒物</w:t>
            </w:r>
            <w:r>
              <w:rPr>
                <w:rFonts w:hint="default" w:ascii="Times New Roman" w:hAnsi="Times New Roman" w:cs="Times New Roman"/>
                <w:color w:val="auto"/>
                <w:kern w:val="0"/>
                <w:szCs w:val="21"/>
              </w:rPr>
              <w:t>执行《大气污染物综合排放标准》（GB16297-1996）表2标准（颗粒物≤120mg/m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szCs w:val="21"/>
              </w:rPr>
              <w:t>，4.94kg/h</w:t>
            </w:r>
            <w:r>
              <w:rPr>
                <w:rFonts w:hint="default" w:ascii="Times New Roman" w:hAnsi="Times New Roman" w:cs="Times New Roman"/>
                <w:color w:val="auto"/>
                <w:kern w:val="0"/>
                <w:szCs w:val="21"/>
              </w:rPr>
              <w:t>）</w:t>
            </w:r>
          </w:p>
        </w:tc>
      </w:tr>
      <w:tr w14:paraId="6574AA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8" w:hRule="atLeast"/>
          <w:jc w:val="center"/>
        </w:trPr>
        <w:tc>
          <w:tcPr>
            <w:tcW w:w="322" w:type="pct"/>
            <w:vMerge w:val="continue"/>
            <w:vAlign w:val="center"/>
          </w:tcPr>
          <w:p w14:paraId="7667171D">
            <w:pPr>
              <w:wordWrap w:val="0"/>
              <w:topLinePunct/>
              <w:adjustRightInd w:val="0"/>
              <w:snapToGrid w:val="0"/>
              <w:jc w:val="center"/>
              <w:rPr>
                <w:rFonts w:hint="default" w:ascii="Times New Roman" w:hAnsi="Times New Roman" w:cs="Times New Roman"/>
                <w:color w:val="auto"/>
                <w:szCs w:val="21"/>
              </w:rPr>
            </w:pPr>
          </w:p>
        </w:tc>
        <w:tc>
          <w:tcPr>
            <w:tcW w:w="732" w:type="pct"/>
            <w:gridSpan w:val="2"/>
            <w:vAlign w:val="center"/>
          </w:tcPr>
          <w:p w14:paraId="3B9A186E">
            <w:pPr>
              <w:wordWrap w:val="0"/>
              <w:topLinePunct/>
              <w:adjustRightInd w:val="0"/>
              <w:snapToGrid w:val="0"/>
              <w:jc w:val="both"/>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DA007</w:t>
            </w:r>
          </w:p>
          <w:p w14:paraId="6183BE51">
            <w:pPr>
              <w:wordWrap w:val="0"/>
              <w:topLinePunct/>
              <w:adjustRightInd w:val="0"/>
              <w:snapToGrid w:val="0"/>
              <w:jc w:val="both"/>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4#车间剥壳除锈、打磨工序</w:t>
            </w:r>
          </w:p>
        </w:tc>
        <w:tc>
          <w:tcPr>
            <w:tcW w:w="536" w:type="pct"/>
            <w:vAlign w:val="center"/>
          </w:tcPr>
          <w:p w14:paraId="3608D244">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颗粒物</w:t>
            </w:r>
          </w:p>
        </w:tc>
        <w:tc>
          <w:tcPr>
            <w:tcW w:w="1683" w:type="pct"/>
            <w:vAlign w:val="center"/>
          </w:tcPr>
          <w:p w14:paraId="6B0957B6">
            <w:pPr>
              <w:pStyle w:val="64"/>
              <w:widowControl w:val="0"/>
              <w:wordWrap w:val="0"/>
              <w:topLinePunct/>
              <w:adjustRightInd w:val="0"/>
              <w:snapToGrid w:val="0"/>
              <w:jc w:val="both"/>
              <w:rPr>
                <w:rFonts w:hint="default" w:ascii="Times New Roman" w:hAnsi="Times New Roman" w:eastAsia="宋体" w:cs="Times New Roman"/>
                <w:color w:val="auto"/>
                <w:szCs w:val="21"/>
                <w:lang w:bidi="ar"/>
              </w:rPr>
            </w:pPr>
            <w:r>
              <w:rPr>
                <w:rFonts w:hint="default" w:ascii="Times New Roman" w:hAnsi="Times New Roman" w:eastAsia="宋体" w:cs="Times New Roman"/>
                <w:color w:val="auto"/>
                <w:szCs w:val="21"/>
                <w:lang w:val="en-US" w:eastAsia="zh-CN" w:bidi="ar"/>
              </w:rPr>
              <w:t>滤筒</w:t>
            </w:r>
            <w:r>
              <w:rPr>
                <w:rFonts w:hint="default" w:ascii="Times New Roman" w:hAnsi="Times New Roman" w:eastAsia="宋体" w:cs="Times New Roman"/>
                <w:color w:val="auto"/>
                <w:szCs w:val="21"/>
                <w:lang w:bidi="ar"/>
              </w:rPr>
              <w:t>除尘器</w:t>
            </w:r>
            <w:r>
              <w:rPr>
                <w:rFonts w:hint="default" w:ascii="Times New Roman" w:hAnsi="Times New Roman" w:eastAsia="宋体" w:cs="Times New Roman"/>
                <w:color w:val="auto"/>
                <w:szCs w:val="21"/>
              </w:rPr>
              <w:t>，尾气通过一根H18m排气筒排放</w:t>
            </w:r>
          </w:p>
        </w:tc>
        <w:tc>
          <w:tcPr>
            <w:tcW w:w="1724" w:type="pct"/>
            <w:vAlign w:val="center"/>
          </w:tcPr>
          <w:p w14:paraId="20EF469F">
            <w:pPr>
              <w:wordWrap w:val="0"/>
              <w:topLinePunct/>
              <w:adjustRightInd w:val="0"/>
              <w:spacing w:line="320" w:lineRule="exact"/>
              <w:jc w:val="both"/>
              <w:rPr>
                <w:rFonts w:hint="default" w:ascii="Times New Roman" w:hAnsi="Times New Roman" w:cs="Times New Roman"/>
                <w:color w:val="auto"/>
                <w:szCs w:val="21"/>
              </w:rPr>
            </w:pPr>
            <w:r>
              <w:rPr>
                <w:rFonts w:hint="default" w:ascii="Times New Roman" w:hAnsi="Times New Roman" w:cs="Times New Roman"/>
                <w:color w:val="auto"/>
                <w:szCs w:val="21"/>
              </w:rPr>
              <w:t>颗粒物</w:t>
            </w:r>
            <w:r>
              <w:rPr>
                <w:rFonts w:hint="default" w:ascii="Times New Roman" w:hAnsi="Times New Roman" w:cs="Times New Roman"/>
                <w:color w:val="auto"/>
                <w:kern w:val="0"/>
                <w:szCs w:val="21"/>
              </w:rPr>
              <w:t>执行《大气污染物综合排放标准》（GB16297-1996）表2标准（颗粒物≤120mg/m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szCs w:val="21"/>
              </w:rPr>
              <w:t>，4.94kg/h</w:t>
            </w:r>
            <w:r>
              <w:rPr>
                <w:rFonts w:hint="default" w:ascii="Times New Roman" w:hAnsi="Times New Roman" w:cs="Times New Roman"/>
                <w:color w:val="auto"/>
                <w:kern w:val="0"/>
                <w:szCs w:val="21"/>
              </w:rPr>
              <w:t>）</w:t>
            </w:r>
          </w:p>
        </w:tc>
      </w:tr>
      <w:tr w14:paraId="7C5B35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322" w:type="pct"/>
            <w:vMerge w:val="continue"/>
            <w:vAlign w:val="center"/>
          </w:tcPr>
          <w:p w14:paraId="43B57608">
            <w:pPr>
              <w:wordWrap w:val="0"/>
              <w:topLinePunct/>
              <w:adjustRightInd w:val="0"/>
              <w:snapToGrid w:val="0"/>
              <w:jc w:val="center"/>
              <w:rPr>
                <w:rFonts w:hint="default" w:ascii="Times New Roman" w:hAnsi="Times New Roman" w:cs="Times New Roman"/>
                <w:color w:val="auto"/>
                <w:szCs w:val="21"/>
              </w:rPr>
            </w:pPr>
          </w:p>
        </w:tc>
        <w:tc>
          <w:tcPr>
            <w:tcW w:w="215" w:type="pct"/>
            <w:vMerge w:val="restart"/>
            <w:vAlign w:val="center"/>
          </w:tcPr>
          <w:p w14:paraId="17BF6D83">
            <w:pPr>
              <w:wordWrap w:val="0"/>
              <w:topLinePunct/>
              <w:adjustRightInd w:val="0"/>
              <w:snapToGrid w:val="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DA008</w:t>
            </w:r>
          </w:p>
          <w:p w14:paraId="3A718AFD">
            <w:pPr>
              <w:wordWrap w:val="0"/>
              <w:topLinePunct/>
              <w:adjustRightInd w:val="0"/>
              <w:snapToGrid w:val="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表面处理废气</w:t>
            </w:r>
          </w:p>
        </w:tc>
        <w:tc>
          <w:tcPr>
            <w:tcW w:w="517" w:type="pct"/>
            <w:vAlign w:val="center"/>
          </w:tcPr>
          <w:p w14:paraId="5F6C0C89">
            <w:pPr>
              <w:wordWrap w:val="0"/>
              <w:topLinePunct/>
              <w:adjustRightInd w:val="0"/>
              <w:snapToGrid w:val="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酸洗槽废气</w:t>
            </w:r>
          </w:p>
        </w:tc>
        <w:tc>
          <w:tcPr>
            <w:tcW w:w="536" w:type="pct"/>
            <w:vMerge w:val="restart"/>
            <w:vAlign w:val="center"/>
          </w:tcPr>
          <w:p w14:paraId="2CC288DA">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酸雾</w:t>
            </w:r>
          </w:p>
          <w:p w14:paraId="494C8F43">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（HCl）</w:t>
            </w:r>
          </w:p>
        </w:tc>
        <w:tc>
          <w:tcPr>
            <w:tcW w:w="1683" w:type="pct"/>
            <w:vAlign w:val="center"/>
          </w:tcPr>
          <w:p w14:paraId="2575519A">
            <w:pPr>
              <w:pStyle w:val="64"/>
              <w:widowControl w:val="0"/>
              <w:wordWrap w:val="0"/>
              <w:topLinePunct/>
              <w:adjustRightInd w:val="0"/>
              <w:snapToGrid w:val="0"/>
              <w:jc w:val="both"/>
              <w:rPr>
                <w:rFonts w:hint="default" w:ascii="Times New Roman" w:hAnsi="Times New Roman" w:eastAsia="宋体" w:cs="Times New Roman"/>
                <w:color w:val="auto"/>
                <w:szCs w:val="21"/>
                <w:lang w:bidi="ar"/>
              </w:rPr>
            </w:pPr>
            <w:r>
              <w:rPr>
                <w:rFonts w:hint="default" w:ascii="Times New Roman" w:hAnsi="Times New Roman" w:eastAsia="宋体" w:cs="Times New Roman"/>
                <w:color w:val="auto"/>
                <w:szCs w:val="21"/>
                <w:lang w:bidi="ar"/>
              </w:rPr>
              <w:t>表面处理生产线为全封闭，各槽上部均安装有密封盖，密封盖连接成整体，形成隧道，密封盖上部中间留有吊钩行走道，配置耐酸橡胶皮，防止酸雾外逸，酸洗过程中产生的酸雾经引风机引入碱液喷淋吸收塔（1用1备）处理后，经18m排气筒排放</w:t>
            </w:r>
          </w:p>
        </w:tc>
        <w:tc>
          <w:tcPr>
            <w:tcW w:w="1724" w:type="pct"/>
            <w:vMerge w:val="restart"/>
            <w:vAlign w:val="center"/>
          </w:tcPr>
          <w:p w14:paraId="598C3FD9">
            <w:pPr>
              <w:wordWrap w:val="0"/>
              <w:topLinePunct/>
              <w:adjustRightInd w:val="0"/>
              <w:snapToGrid w:val="0"/>
              <w:jc w:val="both"/>
              <w:rPr>
                <w:rFonts w:hint="default" w:ascii="Times New Roman" w:hAnsi="Times New Roman" w:cs="Times New Roman"/>
                <w:color w:val="auto"/>
                <w:szCs w:val="21"/>
              </w:rPr>
            </w:pPr>
            <w:r>
              <w:rPr>
                <w:rFonts w:hint="default" w:ascii="Times New Roman" w:hAnsi="Times New Roman" w:cs="Times New Roman"/>
                <w:color w:val="auto"/>
                <w:szCs w:val="21"/>
              </w:rPr>
              <w:t>酸雾（HCl）</w:t>
            </w:r>
            <w:r>
              <w:rPr>
                <w:rFonts w:hint="default" w:ascii="Times New Roman" w:hAnsi="Times New Roman" w:cs="Times New Roman"/>
                <w:color w:val="auto"/>
                <w:kern w:val="0"/>
                <w:szCs w:val="21"/>
              </w:rPr>
              <w:t>参照《电镀污染物排放标准》 （GB21900-2008）表5标准（</w:t>
            </w:r>
            <w:r>
              <w:rPr>
                <w:rFonts w:hint="default" w:ascii="Times New Roman" w:hAnsi="Times New Roman" w:cs="Times New Roman"/>
                <w:color w:val="auto"/>
                <w:szCs w:val="21"/>
              </w:rPr>
              <w:t>HCl</w:t>
            </w:r>
            <w:r>
              <w:rPr>
                <w:rFonts w:hint="default" w:ascii="Times New Roman" w:hAnsi="Times New Roman" w:cs="Times New Roman"/>
                <w:color w:val="auto"/>
                <w:kern w:val="0"/>
                <w:szCs w:val="21"/>
              </w:rPr>
              <w:t>≤30mg/m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kern w:val="0"/>
                <w:szCs w:val="21"/>
              </w:rPr>
              <w:t>）</w:t>
            </w:r>
          </w:p>
        </w:tc>
      </w:tr>
      <w:tr w14:paraId="7799DB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01" w:hRule="atLeast"/>
          <w:jc w:val="center"/>
        </w:trPr>
        <w:tc>
          <w:tcPr>
            <w:tcW w:w="322" w:type="pct"/>
            <w:vMerge w:val="continue"/>
            <w:vAlign w:val="center"/>
          </w:tcPr>
          <w:p w14:paraId="5722D087">
            <w:pPr>
              <w:wordWrap w:val="0"/>
              <w:topLinePunct/>
              <w:adjustRightInd w:val="0"/>
              <w:snapToGrid w:val="0"/>
              <w:jc w:val="center"/>
              <w:rPr>
                <w:rFonts w:hint="default" w:ascii="Times New Roman" w:hAnsi="Times New Roman" w:cs="Times New Roman"/>
                <w:color w:val="auto"/>
                <w:szCs w:val="21"/>
              </w:rPr>
            </w:pPr>
          </w:p>
        </w:tc>
        <w:tc>
          <w:tcPr>
            <w:tcW w:w="215" w:type="pct"/>
            <w:vMerge w:val="continue"/>
            <w:vAlign w:val="center"/>
          </w:tcPr>
          <w:p w14:paraId="557E08AF">
            <w:pPr>
              <w:wordWrap w:val="0"/>
              <w:topLinePunct/>
              <w:adjustRightInd w:val="0"/>
              <w:snapToGrid w:val="0"/>
              <w:jc w:val="center"/>
              <w:rPr>
                <w:rFonts w:hint="default" w:ascii="Times New Roman" w:hAnsi="Times New Roman" w:cs="Times New Roman"/>
                <w:color w:val="auto"/>
                <w:kern w:val="0"/>
                <w:szCs w:val="21"/>
                <w:lang w:bidi="ar"/>
              </w:rPr>
            </w:pPr>
          </w:p>
        </w:tc>
        <w:tc>
          <w:tcPr>
            <w:tcW w:w="517" w:type="pct"/>
            <w:vAlign w:val="center"/>
          </w:tcPr>
          <w:p w14:paraId="0744C1B0">
            <w:pPr>
              <w:wordWrap w:val="0"/>
              <w:topLinePunct/>
              <w:adjustRightInd w:val="0"/>
              <w:snapToGrid w:val="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盐酸储罐废气、低位回用酸罐废气、低位废酸罐废气</w:t>
            </w:r>
          </w:p>
        </w:tc>
        <w:tc>
          <w:tcPr>
            <w:tcW w:w="536" w:type="pct"/>
            <w:vMerge w:val="continue"/>
            <w:vAlign w:val="center"/>
          </w:tcPr>
          <w:p w14:paraId="3E2EAD00">
            <w:pPr>
              <w:wordWrap w:val="0"/>
              <w:topLinePunct/>
              <w:adjustRightInd w:val="0"/>
              <w:snapToGrid w:val="0"/>
              <w:jc w:val="center"/>
              <w:rPr>
                <w:rFonts w:hint="default" w:ascii="Times New Roman" w:hAnsi="Times New Roman" w:cs="Times New Roman"/>
                <w:color w:val="auto"/>
                <w:szCs w:val="21"/>
              </w:rPr>
            </w:pPr>
          </w:p>
        </w:tc>
        <w:tc>
          <w:tcPr>
            <w:tcW w:w="1683" w:type="pct"/>
            <w:vAlign w:val="center"/>
          </w:tcPr>
          <w:p w14:paraId="7EB96FAF">
            <w:pPr>
              <w:pStyle w:val="64"/>
              <w:widowControl w:val="0"/>
              <w:wordWrap w:val="0"/>
              <w:topLinePunct/>
              <w:adjustRightInd w:val="0"/>
              <w:snapToGrid w:val="0"/>
              <w:jc w:val="both"/>
              <w:rPr>
                <w:rFonts w:hint="default" w:ascii="Times New Roman" w:hAnsi="Times New Roman" w:eastAsia="宋体" w:cs="Times New Roman"/>
                <w:color w:val="auto"/>
                <w:szCs w:val="21"/>
                <w:lang w:bidi="ar"/>
              </w:rPr>
            </w:pPr>
            <w:r>
              <w:rPr>
                <w:rFonts w:hint="default" w:ascii="Times New Roman" w:hAnsi="Times New Roman" w:eastAsia="宋体" w:cs="Times New Roman"/>
                <w:color w:val="auto"/>
                <w:szCs w:val="21"/>
                <w:lang w:bidi="ar"/>
              </w:rPr>
              <w:t>盐酸储罐呼吸废气、低位回用酸罐（池）废气、低位废酸罐（池）废气，经管道引入碱液喷淋吸收塔处理后，经18m排气筒排放（与酸洗槽废气共用1套）</w:t>
            </w:r>
          </w:p>
        </w:tc>
        <w:tc>
          <w:tcPr>
            <w:tcW w:w="1724" w:type="pct"/>
            <w:vMerge w:val="continue"/>
            <w:vAlign w:val="center"/>
          </w:tcPr>
          <w:p w14:paraId="263E8ED3">
            <w:pPr>
              <w:wordWrap w:val="0"/>
              <w:topLinePunct/>
              <w:adjustRightInd w:val="0"/>
              <w:spacing w:line="320" w:lineRule="exact"/>
              <w:jc w:val="both"/>
              <w:rPr>
                <w:rFonts w:hint="default" w:ascii="Times New Roman" w:hAnsi="Times New Roman" w:cs="Times New Roman"/>
                <w:color w:val="auto"/>
                <w:szCs w:val="21"/>
              </w:rPr>
            </w:pPr>
          </w:p>
        </w:tc>
      </w:tr>
      <w:tr w14:paraId="6E1F56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0" w:hRule="atLeast"/>
          <w:jc w:val="center"/>
        </w:trPr>
        <w:tc>
          <w:tcPr>
            <w:tcW w:w="322" w:type="pct"/>
            <w:vMerge w:val="continue"/>
            <w:vAlign w:val="center"/>
          </w:tcPr>
          <w:p w14:paraId="0A6B832F">
            <w:pPr>
              <w:wordWrap w:val="0"/>
              <w:topLinePunct/>
              <w:adjustRightInd w:val="0"/>
              <w:snapToGrid w:val="0"/>
              <w:jc w:val="center"/>
              <w:rPr>
                <w:rFonts w:hint="default" w:ascii="Times New Roman" w:hAnsi="Times New Roman" w:cs="Times New Roman"/>
                <w:color w:val="auto"/>
                <w:szCs w:val="21"/>
              </w:rPr>
            </w:pPr>
          </w:p>
        </w:tc>
        <w:tc>
          <w:tcPr>
            <w:tcW w:w="732" w:type="pct"/>
            <w:gridSpan w:val="2"/>
            <w:vAlign w:val="center"/>
          </w:tcPr>
          <w:p w14:paraId="44BDA1E2">
            <w:pPr>
              <w:wordWrap w:val="0"/>
              <w:topLinePunct/>
              <w:adjustRightInd w:val="0"/>
              <w:snapToGrid w:val="0"/>
              <w:jc w:val="both"/>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DA009</w:t>
            </w:r>
          </w:p>
          <w:p w14:paraId="24A36A4A">
            <w:pPr>
              <w:wordWrap w:val="0"/>
              <w:topLinePunct/>
              <w:adjustRightInd w:val="0"/>
              <w:snapToGrid w:val="0"/>
              <w:jc w:val="both"/>
              <w:rPr>
                <w:rFonts w:hint="default" w:ascii="Times New Roman" w:hAnsi="Times New Roman" w:cs="Times New Roman"/>
                <w:color w:val="auto"/>
              </w:rPr>
            </w:pPr>
            <w:r>
              <w:rPr>
                <w:rFonts w:hint="default" w:ascii="Times New Roman" w:hAnsi="Times New Roman" w:cs="Times New Roman"/>
                <w:color w:val="auto"/>
                <w:kern w:val="0"/>
                <w:szCs w:val="21"/>
                <w:lang w:bidi="ar"/>
              </w:rPr>
              <w:t>天然气燃烧废气</w:t>
            </w:r>
          </w:p>
        </w:tc>
        <w:tc>
          <w:tcPr>
            <w:tcW w:w="536" w:type="pct"/>
            <w:vAlign w:val="center"/>
          </w:tcPr>
          <w:p w14:paraId="0EAABED6">
            <w:pPr>
              <w:wordWrap w:val="0"/>
              <w:topLinePunct/>
              <w:adjustRightInd w:val="0"/>
              <w:snapToGrid w:val="0"/>
              <w:jc w:val="both"/>
              <w:rPr>
                <w:rFonts w:hint="default" w:ascii="Times New Roman" w:hAnsi="Times New Roman" w:cs="Times New Roman"/>
                <w:color w:val="auto"/>
                <w:szCs w:val="21"/>
              </w:rPr>
            </w:pPr>
            <w:r>
              <w:rPr>
                <w:rFonts w:hint="default" w:ascii="Times New Roman" w:hAnsi="Times New Roman" w:cs="Times New Roman"/>
                <w:color w:val="auto"/>
                <w:szCs w:val="21"/>
              </w:rPr>
              <w:t>颗粒物、二氧化硫、氮氧化物</w:t>
            </w:r>
          </w:p>
        </w:tc>
        <w:tc>
          <w:tcPr>
            <w:tcW w:w="1683" w:type="pct"/>
            <w:vAlign w:val="center"/>
          </w:tcPr>
          <w:p w14:paraId="06B2AFE8">
            <w:pPr>
              <w:pStyle w:val="64"/>
              <w:widowControl w:val="0"/>
              <w:wordWrap w:val="0"/>
              <w:topLinePunct/>
              <w:adjustRightInd w:val="0"/>
              <w:snapToGrid w:val="0"/>
              <w:jc w:val="both"/>
              <w:rPr>
                <w:rFonts w:hint="eastAsia" w:ascii="Times New Roman" w:hAnsi="Times New Roman" w:eastAsia="宋体" w:cs="Times New Roman"/>
                <w:color w:val="auto"/>
                <w:szCs w:val="21"/>
                <w:lang w:eastAsia="zh-CN" w:bidi="ar"/>
              </w:rPr>
            </w:pPr>
            <w:r>
              <w:rPr>
                <w:rFonts w:hint="default" w:ascii="Times New Roman" w:hAnsi="Times New Roman" w:eastAsia="宋体" w:cs="Times New Roman"/>
                <w:color w:val="auto"/>
                <w:szCs w:val="21"/>
                <w:lang w:bidi="ar"/>
              </w:rPr>
              <w:t>蒸汽发生器以天然气为燃料，产生的燃烧废气通过18m排气筒排放</w:t>
            </w:r>
            <w:r>
              <w:rPr>
                <w:rFonts w:hint="eastAsia" w:eastAsia="宋体" w:cs="Times New Roman"/>
                <w:color w:val="auto"/>
                <w:szCs w:val="21"/>
                <w:lang w:eastAsia="zh-CN" w:bidi="ar"/>
              </w:rPr>
              <w:t>。</w:t>
            </w:r>
          </w:p>
        </w:tc>
        <w:tc>
          <w:tcPr>
            <w:tcW w:w="1724" w:type="pct"/>
            <w:vAlign w:val="center"/>
          </w:tcPr>
          <w:p w14:paraId="12292D08">
            <w:pPr>
              <w:wordWrap w:val="0"/>
              <w:topLinePunct/>
              <w:adjustRightInd w:val="0"/>
              <w:spacing w:line="320" w:lineRule="exact"/>
              <w:jc w:val="both"/>
              <w:rPr>
                <w:rFonts w:hint="default" w:ascii="Times New Roman" w:hAnsi="Times New Roman" w:cs="Times New Roman"/>
                <w:color w:val="auto"/>
                <w:szCs w:val="21"/>
              </w:rPr>
            </w:pPr>
            <w:r>
              <w:rPr>
                <w:rFonts w:hint="default" w:ascii="Times New Roman" w:hAnsi="Times New Roman" w:cs="Times New Roman"/>
                <w:color w:val="auto"/>
                <w:kern w:val="0"/>
                <w:szCs w:val="21"/>
              </w:rPr>
              <w:t>执行</w:t>
            </w:r>
            <w:r>
              <w:rPr>
                <w:rFonts w:hint="default" w:ascii="Times New Roman" w:hAnsi="Times New Roman" w:cs="Times New Roman"/>
                <w:color w:val="auto"/>
                <w:szCs w:val="21"/>
              </w:rPr>
              <w:t>《锅炉大气污染物排放标准》(GB13271-2014)表2</w:t>
            </w:r>
            <w:r>
              <w:rPr>
                <w:rFonts w:hint="default" w:ascii="Times New Roman" w:hAnsi="Times New Roman" w:cs="Times New Roman"/>
                <w:color w:val="auto"/>
                <w:kern w:val="0"/>
                <w:szCs w:val="21"/>
              </w:rPr>
              <w:t>标准（颗粒物≤20mg/m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szCs w:val="21"/>
              </w:rPr>
              <w:t>，二氧化硫</w:t>
            </w:r>
            <w:r>
              <w:rPr>
                <w:rFonts w:hint="default" w:ascii="Times New Roman" w:hAnsi="Times New Roman" w:cs="Times New Roman"/>
                <w:color w:val="auto"/>
                <w:kern w:val="0"/>
                <w:szCs w:val="21"/>
              </w:rPr>
              <w:t>≤50mg/m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szCs w:val="21"/>
              </w:rPr>
              <w:t>，氮氧化物</w:t>
            </w:r>
            <w:r>
              <w:rPr>
                <w:rFonts w:hint="default" w:ascii="Times New Roman" w:hAnsi="Times New Roman" w:cs="Times New Roman"/>
                <w:color w:val="auto"/>
                <w:kern w:val="0"/>
                <w:szCs w:val="21"/>
              </w:rPr>
              <w:t>≤200mg/m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kern w:val="0"/>
                <w:szCs w:val="21"/>
              </w:rPr>
              <w:t>）</w:t>
            </w:r>
          </w:p>
        </w:tc>
      </w:tr>
      <w:tr w14:paraId="6CEB5C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8" w:hRule="atLeast"/>
          <w:jc w:val="center"/>
        </w:trPr>
        <w:tc>
          <w:tcPr>
            <w:tcW w:w="322" w:type="pct"/>
            <w:vMerge w:val="continue"/>
            <w:vAlign w:val="center"/>
          </w:tcPr>
          <w:p w14:paraId="07B49987">
            <w:pPr>
              <w:wordWrap w:val="0"/>
              <w:topLinePunct/>
              <w:adjustRightInd w:val="0"/>
              <w:snapToGrid w:val="0"/>
              <w:jc w:val="center"/>
              <w:rPr>
                <w:rFonts w:hint="default" w:ascii="Times New Roman" w:hAnsi="Times New Roman" w:cs="Times New Roman"/>
                <w:color w:val="auto"/>
                <w:szCs w:val="21"/>
              </w:rPr>
            </w:pPr>
          </w:p>
        </w:tc>
        <w:tc>
          <w:tcPr>
            <w:tcW w:w="732" w:type="pct"/>
            <w:gridSpan w:val="2"/>
            <w:vAlign w:val="center"/>
          </w:tcPr>
          <w:p w14:paraId="7E57C80D">
            <w:pPr>
              <w:wordWrap w:val="0"/>
              <w:topLinePunct/>
              <w:adjustRightInd w:val="0"/>
              <w:snapToGrid w:val="0"/>
              <w:jc w:val="center"/>
              <w:rPr>
                <w:rFonts w:hint="default" w:ascii="Times New Roman" w:hAnsi="Times New Roman" w:cs="Times New Roman"/>
                <w:color w:val="auto"/>
                <w:kern w:val="0"/>
                <w:szCs w:val="21"/>
                <w:lang w:bidi="ar"/>
              </w:rPr>
            </w:pPr>
            <w:r>
              <w:rPr>
                <w:rFonts w:hint="default" w:ascii="Times New Roman" w:hAnsi="Times New Roman" w:cs="Times New Roman"/>
                <w:color w:val="auto"/>
                <w:kern w:val="0"/>
                <w:szCs w:val="21"/>
                <w:lang w:bidi="ar"/>
              </w:rPr>
              <w:t>厂界无组织</w:t>
            </w:r>
          </w:p>
        </w:tc>
        <w:tc>
          <w:tcPr>
            <w:tcW w:w="536" w:type="pct"/>
            <w:vAlign w:val="center"/>
          </w:tcPr>
          <w:p w14:paraId="02BF81CA">
            <w:pPr>
              <w:wordWrap w:val="0"/>
              <w:topLinePunct/>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颗粒物</w:t>
            </w:r>
            <w:r>
              <w:rPr>
                <w:rFonts w:hint="default" w:ascii="Times New Roman" w:hAnsi="Times New Roman" w:cs="Times New Roman"/>
                <w:color w:val="auto"/>
                <w:szCs w:val="21"/>
                <w:lang w:val="en-US" w:eastAsia="zh-CN"/>
              </w:rPr>
              <w:t>、</w:t>
            </w:r>
            <w:r>
              <w:rPr>
                <w:rFonts w:hint="default" w:ascii="Times New Roman" w:hAnsi="Times New Roman" w:cs="Times New Roman"/>
                <w:color w:val="auto"/>
                <w:szCs w:val="21"/>
              </w:rPr>
              <w:t>HC1</w:t>
            </w:r>
          </w:p>
        </w:tc>
        <w:tc>
          <w:tcPr>
            <w:tcW w:w="1683" w:type="pct"/>
            <w:vAlign w:val="center"/>
          </w:tcPr>
          <w:p w14:paraId="6F08649B">
            <w:pPr>
              <w:pStyle w:val="64"/>
              <w:widowControl w:val="0"/>
              <w:wordWrap w:val="0"/>
              <w:topLinePunct/>
              <w:adjustRightInd w:val="0"/>
              <w:snapToGrid w:val="0"/>
              <w:jc w:val="both"/>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①剥壳除锈、打磨工序等产生的粉尘的设备设置在密闭车间，产尘点配备</w:t>
            </w:r>
            <w:r>
              <w:rPr>
                <w:rFonts w:hint="default" w:ascii="Times New Roman" w:hAnsi="Times New Roman" w:eastAsia="宋体" w:cs="Times New Roman"/>
                <w:color w:val="auto"/>
                <w:szCs w:val="21"/>
                <w:lang w:val="en-US" w:eastAsia="zh-CN" w:bidi="ar"/>
              </w:rPr>
              <w:t>滤筒</w:t>
            </w:r>
            <w:r>
              <w:rPr>
                <w:rFonts w:hint="default" w:ascii="Times New Roman" w:hAnsi="Times New Roman" w:eastAsia="宋体" w:cs="Times New Roman"/>
                <w:color w:val="auto"/>
                <w:szCs w:val="21"/>
              </w:rPr>
              <w:t xml:space="preserve">除尘器，减少无组织粉尘排放。 </w:t>
            </w:r>
          </w:p>
          <w:p w14:paraId="219FCB8B">
            <w:pPr>
              <w:pStyle w:val="64"/>
              <w:widowControl w:val="0"/>
              <w:wordWrap w:val="0"/>
              <w:topLinePunct/>
              <w:adjustRightInd w:val="0"/>
              <w:snapToGrid w:val="0"/>
              <w:jc w:val="both"/>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 xml:space="preserve">②表面处理生产线为全封闭负压式，盐酸储罐呼吸废气、低位回用酸罐（池）废气、低位废酸罐（池）废气收集后与酸洗槽废气共用1套治理措施，减少无组织酸雾排放。 </w:t>
            </w:r>
          </w:p>
          <w:p w14:paraId="1DAB1C7D">
            <w:pPr>
              <w:pStyle w:val="64"/>
              <w:widowControl w:val="0"/>
              <w:wordWrap w:val="0"/>
              <w:topLinePunct/>
              <w:adjustRightInd w:val="0"/>
              <w:snapToGrid w:val="0"/>
              <w:jc w:val="both"/>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③定期对厂区道路进行洒水、清洁等措施。</w:t>
            </w:r>
          </w:p>
          <w:p w14:paraId="275BDFA8">
            <w:pPr>
              <w:pStyle w:val="64"/>
              <w:widowControl w:val="0"/>
              <w:wordWrap w:val="0"/>
              <w:topLinePunct/>
              <w:adjustRightInd w:val="0"/>
              <w:snapToGrid w:val="0"/>
              <w:jc w:val="both"/>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④加强设备维护，禁止除尘设备事故运行，降低除尘器漏风率。</w:t>
            </w:r>
          </w:p>
        </w:tc>
        <w:tc>
          <w:tcPr>
            <w:tcW w:w="1724" w:type="pct"/>
            <w:vAlign w:val="center"/>
          </w:tcPr>
          <w:p w14:paraId="376A04E9">
            <w:pPr>
              <w:wordWrap w:val="0"/>
              <w:topLinePunct/>
              <w:adjustRightInd w:val="0"/>
              <w:spacing w:line="320" w:lineRule="exact"/>
              <w:jc w:val="both"/>
              <w:rPr>
                <w:rFonts w:hint="default" w:ascii="Times New Roman" w:hAnsi="Times New Roman" w:cs="Times New Roman"/>
                <w:color w:val="auto"/>
                <w:kern w:val="0"/>
                <w:szCs w:val="21"/>
              </w:rPr>
            </w:pPr>
            <w:r>
              <w:rPr>
                <w:rFonts w:hint="default" w:ascii="Times New Roman" w:hAnsi="Times New Roman" w:cs="Times New Roman"/>
                <w:color w:val="auto"/>
                <w:szCs w:val="21"/>
              </w:rPr>
              <w:t>厂界无组织颗粒物执行《大气污染物综合排放标准》（GB16297-1996）表2无组织排放监控浓度限值（颗粒物</w:t>
            </w:r>
            <w:r>
              <w:rPr>
                <w:rFonts w:hint="default" w:ascii="Times New Roman" w:hAnsi="Times New Roman" w:cs="Times New Roman"/>
                <w:color w:val="auto"/>
                <w:kern w:val="0"/>
                <w:szCs w:val="21"/>
              </w:rPr>
              <w:t>≤</w:t>
            </w:r>
            <w:r>
              <w:rPr>
                <w:rFonts w:hint="default" w:ascii="Times New Roman" w:hAnsi="Times New Roman" w:cs="Times New Roman"/>
                <w:color w:val="auto"/>
                <w:szCs w:val="21"/>
              </w:rPr>
              <w:t>1.0mg/m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，HC1</w:t>
            </w:r>
            <w:r>
              <w:rPr>
                <w:rFonts w:hint="default" w:ascii="Times New Roman" w:hAnsi="Times New Roman" w:cs="Times New Roman"/>
                <w:color w:val="auto"/>
                <w:kern w:val="0"/>
                <w:szCs w:val="21"/>
              </w:rPr>
              <w:t>≤</w:t>
            </w:r>
            <w:r>
              <w:rPr>
                <w:rFonts w:hint="default" w:ascii="Times New Roman" w:hAnsi="Times New Roman" w:cs="Times New Roman"/>
                <w:color w:val="auto"/>
                <w:szCs w:val="21"/>
              </w:rPr>
              <w:t>0.2mg/m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w:t>
            </w:r>
          </w:p>
        </w:tc>
      </w:tr>
      <w:tr w14:paraId="2BB2E1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69" w:hRule="atLeast"/>
          <w:jc w:val="center"/>
        </w:trPr>
        <w:tc>
          <w:tcPr>
            <w:tcW w:w="322" w:type="pct"/>
            <w:vMerge w:val="restart"/>
            <w:vAlign w:val="center"/>
          </w:tcPr>
          <w:p w14:paraId="3B3BCB29">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地表水</w:t>
            </w:r>
          </w:p>
          <w:p w14:paraId="27B63B7F">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环境</w:t>
            </w:r>
          </w:p>
        </w:tc>
        <w:tc>
          <w:tcPr>
            <w:tcW w:w="732" w:type="pct"/>
            <w:gridSpan w:val="2"/>
            <w:vAlign w:val="center"/>
          </w:tcPr>
          <w:p w14:paraId="45BA67EC">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生产废水</w:t>
            </w:r>
          </w:p>
        </w:tc>
        <w:tc>
          <w:tcPr>
            <w:tcW w:w="536" w:type="pct"/>
            <w:vAlign w:val="center"/>
          </w:tcPr>
          <w:p w14:paraId="1BB48FB8">
            <w:pPr>
              <w:wordWrap w:val="0"/>
              <w:topLinePunct/>
              <w:adjustRightInd w:val="0"/>
              <w:snapToGrid w:val="0"/>
              <w:jc w:val="both"/>
              <w:rPr>
                <w:rFonts w:hint="default" w:ascii="Times New Roman" w:hAnsi="Times New Roman" w:cs="Times New Roman"/>
                <w:color w:val="auto"/>
                <w:szCs w:val="21"/>
              </w:rPr>
            </w:pPr>
            <w:r>
              <w:rPr>
                <w:rFonts w:hint="default" w:ascii="Times New Roman" w:hAnsi="Times New Roman" w:cs="Times New Roman" w:eastAsiaTheme="minorEastAsia"/>
                <w:color w:val="auto"/>
                <w:szCs w:val="21"/>
              </w:rPr>
              <w:t>pH、COD、氨氮、SS、铁、锌、</w:t>
            </w:r>
            <w:r>
              <w:rPr>
                <w:rFonts w:hint="default" w:ascii="Times New Roman" w:hAnsi="Times New Roman" w:cs="Times New Roman"/>
                <w:color w:val="auto"/>
              </w:rPr>
              <w:t>总氮、</w:t>
            </w:r>
            <w:r>
              <w:rPr>
                <w:rFonts w:hint="default" w:ascii="Times New Roman" w:hAnsi="Times New Roman" w:cs="Times New Roman" w:eastAsiaTheme="minorEastAsia"/>
                <w:color w:val="auto"/>
                <w:szCs w:val="21"/>
              </w:rPr>
              <w:t>总磷、氯化物</w:t>
            </w:r>
            <w:r>
              <w:rPr>
                <w:rFonts w:hint="default" w:ascii="Times New Roman" w:hAnsi="Times New Roman" w:cs="Times New Roman" w:eastAsiaTheme="minorEastAsia"/>
                <w:color w:val="auto"/>
                <w:szCs w:val="21"/>
                <w:lang w:eastAsia="zh-CN"/>
              </w:rPr>
              <w:t>、</w:t>
            </w:r>
            <w:r>
              <w:rPr>
                <w:rFonts w:hint="default" w:ascii="Times New Roman" w:hAnsi="Times New Roman" w:cs="Times New Roman" w:eastAsiaTheme="minorEastAsia"/>
                <w:color w:val="auto"/>
                <w:szCs w:val="21"/>
                <w:lang w:val="en-US" w:eastAsia="zh-CN"/>
              </w:rPr>
              <w:t>阴离子表面活性剂</w:t>
            </w:r>
          </w:p>
        </w:tc>
        <w:tc>
          <w:tcPr>
            <w:tcW w:w="1683" w:type="pct"/>
            <w:vAlign w:val="center"/>
          </w:tcPr>
          <w:p w14:paraId="4B52C110">
            <w:pPr>
              <w:keepNext w:val="0"/>
              <w:keepLines w:val="0"/>
              <w:pageBreakBefore w:val="0"/>
              <w:kinsoku/>
              <w:wordWrap w:val="0"/>
              <w:overflowPunct/>
              <w:topLinePunct/>
              <w:autoSpaceDE/>
              <w:autoSpaceDN/>
              <w:bidi w:val="0"/>
              <w:adjustRightInd w:val="0"/>
              <w:snapToGrid w:val="0"/>
              <w:spacing w:line="240" w:lineRule="auto"/>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设备冷却水循环使用，不外排；</w:t>
            </w:r>
          </w:p>
          <w:p w14:paraId="0296E4A8">
            <w:pPr>
              <w:pStyle w:val="17"/>
              <w:keepNext w:val="0"/>
              <w:keepLines w:val="0"/>
              <w:pageBreakBefore w:val="0"/>
              <w:kinsoku/>
              <w:overflowPunct/>
              <w:autoSpaceDE/>
              <w:autoSpaceDN/>
              <w:bidi w:val="0"/>
              <w:adjustRightInd w:val="0"/>
              <w:snapToGrid w:val="0"/>
              <w:spacing w:after="0"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表面处理（水密封槽、冲洗、漂洗、碱液喷淋塔等）废水送入厂区污水处理站采用“调节池+一级pH调节池+混合池+絮凝池+沉淀池+二级pH调节池+混合池+絮凝池+沉淀池+回调池+砂滤系统”工艺处理后排入市政管网</w:t>
            </w:r>
            <w:r>
              <w:rPr>
                <w:rFonts w:hint="default" w:ascii="Times New Roman" w:hAnsi="Times New Roman" w:cs="Times New Roman"/>
                <w:color w:val="auto"/>
                <w:sz w:val="21"/>
                <w:szCs w:val="21"/>
                <w:highlight w:val="none"/>
                <w:lang w:eastAsia="zh-CN"/>
              </w:rPr>
              <w:t>；</w:t>
            </w:r>
          </w:p>
          <w:p w14:paraId="04CB1686">
            <w:pPr>
              <w:keepNext w:val="0"/>
              <w:keepLines w:val="0"/>
              <w:pageBreakBefore w:val="0"/>
              <w:kinsoku/>
              <w:overflowPunct/>
              <w:autoSpaceDE/>
              <w:autoSpaceDN/>
              <w:bidi w:val="0"/>
              <w:adjustRightInd w:val="0"/>
              <w:snapToGrid w:val="0"/>
              <w:spacing w:line="240" w:lineRule="auto"/>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软水设备废水送污水处理站沉淀后</w:t>
            </w:r>
            <w:r>
              <w:rPr>
                <w:rFonts w:hint="default" w:ascii="Times New Roman" w:hAnsi="Times New Roman" w:cs="Times New Roman"/>
                <w:color w:val="auto"/>
                <w:sz w:val="21"/>
                <w:szCs w:val="21"/>
                <w:highlight w:val="none"/>
              </w:rPr>
              <w:t>排入市政管网</w:t>
            </w:r>
            <w:r>
              <w:rPr>
                <w:rFonts w:hint="default" w:ascii="Times New Roman" w:hAnsi="Times New Roman" w:cs="Times New Roman"/>
                <w:color w:val="auto"/>
                <w:sz w:val="21"/>
                <w:szCs w:val="21"/>
                <w:highlight w:val="none"/>
                <w:lang w:eastAsia="zh-CN"/>
              </w:rPr>
              <w:t>；</w:t>
            </w:r>
          </w:p>
          <w:p w14:paraId="31936815">
            <w:pPr>
              <w:pStyle w:val="17"/>
              <w:keepNext w:val="0"/>
              <w:keepLines w:val="0"/>
              <w:pageBreakBefore w:val="0"/>
              <w:kinsoku/>
              <w:overflowPunct/>
              <w:autoSpaceDE/>
              <w:autoSpaceDN/>
              <w:bidi w:val="0"/>
              <w:adjustRightInd w:val="0"/>
              <w:snapToGrid w:val="0"/>
              <w:spacing w:after="0"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生产废水总排口</w:t>
            </w:r>
            <w:r>
              <w:rPr>
                <w:rFonts w:hint="default" w:ascii="Times New Roman" w:hAnsi="Times New Roman" w:cs="Times New Roman"/>
                <w:color w:val="auto"/>
                <w:sz w:val="21"/>
                <w:szCs w:val="21"/>
                <w:highlight w:val="none"/>
                <w:lang w:val="en-US" w:eastAsia="zh-CN"/>
              </w:rPr>
              <w:t>设</w:t>
            </w:r>
            <w:r>
              <w:rPr>
                <w:rFonts w:hint="default" w:ascii="Times New Roman" w:hAnsi="Times New Roman" w:cs="Times New Roman"/>
                <w:color w:val="auto"/>
                <w:sz w:val="21"/>
                <w:szCs w:val="21"/>
                <w:highlight w:val="none"/>
              </w:rPr>
              <w:t>流量、pH、CODcr、NH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-N、总锌</w:t>
            </w:r>
            <w:r>
              <w:rPr>
                <w:rFonts w:hint="default" w:ascii="Times New Roman" w:hAnsi="Times New Roman" w:cs="Times New Roman"/>
                <w:color w:val="auto"/>
                <w:sz w:val="21"/>
                <w:szCs w:val="21"/>
                <w:highlight w:val="none"/>
                <w:lang w:val="en-US" w:eastAsia="zh-CN"/>
              </w:rPr>
              <w:t>在线</w:t>
            </w:r>
            <w:r>
              <w:rPr>
                <w:rFonts w:hint="default" w:ascii="Times New Roman" w:hAnsi="Times New Roman" w:cs="Times New Roman"/>
                <w:color w:val="auto"/>
                <w:sz w:val="21"/>
                <w:szCs w:val="21"/>
                <w:highlight w:val="none"/>
              </w:rPr>
              <w:t>监测</w:t>
            </w:r>
            <w:r>
              <w:rPr>
                <w:rFonts w:hint="default" w:ascii="Times New Roman" w:hAnsi="Times New Roman" w:cs="Times New Roman"/>
                <w:color w:val="auto"/>
                <w:sz w:val="21"/>
                <w:szCs w:val="21"/>
                <w:highlight w:val="none"/>
                <w:lang w:val="en-US" w:eastAsia="zh-CN"/>
              </w:rPr>
              <w:t>设备</w:t>
            </w:r>
          </w:p>
        </w:tc>
        <w:tc>
          <w:tcPr>
            <w:tcW w:w="1724" w:type="pct"/>
            <w:vAlign w:val="center"/>
          </w:tcPr>
          <w:p w14:paraId="4C9C8C6F">
            <w:pPr>
              <w:keepNext w:val="0"/>
              <w:keepLines w:val="0"/>
              <w:pageBreakBefore w:val="0"/>
              <w:kinsoku/>
              <w:wordWrap w:val="0"/>
              <w:overflowPunct/>
              <w:topLinePunct/>
              <w:autoSpaceDE/>
              <w:autoSpaceDN/>
              <w:bidi w:val="0"/>
              <w:adjustRightInd w:val="0"/>
              <w:snapToGrid w:val="0"/>
              <w:spacing w:line="240" w:lineRule="auto"/>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《污水综合排放标准》</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GB8978-1996</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表4三级标</w:t>
            </w:r>
          </w:p>
          <w:p w14:paraId="47EBD40D">
            <w:pPr>
              <w:keepNext w:val="0"/>
              <w:keepLines w:val="0"/>
              <w:pageBreakBefore w:val="0"/>
              <w:kinsoku/>
              <w:wordWrap w:val="0"/>
              <w:overflowPunct/>
              <w:topLinePunct/>
              <w:autoSpaceDE/>
              <w:autoSpaceDN/>
              <w:bidi w:val="0"/>
              <w:adjustRightInd w:val="0"/>
              <w:snapToGrid w:val="0"/>
              <w:spacing w:line="240" w:lineRule="auto"/>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准、《污水排入城镇下水道水质标准》(CJ343-2010)表1中B等级标准、《城镇污水处理厂污染物排放标准》(GB18918-2002)表3、金古北片区污水处理厂进厂</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接管</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污水水质要求（pH6~9，COD≤500mg/L，SS≤400mg/L，氨氮≤35mg/L，总氮≤50mg/L，总磷≤5.0mg/L，总铁≤10.0mg/L，总锌≤1.0mg/L，氯化物≤</w:t>
            </w:r>
            <w:r>
              <w:rPr>
                <w:rFonts w:hint="default" w:ascii="Times New Roman" w:hAnsi="Times New Roman" w:cs="Times New Roman"/>
                <w:color w:val="auto"/>
                <w:sz w:val="21"/>
                <w:szCs w:val="21"/>
                <w:highlight w:val="none"/>
                <w:lang w:val="en-US" w:eastAsia="zh-CN"/>
              </w:rPr>
              <w:t>8</w:t>
            </w:r>
            <w:r>
              <w:rPr>
                <w:rFonts w:hint="default" w:ascii="Times New Roman" w:hAnsi="Times New Roman" w:cs="Times New Roman"/>
                <w:color w:val="auto"/>
                <w:sz w:val="21"/>
                <w:szCs w:val="21"/>
                <w:highlight w:val="none"/>
              </w:rPr>
              <w:t>00mg/L，阴离子表面活性剂≤</w:t>
            </w: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0mg/L）</w:t>
            </w:r>
          </w:p>
        </w:tc>
      </w:tr>
      <w:tr w14:paraId="1DBE0F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322" w:type="pct"/>
            <w:vMerge w:val="continue"/>
            <w:vAlign w:val="center"/>
          </w:tcPr>
          <w:p w14:paraId="528117AA">
            <w:pPr>
              <w:wordWrap w:val="0"/>
              <w:topLinePunct/>
              <w:adjustRightInd w:val="0"/>
              <w:snapToGrid w:val="0"/>
              <w:jc w:val="center"/>
              <w:rPr>
                <w:rFonts w:hint="default" w:ascii="Times New Roman" w:hAnsi="Times New Roman" w:cs="Times New Roman"/>
                <w:color w:val="auto"/>
                <w:szCs w:val="21"/>
              </w:rPr>
            </w:pPr>
          </w:p>
        </w:tc>
        <w:tc>
          <w:tcPr>
            <w:tcW w:w="732" w:type="pct"/>
            <w:gridSpan w:val="2"/>
            <w:vAlign w:val="center"/>
          </w:tcPr>
          <w:p w14:paraId="390AC36B">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生活污水</w:t>
            </w:r>
          </w:p>
        </w:tc>
        <w:tc>
          <w:tcPr>
            <w:tcW w:w="536" w:type="pct"/>
            <w:vAlign w:val="center"/>
          </w:tcPr>
          <w:p w14:paraId="6F4B614F">
            <w:pPr>
              <w:wordWrap w:val="0"/>
              <w:topLinePunct/>
              <w:adjustRightInd w:val="0"/>
              <w:snapToGrid w:val="0"/>
              <w:jc w:val="both"/>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pH、SS、COD、氨氮</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BOD</w:t>
            </w:r>
            <w:r>
              <w:rPr>
                <w:rFonts w:hint="default" w:ascii="Times New Roman" w:hAnsi="Times New Roman" w:cs="Times New Roman"/>
                <w:color w:val="auto"/>
                <w:szCs w:val="21"/>
                <w:vertAlign w:val="subscript"/>
                <w:lang w:val="en-US" w:eastAsia="zh-CN"/>
              </w:rPr>
              <w:t>5</w:t>
            </w:r>
          </w:p>
        </w:tc>
        <w:tc>
          <w:tcPr>
            <w:tcW w:w="1683" w:type="pct"/>
            <w:vAlign w:val="center"/>
          </w:tcPr>
          <w:p w14:paraId="2B43D206">
            <w:pPr>
              <w:wordWrap w:val="0"/>
              <w:topLinePunct/>
              <w:adjustRightInd w:val="0"/>
              <w:snapToGrid w:val="0"/>
              <w:jc w:val="both"/>
              <w:rPr>
                <w:rFonts w:hint="default" w:ascii="Times New Roman" w:hAnsi="Times New Roman" w:cs="Times New Roman"/>
                <w:color w:val="auto"/>
                <w:szCs w:val="21"/>
              </w:rPr>
            </w:pPr>
            <w:r>
              <w:rPr>
                <w:rFonts w:hint="default" w:ascii="Times New Roman" w:hAnsi="Times New Roman" w:cs="Times New Roman"/>
                <w:color w:val="auto"/>
                <w:szCs w:val="21"/>
              </w:rPr>
              <w:t>生活污水经化粪池处理后接入市政管网，排入</w:t>
            </w:r>
            <w:r>
              <w:rPr>
                <w:rFonts w:hint="default" w:ascii="Times New Roman" w:hAnsi="Times New Roman" w:cs="Times New Roman"/>
                <w:color w:val="auto"/>
                <w:kern w:val="0"/>
                <w:sz w:val="20"/>
                <w:szCs w:val="20"/>
                <w:highlight w:val="none"/>
                <w:lang w:val="en-US" w:eastAsia="zh-CN" w:bidi="ar"/>
              </w:rPr>
              <w:t>沙县</w:t>
            </w:r>
            <w:r>
              <w:rPr>
                <w:rFonts w:hint="default" w:ascii="Times New Roman" w:hAnsi="Times New Roman" w:cs="Times New Roman"/>
                <w:color w:val="auto"/>
                <w:kern w:val="0"/>
                <w:sz w:val="20"/>
                <w:szCs w:val="20"/>
                <w:highlight w:val="none"/>
                <w:lang w:bidi="ar"/>
              </w:rPr>
              <w:t>金古北片区污水处理厂</w:t>
            </w:r>
            <w:r>
              <w:rPr>
                <w:rFonts w:hint="default" w:ascii="Times New Roman" w:hAnsi="Times New Roman" w:cs="Times New Roman"/>
                <w:color w:val="auto"/>
                <w:szCs w:val="21"/>
              </w:rPr>
              <w:t>处理。</w:t>
            </w:r>
          </w:p>
        </w:tc>
        <w:tc>
          <w:tcPr>
            <w:tcW w:w="1724" w:type="pct"/>
            <w:vAlign w:val="center"/>
          </w:tcPr>
          <w:p w14:paraId="1457E910">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验收落实情况</w:t>
            </w:r>
          </w:p>
        </w:tc>
      </w:tr>
      <w:tr w14:paraId="465EB9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322" w:type="pct"/>
            <w:vMerge w:val="continue"/>
            <w:vAlign w:val="center"/>
          </w:tcPr>
          <w:p w14:paraId="7C106F0F">
            <w:pPr>
              <w:wordWrap w:val="0"/>
              <w:topLinePunct/>
              <w:adjustRightInd w:val="0"/>
              <w:snapToGrid w:val="0"/>
              <w:jc w:val="center"/>
              <w:rPr>
                <w:rFonts w:hint="default" w:ascii="Times New Roman" w:hAnsi="Times New Roman" w:cs="Times New Roman"/>
                <w:color w:val="auto"/>
                <w:szCs w:val="21"/>
              </w:rPr>
            </w:pPr>
          </w:p>
        </w:tc>
        <w:tc>
          <w:tcPr>
            <w:tcW w:w="732" w:type="pct"/>
            <w:gridSpan w:val="2"/>
            <w:vAlign w:val="center"/>
          </w:tcPr>
          <w:p w14:paraId="27AEBF99">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初期雨水</w:t>
            </w:r>
          </w:p>
        </w:tc>
        <w:tc>
          <w:tcPr>
            <w:tcW w:w="536" w:type="pct"/>
            <w:vAlign w:val="center"/>
          </w:tcPr>
          <w:p w14:paraId="5604CC84">
            <w:pPr>
              <w:wordWrap w:val="0"/>
              <w:topLinePunct/>
              <w:adjustRightInd w:val="0"/>
              <w:snapToGrid w:val="0"/>
              <w:jc w:val="both"/>
              <w:rPr>
                <w:rFonts w:hint="default" w:ascii="Times New Roman" w:hAnsi="Times New Roman" w:cs="Times New Roman"/>
                <w:color w:val="auto"/>
                <w:szCs w:val="21"/>
              </w:rPr>
            </w:pPr>
            <w:r>
              <w:rPr>
                <w:rFonts w:hint="default" w:ascii="Times New Roman" w:hAnsi="Times New Roman" w:cs="Times New Roman"/>
                <w:color w:val="auto"/>
                <w:szCs w:val="21"/>
              </w:rPr>
              <w:t>pH、SS、COD</w:t>
            </w:r>
          </w:p>
        </w:tc>
        <w:tc>
          <w:tcPr>
            <w:tcW w:w="1683" w:type="pct"/>
            <w:vAlign w:val="center"/>
          </w:tcPr>
          <w:p w14:paraId="7230B421">
            <w:pPr>
              <w:wordWrap w:val="0"/>
              <w:topLinePunct/>
              <w:adjustRightInd w:val="0"/>
              <w:snapToGrid w:val="0"/>
              <w:jc w:val="both"/>
              <w:rPr>
                <w:rFonts w:hint="default" w:ascii="Times New Roman" w:hAnsi="Times New Roman" w:cs="Times New Roman"/>
                <w:color w:val="auto"/>
                <w:szCs w:val="21"/>
              </w:rPr>
            </w:pPr>
            <w:r>
              <w:rPr>
                <w:rFonts w:hint="default" w:ascii="Times New Roman" w:hAnsi="Times New Roman" w:cs="Times New Roman"/>
                <w:color w:val="auto"/>
                <w:kern w:val="0"/>
                <w:szCs w:val="21"/>
                <w:lang w:bidi="ar"/>
              </w:rPr>
              <w:t>初期雨污水沉淀后排入市政雨水管道。</w:t>
            </w:r>
          </w:p>
        </w:tc>
        <w:tc>
          <w:tcPr>
            <w:tcW w:w="1724" w:type="pct"/>
            <w:vAlign w:val="center"/>
          </w:tcPr>
          <w:p w14:paraId="236103B0">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验收落实情况</w:t>
            </w:r>
          </w:p>
        </w:tc>
      </w:tr>
      <w:tr w14:paraId="710D2E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322" w:type="pct"/>
            <w:vAlign w:val="center"/>
          </w:tcPr>
          <w:p w14:paraId="06372840">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声环境</w:t>
            </w:r>
          </w:p>
        </w:tc>
        <w:tc>
          <w:tcPr>
            <w:tcW w:w="732" w:type="pct"/>
            <w:gridSpan w:val="2"/>
            <w:vAlign w:val="center"/>
          </w:tcPr>
          <w:p w14:paraId="59D09445">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设备运转噪声</w:t>
            </w:r>
          </w:p>
        </w:tc>
        <w:tc>
          <w:tcPr>
            <w:tcW w:w="536" w:type="pct"/>
            <w:vAlign w:val="center"/>
          </w:tcPr>
          <w:p w14:paraId="1DBF8118">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噪声</w:t>
            </w:r>
          </w:p>
        </w:tc>
        <w:tc>
          <w:tcPr>
            <w:tcW w:w="1683" w:type="pct"/>
            <w:vAlign w:val="center"/>
          </w:tcPr>
          <w:p w14:paraId="04CE5399">
            <w:pPr>
              <w:wordWrap w:val="0"/>
              <w:topLinePunct/>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采用厂房隔声、基础减振等措施</w:t>
            </w:r>
          </w:p>
        </w:tc>
        <w:tc>
          <w:tcPr>
            <w:tcW w:w="1724" w:type="pct"/>
            <w:vAlign w:val="center"/>
          </w:tcPr>
          <w:p w14:paraId="7A9B33CE">
            <w:pPr>
              <w:wordWrap w:val="0"/>
              <w:topLinePunct/>
              <w:adjustRightInd w:val="0"/>
              <w:snapToGrid w:val="0"/>
              <w:rPr>
                <w:rFonts w:hint="default" w:ascii="Times New Roman" w:hAnsi="Times New Roman" w:cs="Times New Roman"/>
                <w:color w:val="auto"/>
                <w:szCs w:val="21"/>
              </w:rPr>
            </w:pPr>
            <w:bookmarkStart w:id="289" w:name="OLE_LINK10"/>
            <w:r>
              <w:rPr>
                <w:rFonts w:hint="default" w:ascii="Times New Roman" w:hAnsi="Times New Roman" w:cs="Times New Roman"/>
                <w:color w:val="auto"/>
                <w:szCs w:val="21"/>
              </w:rPr>
              <w:t>GB12348-2008《工业企业厂界环境噪声排放标准》中3类标准</w:t>
            </w:r>
            <w:bookmarkEnd w:id="289"/>
          </w:p>
        </w:tc>
      </w:tr>
      <w:tr w14:paraId="4F7140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2" w:type="pct"/>
            <w:vAlign w:val="center"/>
          </w:tcPr>
          <w:p w14:paraId="29991EAF">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电磁</w:t>
            </w:r>
          </w:p>
          <w:p w14:paraId="394FE90D">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辐射</w:t>
            </w:r>
          </w:p>
        </w:tc>
        <w:tc>
          <w:tcPr>
            <w:tcW w:w="732" w:type="pct"/>
            <w:gridSpan w:val="2"/>
            <w:vAlign w:val="center"/>
          </w:tcPr>
          <w:p w14:paraId="39B68849">
            <w:pPr>
              <w:widowControl/>
              <w:wordWrap w:val="0"/>
              <w:topLinePunct/>
              <w:adjustRightInd w:val="0"/>
              <w:snapToGrid w:val="0"/>
              <w:jc w:val="center"/>
              <w:textAlignment w:val="center"/>
              <w:rPr>
                <w:rFonts w:hint="default" w:ascii="Times New Roman" w:hAnsi="Times New Roman" w:cs="Times New Roman"/>
                <w:color w:val="auto"/>
                <w:kern w:val="0"/>
                <w:szCs w:val="21"/>
                <w:lang w:bidi="ar"/>
              </w:rPr>
            </w:pPr>
            <w:r>
              <w:rPr>
                <w:rFonts w:hint="default" w:ascii="Times New Roman" w:hAnsi="Times New Roman" w:cs="Times New Roman"/>
                <w:color w:val="auto"/>
                <w:szCs w:val="21"/>
              </w:rPr>
              <w:t>/</w:t>
            </w:r>
          </w:p>
        </w:tc>
        <w:tc>
          <w:tcPr>
            <w:tcW w:w="536" w:type="pct"/>
            <w:vAlign w:val="center"/>
          </w:tcPr>
          <w:p w14:paraId="62F9444F">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1683" w:type="pct"/>
            <w:vAlign w:val="center"/>
          </w:tcPr>
          <w:p w14:paraId="551F3DA6">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1724" w:type="pct"/>
            <w:vAlign w:val="center"/>
          </w:tcPr>
          <w:p w14:paraId="262BD88B">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r>
      <w:tr w14:paraId="5BA5E7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322" w:type="pct"/>
            <w:vAlign w:val="center"/>
          </w:tcPr>
          <w:p w14:paraId="7EE8FD19">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固体</w:t>
            </w:r>
          </w:p>
          <w:p w14:paraId="55C866EF">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废物</w:t>
            </w:r>
          </w:p>
        </w:tc>
        <w:tc>
          <w:tcPr>
            <w:tcW w:w="4677" w:type="pct"/>
            <w:gridSpan w:val="5"/>
            <w:vAlign w:val="center"/>
          </w:tcPr>
          <w:p w14:paraId="4DF533A5">
            <w:pPr>
              <w:pStyle w:val="10"/>
              <w:wordWrap w:val="0"/>
              <w:topLinePunct/>
              <w:adjustRightInd w:val="0"/>
              <w:snapToGrid w:val="0"/>
              <w:spacing w:before="189" w:beforeLines="50"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产生的固体废物主要有包装线材、氧化铁皮、除尘灰、废布袋、废酸液、磷渣、废皂化液、磷化液原料空桶、废包装袋（表调剂、皂片等）、污水处理站污泥、废润滑油等。其中，废酸液、磷渣、废皂化液、磷化液原料空桶、废包装袋（表调剂、皂片等）、污水处理站污泥、废润滑油为危险废物，其余均为一般固体废物。</w:t>
            </w:r>
          </w:p>
          <w:p w14:paraId="43E65C52">
            <w:pPr>
              <w:pStyle w:val="10"/>
              <w:wordWrap w:val="0"/>
              <w:topLinePunct/>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本项目应严格按照《一般工业固体废物贮存和填埋污染控制标准》（GB 18599-2020）和《危险废物贮存污染控制标准》（GB18597-2023）执行相关措施。</w:t>
            </w:r>
          </w:p>
          <w:p w14:paraId="07B3708F">
            <w:pPr>
              <w:pStyle w:val="10"/>
              <w:wordWrap w:val="0"/>
              <w:topLinePunct/>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本项目产生的废酸储存在废酸罐（池），其余危废依托公司现有危险废物贮存间储存，委托有资质单位处置。本项目在日常管理中还应根据《危险废物收集贮存运输技术规范》（HJ 2025-2012）和《危险废物贮存污染控制标准》（GB 18597-2023）执行相关措施，按危险废物的类别、数量、形态、物理化学性质和污染防治等要求细化设置必要的贮存分区，避免不相容的危险废物接触、混合，不同贮存分区之间应采取隔离措施，隔离措施可根据危险废物特性采用过道、隔板或隔墙等方式，完善相关环境管理要求和危险废物贮存设施环境应急要求。危险废物标识的设置应满足《危险废物识别标志设置技术规范》（HJ1276-2022）要求。</w:t>
            </w:r>
          </w:p>
        </w:tc>
      </w:tr>
      <w:tr w14:paraId="3958D1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6" w:hRule="atLeast"/>
          <w:jc w:val="center"/>
        </w:trPr>
        <w:tc>
          <w:tcPr>
            <w:tcW w:w="322" w:type="pct"/>
            <w:vAlign w:val="center"/>
          </w:tcPr>
          <w:p w14:paraId="5753ABBD">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土壤及地下水污染防治措施</w:t>
            </w:r>
          </w:p>
        </w:tc>
        <w:tc>
          <w:tcPr>
            <w:tcW w:w="4677" w:type="pct"/>
            <w:gridSpan w:val="5"/>
            <w:vAlign w:val="center"/>
          </w:tcPr>
          <w:p w14:paraId="36682D69">
            <w:pPr>
              <w:wordWrap w:val="0"/>
              <w:topLinePunct/>
              <w:adjustRightInd w:val="0"/>
              <w:snapToGrid w:val="0"/>
              <w:spacing w:before="113" w:beforeLines="30"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为防止建设项目运行对地下水造成污染，从原料和产品的储存、装卸、运输、生产过程、污染处理装置等全过程控制各种有毒有害原辅材料、中间材料、产品泄漏（含跑、冒、滴、漏）；同时针对厂区的地质环境、水文地质条件，对有害物质可能泄漏的区域采取防渗措施，阻止其渗入地下水中。即从源头到末端全方位采取控制措施，防止建设项目运行对地下水造成污染。</w:t>
            </w:r>
          </w:p>
        </w:tc>
      </w:tr>
      <w:tr w14:paraId="4999E1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0" w:hRule="atLeast"/>
          <w:jc w:val="center"/>
        </w:trPr>
        <w:tc>
          <w:tcPr>
            <w:tcW w:w="322" w:type="pct"/>
            <w:vAlign w:val="center"/>
          </w:tcPr>
          <w:p w14:paraId="24E1D9FF">
            <w:pPr>
              <w:wordWrap w:val="0"/>
              <w:topLinePunct/>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生态保护措施</w:t>
            </w:r>
          </w:p>
        </w:tc>
        <w:tc>
          <w:tcPr>
            <w:tcW w:w="4677" w:type="pct"/>
            <w:gridSpan w:val="5"/>
            <w:vAlign w:val="center"/>
          </w:tcPr>
          <w:p w14:paraId="1702D8A4">
            <w:pPr>
              <w:widowControl/>
              <w:wordWrap w:val="0"/>
              <w:topLinePunct/>
              <w:adjustRightInd w:val="0"/>
              <w:snapToGrid w:val="0"/>
              <w:spacing w:line="360" w:lineRule="auto"/>
              <w:ind w:firstLine="480" w:firstLineChars="200"/>
              <w:textAlignment w:val="center"/>
              <w:rPr>
                <w:rFonts w:hint="default" w:ascii="Times New Roman" w:hAnsi="Times New Roman" w:cs="Times New Roman"/>
                <w:color w:val="auto"/>
                <w:kern w:val="0"/>
                <w:sz w:val="24"/>
                <w:lang w:bidi="ar"/>
              </w:rPr>
            </w:pPr>
            <w:r>
              <w:rPr>
                <w:rFonts w:hint="default" w:ascii="Times New Roman" w:hAnsi="Times New Roman" w:cs="Times New Roman"/>
                <w:color w:val="auto"/>
                <w:sz w:val="24"/>
              </w:rPr>
              <w:t>/</w:t>
            </w:r>
          </w:p>
        </w:tc>
      </w:tr>
      <w:tr w14:paraId="18EBB9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81" w:hRule="atLeast"/>
          <w:jc w:val="center"/>
        </w:trPr>
        <w:tc>
          <w:tcPr>
            <w:tcW w:w="322" w:type="pct"/>
            <w:vAlign w:val="center"/>
          </w:tcPr>
          <w:p w14:paraId="2D33F57B">
            <w:pPr>
              <w:wordWrap w:val="0"/>
              <w:topLinePunct/>
              <w:adjustRightInd w:val="0"/>
              <w:snapToGrid w:val="0"/>
              <w:jc w:val="center"/>
              <w:rPr>
                <w:rFonts w:hint="default" w:ascii="Times New Roman" w:hAnsi="Times New Roman" w:cs="Times New Roman"/>
                <w:color w:val="auto"/>
                <w:spacing w:val="-8"/>
                <w:szCs w:val="21"/>
              </w:rPr>
            </w:pPr>
            <w:r>
              <w:rPr>
                <w:rFonts w:hint="default" w:ascii="Times New Roman" w:hAnsi="Times New Roman" w:cs="Times New Roman"/>
                <w:color w:val="auto"/>
                <w:spacing w:val="-8"/>
                <w:szCs w:val="21"/>
              </w:rPr>
              <w:t>环境风险防范措施</w:t>
            </w:r>
          </w:p>
        </w:tc>
        <w:tc>
          <w:tcPr>
            <w:tcW w:w="4677" w:type="pct"/>
            <w:gridSpan w:val="5"/>
            <w:vAlign w:val="center"/>
          </w:tcPr>
          <w:p w14:paraId="3F81658E">
            <w:pPr>
              <w:keepNext/>
              <w:wordWrap w:val="0"/>
              <w:topLinePunct/>
              <w:adjustRightInd w:val="0"/>
              <w:snapToGrid w:val="0"/>
              <w:spacing w:before="113" w:beforeLines="30"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①严格执行危险化学品管理、消防、安全等有关法律法规和相关规章制度。</w:t>
            </w:r>
          </w:p>
          <w:p w14:paraId="454FC120">
            <w:pPr>
              <w:keepNext/>
              <w:wordWrap w:val="0"/>
              <w:topLinePunct/>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②加强贮存场所事故预防措施，严格按照相关规定管理危化品，加强消防措施。</w:t>
            </w:r>
          </w:p>
          <w:p w14:paraId="6F0555B3">
            <w:pPr>
              <w:keepNext/>
              <w:wordWrap w:val="0"/>
              <w:topLinePunct/>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③加强环保设施运行维护。</w:t>
            </w:r>
          </w:p>
          <w:p w14:paraId="08E70674">
            <w:pPr>
              <w:keepNext/>
              <w:wordWrap w:val="0"/>
              <w:topLinePunct/>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④编制突发环境事件应急预案，并报送生态环境主管部门备案，定期开展事故环境风险应急演练。</w:t>
            </w:r>
          </w:p>
          <w:p w14:paraId="3A2B2032">
            <w:pPr>
              <w:keepNext/>
              <w:wordWrap w:val="0"/>
              <w:topLinePunct/>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⑤厂区排水实行雨污分流，建设409m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的初期雨水池</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污水处理站100m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rPr>
              <w:t>应急池</w:t>
            </w:r>
            <w:r>
              <w:rPr>
                <w:rFonts w:hint="default" w:ascii="Times New Roman" w:hAnsi="Times New Roman" w:cs="Times New Roman"/>
                <w:color w:val="auto"/>
                <w:sz w:val="24"/>
                <w:lang w:val="en-US" w:eastAsia="zh-CN"/>
              </w:rPr>
              <w:t>和</w:t>
            </w:r>
            <w:r>
              <w:rPr>
                <w:rFonts w:hint="default" w:ascii="Times New Roman" w:hAnsi="Times New Roman" w:cs="Times New Roman"/>
                <w:color w:val="auto"/>
                <w:sz w:val="24"/>
              </w:rPr>
              <w:t>容积</w:t>
            </w:r>
            <w:r>
              <w:rPr>
                <w:rFonts w:hint="default" w:ascii="Times New Roman" w:hAnsi="Times New Roman" w:cs="Times New Roman"/>
                <w:color w:val="auto"/>
                <w:sz w:val="24"/>
                <w:highlight w:val="none"/>
                <w:lang w:val="en-US" w:eastAsia="zh-CN"/>
              </w:rPr>
              <w:t>302</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的</w:t>
            </w:r>
            <w:r>
              <w:rPr>
                <w:rFonts w:hint="default" w:ascii="Times New Roman" w:hAnsi="Times New Roman" w:cs="Times New Roman"/>
                <w:color w:val="auto"/>
                <w:sz w:val="24"/>
                <w:highlight w:val="none"/>
                <w:lang w:val="en-US" w:eastAsia="zh-CN"/>
              </w:rPr>
              <w:t>全厂</w:t>
            </w:r>
            <w:r>
              <w:rPr>
                <w:rFonts w:hint="default" w:ascii="Times New Roman" w:hAnsi="Times New Roman" w:cs="Times New Roman"/>
                <w:color w:val="auto"/>
                <w:sz w:val="24"/>
              </w:rPr>
              <w:t>事故应急池。建立健全环境风险防控体系，建立完善有效的环境风险防控设施和拦截、降污、导流等措施，防止泄漏物和事故废水污染地表水、地下水和土壤环境。</w:t>
            </w:r>
          </w:p>
        </w:tc>
      </w:tr>
    </w:tbl>
    <w:p w14:paraId="6416E555">
      <w:pPr>
        <w:rPr>
          <w:rFonts w:hint="default" w:ascii="Times New Roman" w:hAnsi="Times New Roman" w:cs="Times New Roman"/>
          <w:color w:val="auto"/>
        </w:rPr>
      </w:pPr>
    </w:p>
    <w:p w14:paraId="133B666D">
      <w:pPr>
        <w:pStyle w:val="30"/>
        <w:spacing w:before="0" w:beforeAutospacing="0" w:after="0" w:afterAutospacing="0"/>
        <w:jc w:val="both"/>
        <w:outlineLvl w:val="0"/>
        <w:rPr>
          <w:rFonts w:hint="default" w:ascii="Times New Roman" w:hAnsi="Times New Roman" w:eastAsia="黑体" w:cs="Times New Roman"/>
          <w:snapToGrid w:val="0"/>
          <w:color w:val="auto"/>
          <w:sz w:val="32"/>
          <w:szCs w:val="32"/>
        </w:rPr>
        <w:sectPr>
          <w:pgSz w:w="16838" w:h="11905" w:orient="landscape"/>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tbl>
      <w:tblPr>
        <w:tblStyle w:val="34"/>
        <w:tblW w:w="502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46"/>
        <w:gridCol w:w="8695"/>
      </w:tblGrid>
      <w:tr w14:paraId="0A2540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346" w:type="pct"/>
            <w:vAlign w:val="center"/>
          </w:tcPr>
          <w:p w14:paraId="509ED2EE">
            <w:pPr>
              <w:wordWrap w:val="0"/>
              <w:topLinePunct/>
              <w:adjustRightInd w:val="0"/>
              <w:snapToGrid w:val="0"/>
              <w:jc w:val="center"/>
              <w:rPr>
                <w:rFonts w:hint="default" w:ascii="Times New Roman" w:hAnsi="Times New Roman" w:cs="Times New Roman"/>
                <w:color w:val="auto"/>
                <w:spacing w:val="-8"/>
                <w:szCs w:val="21"/>
              </w:rPr>
            </w:pPr>
            <w:r>
              <w:rPr>
                <w:rFonts w:hint="default" w:ascii="Times New Roman" w:hAnsi="Times New Roman" w:cs="Times New Roman"/>
                <w:color w:val="auto"/>
                <w:spacing w:val="-8"/>
                <w:szCs w:val="21"/>
              </w:rPr>
              <w:t>其他环境</w:t>
            </w:r>
          </w:p>
          <w:p w14:paraId="69B210A5">
            <w:pPr>
              <w:wordWrap w:val="0"/>
              <w:topLinePunct/>
              <w:adjustRightInd w:val="0"/>
              <w:snapToGrid w:val="0"/>
              <w:jc w:val="center"/>
              <w:rPr>
                <w:rFonts w:hint="default" w:ascii="Times New Roman" w:hAnsi="Times New Roman" w:cs="Times New Roman"/>
                <w:color w:val="auto"/>
                <w:spacing w:val="-8"/>
                <w:szCs w:val="21"/>
              </w:rPr>
            </w:pPr>
            <w:r>
              <w:rPr>
                <w:rFonts w:hint="default" w:ascii="Times New Roman" w:hAnsi="Times New Roman" w:cs="Times New Roman"/>
                <w:color w:val="auto"/>
                <w:spacing w:val="-8"/>
                <w:szCs w:val="21"/>
              </w:rPr>
              <w:t>管理要求</w:t>
            </w:r>
          </w:p>
        </w:tc>
        <w:tc>
          <w:tcPr>
            <w:tcW w:w="4653" w:type="pct"/>
            <w:vAlign w:val="center"/>
          </w:tcPr>
          <w:p w14:paraId="317DE713">
            <w:pPr>
              <w:pStyle w:val="4"/>
              <w:keepNext/>
              <w:keepLines w:val="0"/>
              <w:pageBreakBefore w:val="0"/>
              <w:widowControl w:val="0"/>
              <w:kinsoku/>
              <w:wordWrap w:val="0"/>
              <w:overflowPunct/>
              <w:topLinePunct/>
              <w:autoSpaceDE/>
              <w:autoSpaceDN/>
              <w:bidi w:val="0"/>
              <w:adjustRightInd w:val="0"/>
              <w:snapToGrid w:val="0"/>
              <w:spacing w:before="190" w:beforeLines="50" w:after="264" w:afterLines="70"/>
              <w:textAlignment w:val="auto"/>
              <w:rPr>
                <w:rFonts w:hint="default" w:ascii="Times New Roman" w:hAnsi="Times New Roman" w:cs="Times New Roman"/>
                <w:snapToGrid/>
                <w:color w:val="auto"/>
                <w:szCs w:val="30"/>
              </w:rPr>
            </w:pPr>
            <w:bookmarkStart w:id="290" w:name="_Toc20794"/>
            <w:bookmarkStart w:id="291" w:name="_Toc8672"/>
            <w:bookmarkStart w:id="292" w:name="_Toc29412"/>
            <w:bookmarkStart w:id="293" w:name="_Toc13388"/>
            <w:bookmarkStart w:id="294" w:name="_Toc16837"/>
            <w:bookmarkStart w:id="295" w:name="_Toc20681"/>
            <w:bookmarkStart w:id="296" w:name="_Toc13677"/>
            <w:bookmarkStart w:id="297" w:name="_Toc7272"/>
            <w:bookmarkStart w:id="298" w:name="_Toc17370"/>
            <w:r>
              <w:rPr>
                <w:rFonts w:hint="default" w:ascii="Times New Roman" w:hAnsi="Times New Roman" w:cs="Times New Roman"/>
                <w:snapToGrid/>
                <w:color w:val="auto"/>
                <w:szCs w:val="30"/>
              </w:rPr>
              <w:t>5.1环境管理</w:t>
            </w:r>
            <w:bookmarkEnd w:id="290"/>
            <w:bookmarkEnd w:id="291"/>
            <w:bookmarkEnd w:id="292"/>
            <w:bookmarkEnd w:id="293"/>
            <w:bookmarkEnd w:id="294"/>
            <w:bookmarkEnd w:id="295"/>
            <w:bookmarkEnd w:id="296"/>
            <w:bookmarkEnd w:id="297"/>
          </w:p>
          <w:p w14:paraId="5861DF7E">
            <w:pPr>
              <w:adjustRightInd w:val="0"/>
              <w:snapToGrid w:val="0"/>
              <w:spacing w:line="360" w:lineRule="auto"/>
              <w:ind w:firstLine="480" w:firstLineChars="200"/>
              <w:rPr>
                <w:rFonts w:hint="default" w:ascii="Times New Roman" w:hAnsi="Times New Roman" w:cs="Times New Roman"/>
                <w:color w:val="auto"/>
                <w:sz w:val="24"/>
              </w:rPr>
            </w:pPr>
            <w:bookmarkStart w:id="299" w:name="_Toc2248"/>
            <w:bookmarkStart w:id="300" w:name="_Toc30827"/>
            <w:bookmarkStart w:id="301" w:name="_Toc2470"/>
            <w:bookmarkStart w:id="302" w:name="_Toc16266"/>
            <w:r>
              <w:rPr>
                <w:rFonts w:hint="default" w:ascii="Times New Roman" w:hAnsi="Times New Roman" w:cs="Times New Roman"/>
                <w:color w:val="auto"/>
                <w:sz w:val="24"/>
              </w:rPr>
              <w:t>根据《中华人民共和国生态环境法典》等的基本要求，企业在生产经营中保护环境、防止污染是其重要职责之一，环境管理是企业管理的重要组成部分。</w:t>
            </w:r>
          </w:p>
          <w:p w14:paraId="75DD665A">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环境管理是以环境科学理论为基础，运用经济、法律、技术、行政、教育等手段对经济、社会发展过程中施加给环境的污染和破坏影响进行调节控制、实现经济、社会和环境效益的和谐统一。</w:t>
            </w:r>
          </w:p>
          <w:p w14:paraId="649C8D95">
            <w:pPr>
              <w:keepNext/>
              <w:wordWrap w:val="0"/>
              <w:topLinePunct/>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拟建项目应设立专职环保机构，负责项目环保具体事务。</w:t>
            </w:r>
            <w:bookmarkEnd w:id="299"/>
            <w:bookmarkEnd w:id="300"/>
            <w:bookmarkEnd w:id="301"/>
            <w:bookmarkEnd w:id="302"/>
          </w:p>
          <w:p w14:paraId="7321CFDC">
            <w:pPr>
              <w:pStyle w:val="5"/>
              <w:wordWrap w:val="0"/>
              <w:topLinePunct/>
              <w:spacing w:before="189" w:after="189" w:afterLines="50" w:afterAutospacing="0" w:line="240" w:lineRule="auto"/>
              <w:rPr>
                <w:rFonts w:hint="default" w:ascii="Times New Roman" w:hAnsi="Times New Roman" w:cs="Times New Roman"/>
                <w:color w:val="auto"/>
              </w:rPr>
            </w:pPr>
            <w:r>
              <w:rPr>
                <w:rFonts w:hint="default" w:ascii="Times New Roman" w:hAnsi="Times New Roman" w:cs="Times New Roman"/>
                <w:color w:val="auto"/>
              </w:rPr>
              <w:t>5.1.1企业内部环保机构及职责</w:t>
            </w:r>
          </w:p>
          <w:p w14:paraId="34258C67">
            <w:pPr>
              <w:pStyle w:val="6"/>
              <w:wordWrap w:val="0"/>
              <w:topLinePunct/>
              <w:spacing w:before="113" w:beforeLines="30" w:after="189" w:afterLines="50" w:line="240" w:lineRule="auto"/>
              <w:rPr>
                <w:rFonts w:hint="default" w:ascii="Times New Roman" w:hAnsi="Times New Roman" w:cs="Times New Roman"/>
                <w:color w:val="auto"/>
              </w:rPr>
            </w:pPr>
            <w:r>
              <w:rPr>
                <w:rFonts w:hint="default" w:ascii="Times New Roman" w:hAnsi="Times New Roman" w:cs="Times New Roman"/>
                <w:color w:val="auto"/>
              </w:rPr>
              <w:t>5.1.1.1环保机构的设置</w:t>
            </w:r>
          </w:p>
          <w:p w14:paraId="52711EEB">
            <w:pPr>
              <w:keepNext/>
              <w:wordWrap w:val="0"/>
              <w:topLinePunct/>
              <w:adjustRightInd w:val="0"/>
              <w:snapToGrid w:val="0"/>
              <w:spacing w:line="360" w:lineRule="auto"/>
              <w:ind w:firstLine="480" w:firstLineChars="200"/>
              <w:rPr>
                <w:rFonts w:hint="default" w:ascii="Times New Roman" w:hAnsi="Times New Roman" w:cs="Times New Roman"/>
                <w:color w:val="auto"/>
                <w:sz w:val="24"/>
              </w:rPr>
            </w:pPr>
            <w:bookmarkStart w:id="303" w:name="_Toc32537"/>
            <w:bookmarkStart w:id="304" w:name="_Toc30507"/>
            <w:bookmarkStart w:id="305" w:name="_Toc5679"/>
            <w:bookmarkStart w:id="306" w:name="_Toc7779"/>
            <w:r>
              <w:rPr>
                <w:rFonts w:hint="default" w:ascii="Times New Roman" w:hAnsi="Times New Roman" w:cs="Times New Roman"/>
                <w:color w:val="auto"/>
                <w:sz w:val="24"/>
              </w:rPr>
              <w:t>公司已设立专职环保机构“环境部”，并任命环境部部长为环保负责人，由环境部部长直接负责项目环保具体事务。</w:t>
            </w:r>
            <w:bookmarkEnd w:id="303"/>
            <w:bookmarkEnd w:id="304"/>
            <w:bookmarkEnd w:id="305"/>
            <w:bookmarkEnd w:id="306"/>
          </w:p>
          <w:p w14:paraId="48C3EDD0">
            <w:pPr>
              <w:pStyle w:val="6"/>
              <w:wordWrap w:val="0"/>
              <w:topLinePunct/>
              <w:spacing w:before="113" w:beforeLines="30" w:after="189" w:afterLines="50" w:line="240" w:lineRule="auto"/>
              <w:rPr>
                <w:rFonts w:hint="default" w:ascii="Times New Roman" w:hAnsi="Times New Roman" w:cs="Times New Roman"/>
                <w:color w:val="auto"/>
              </w:rPr>
            </w:pPr>
            <w:r>
              <w:rPr>
                <w:rFonts w:hint="default" w:ascii="Times New Roman" w:hAnsi="Times New Roman" w:cs="Times New Roman"/>
                <w:color w:val="auto"/>
              </w:rPr>
              <w:t>5.1.1.2环境部主要职责</w:t>
            </w:r>
          </w:p>
          <w:p w14:paraId="2249AE06">
            <w:pPr>
              <w:pStyle w:val="14"/>
              <w:widowControl w:val="0"/>
              <w:wordWrap w:val="0"/>
              <w:topLinePunct/>
              <w:adjustRightInd w:val="0"/>
              <w:spacing w:before="0" w:after="0" w:line="360" w:lineRule="auto"/>
              <w:ind w:right="0"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（1）根据国家及地方各级政府所颁布的有关环境保护法令、法规的要求，制定出适合实际、切实可行的环境保护及监测计划，建立健全环境管理机构的各项规章制度并在日常工作中加以落实与实施。</w:t>
            </w:r>
          </w:p>
          <w:p w14:paraId="33F0B6EA">
            <w:pPr>
              <w:pStyle w:val="14"/>
              <w:widowControl w:val="0"/>
              <w:wordWrap w:val="0"/>
              <w:topLinePunct/>
              <w:adjustRightInd w:val="0"/>
              <w:spacing w:before="0" w:after="0" w:line="360" w:lineRule="auto"/>
              <w:ind w:right="0"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（2）配合当地生态环境部门对相关环保设施及投资进行竣工验收。</w:t>
            </w:r>
          </w:p>
          <w:p w14:paraId="2613E7ED">
            <w:pPr>
              <w:pStyle w:val="14"/>
              <w:widowControl w:val="0"/>
              <w:wordWrap w:val="0"/>
              <w:topLinePunct/>
              <w:adjustRightInd w:val="0"/>
              <w:spacing w:before="0" w:after="0" w:line="360" w:lineRule="auto"/>
              <w:ind w:right="0"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（3）应配合当地环境监测机构对项目运营期间的环境监测工作。</w:t>
            </w:r>
          </w:p>
          <w:p w14:paraId="703EB540">
            <w:pPr>
              <w:pStyle w:val="14"/>
              <w:widowControl w:val="0"/>
              <w:wordWrap w:val="0"/>
              <w:topLinePunct/>
              <w:adjustRightInd w:val="0"/>
              <w:spacing w:before="0" w:after="0" w:line="360" w:lineRule="auto"/>
              <w:ind w:right="0"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（4）按照环保主管部门的规定和要求及时填报各种环境管理报表。</w:t>
            </w:r>
          </w:p>
          <w:p w14:paraId="16F56FD6">
            <w:pPr>
              <w:pStyle w:val="14"/>
              <w:widowControl w:val="0"/>
              <w:wordWrap w:val="0"/>
              <w:topLinePunct/>
              <w:adjustRightInd w:val="0"/>
              <w:spacing w:before="0" w:after="0" w:line="360" w:lineRule="auto"/>
              <w:ind w:right="0"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（5）处理各种涉及环境保护的有关事项，积累有关环境保护方面的各种原始资料。</w:t>
            </w:r>
          </w:p>
          <w:p w14:paraId="71C5C64F">
            <w:pPr>
              <w:pStyle w:val="5"/>
              <w:wordWrap w:val="0"/>
              <w:topLinePunct/>
              <w:spacing w:before="189" w:after="189" w:afterLines="50" w:afterAutospacing="0" w:line="240" w:lineRule="auto"/>
              <w:rPr>
                <w:rFonts w:hint="default" w:ascii="Times New Roman" w:hAnsi="Times New Roman" w:cs="Times New Roman"/>
                <w:color w:val="auto"/>
              </w:rPr>
            </w:pPr>
            <w:r>
              <w:rPr>
                <w:rFonts w:hint="default" w:ascii="Times New Roman" w:hAnsi="Times New Roman" w:cs="Times New Roman"/>
                <w:color w:val="auto"/>
              </w:rPr>
              <w:t>5.1.2建设项目环境管理计划和方案</w:t>
            </w:r>
          </w:p>
          <w:p w14:paraId="013EB89F">
            <w:pPr>
              <w:keepNext/>
              <w:wordWrap w:val="0"/>
              <w:topLinePunct/>
              <w:adjustRightInd w:val="0"/>
              <w:snapToGrid w:val="0"/>
              <w:spacing w:line="360" w:lineRule="auto"/>
              <w:ind w:firstLine="480" w:firstLineChars="200"/>
              <w:rPr>
                <w:rFonts w:hint="default" w:ascii="Times New Roman" w:hAnsi="Times New Roman" w:cs="Times New Roman"/>
                <w:color w:val="auto"/>
                <w:sz w:val="24"/>
              </w:rPr>
            </w:pPr>
            <w:bookmarkStart w:id="307" w:name="_Toc11434"/>
            <w:bookmarkStart w:id="308" w:name="_Toc30848"/>
            <w:bookmarkStart w:id="309" w:name="_Toc27543"/>
            <w:bookmarkStart w:id="310" w:name="_Toc11561"/>
            <w:r>
              <w:rPr>
                <w:rFonts w:hint="default" w:ascii="Times New Roman" w:hAnsi="Times New Roman" w:cs="Times New Roman"/>
                <w:color w:val="auto"/>
                <w:sz w:val="24"/>
              </w:rPr>
              <w:t>（1）环境管理机构</w:t>
            </w:r>
            <w:bookmarkEnd w:id="307"/>
            <w:bookmarkEnd w:id="308"/>
            <w:bookmarkEnd w:id="309"/>
            <w:bookmarkEnd w:id="310"/>
          </w:p>
          <w:p w14:paraId="57F61289">
            <w:pPr>
              <w:keepNext/>
              <w:wordWrap w:val="0"/>
              <w:topLinePunct/>
              <w:adjustRightInd w:val="0"/>
              <w:snapToGrid w:val="0"/>
              <w:spacing w:line="360" w:lineRule="auto"/>
              <w:ind w:firstLine="480" w:firstLineChars="200"/>
              <w:rPr>
                <w:rFonts w:hint="default" w:ascii="Times New Roman" w:hAnsi="Times New Roman" w:cs="Times New Roman"/>
                <w:color w:val="auto"/>
                <w:sz w:val="24"/>
              </w:rPr>
            </w:pPr>
            <w:bookmarkStart w:id="311" w:name="_Toc25385"/>
            <w:bookmarkStart w:id="312" w:name="_Toc4601"/>
            <w:bookmarkStart w:id="313" w:name="_Toc25193"/>
            <w:bookmarkStart w:id="314" w:name="_Toc19332"/>
            <w:r>
              <w:rPr>
                <w:rFonts w:hint="default" w:ascii="Times New Roman" w:hAnsi="Times New Roman" w:cs="Times New Roman"/>
                <w:color w:val="auto"/>
                <w:sz w:val="24"/>
              </w:rPr>
              <w:t>在总经理直接领导下，环境部具体落实企业的各项环保工作。</w:t>
            </w:r>
            <w:bookmarkEnd w:id="311"/>
            <w:bookmarkEnd w:id="312"/>
            <w:bookmarkEnd w:id="313"/>
            <w:bookmarkEnd w:id="314"/>
          </w:p>
          <w:p w14:paraId="64E44D7D">
            <w:pPr>
              <w:keepNext/>
              <w:wordWrap w:val="0"/>
              <w:topLinePunct/>
              <w:adjustRightInd w:val="0"/>
              <w:snapToGrid w:val="0"/>
              <w:spacing w:line="360" w:lineRule="auto"/>
              <w:ind w:firstLine="480" w:firstLineChars="200"/>
              <w:rPr>
                <w:rFonts w:hint="default" w:ascii="Times New Roman" w:hAnsi="Times New Roman" w:cs="Times New Roman"/>
                <w:color w:val="auto"/>
                <w:sz w:val="24"/>
              </w:rPr>
            </w:pPr>
            <w:bookmarkStart w:id="315" w:name="_Toc31450"/>
            <w:bookmarkStart w:id="316" w:name="_Toc30915"/>
            <w:bookmarkStart w:id="317" w:name="_Toc5710"/>
            <w:bookmarkStart w:id="318" w:name="_Toc14528"/>
            <w:r>
              <w:rPr>
                <w:rFonts w:hint="default" w:ascii="Times New Roman" w:hAnsi="Times New Roman" w:cs="Times New Roman"/>
                <w:color w:val="auto"/>
                <w:sz w:val="24"/>
              </w:rPr>
              <w:t>（2）环境部环境管理基本职责</w:t>
            </w:r>
            <w:bookmarkEnd w:id="315"/>
            <w:bookmarkEnd w:id="316"/>
            <w:bookmarkEnd w:id="317"/>
            <w:bookmarkEnd w:id="318"/>
          </w:p>
          <w:p w14:paraId="5AA67020">
            <w:pPr>
              <w:keepNext/>
              <w:wordWrap w:val="0"/>
              <w:topLinePunct/>
              <w:adjustRightInd w:val="0"/>
              <w:snapToGrid w:val="0"/>
              <w:spacing w:line="360" w:lineRule="auto"/>
              <w:ind w:firstLine="480" w:firstLineChars="200"/>
              <w:rPr>
                <w:rFonts w:hint="default" w:ascii="Times New Roman" w:hAnsi="Times New Roman" w:cs="Times New Roman"/>
                <w:color w:val="auto"/>
                <w:sz w:val="24"/>
              </w:rPr>
            </w:pPr>
            <w:bookmarkStart w:id="319" w:name="_Toc15125"/>
            <w:bookmarkStart w:id="320" w:name="_Toc32177"/>
            <w:bookmarkStart w:id="321" w:name="_Toc10580"/>
            <w:bookmarkStart w:id="322" w:name="_Toc9445"/>
            <w:r>
              <w:rPr>
                <w:rFonts w:hint="default" w:ascii="Times New Roman" w:hAnsi="Times New Roman" w:cs="Times New Roman"/>
                <w:color w:val="auto"/>
                <w:sz w:val="24"/>
              </w:rPr>
              <w:t>①负责在内部贯彻执行国家及地方政府、环境保护部门的有关法律、法规、环保标准、条例和办法等；制定和推行环保考核制度和办法。</w:t>
            </w:r>
            <w:bookmarkEnd w:id="319"/>
            <w:bookmarkEnd w:id="320"/>
            <w:bookmarkEnd w:id="321"/>
            <w:bookmarkEnd w:id="322"/>
          </w:p>
          <w:p w14:paraId="59BA5F79">
            <w:pPr>
              <w:keepNext/>
              <w:wordWrap w:val="0"/>
              <w:topLinePunct/>
              <w:adjustRightInd w:val="0"/>
              <w:snapToGrid w:val="0"/>
              <w:spacing w:line="360" w:lineRule="auto"/>
              <w:ind w:firstLine="480" w:firstLineChars="200"/>
              <w:rPr>
                <w:rFonts w:hint="default" w:ascii="Times New Roman" w:hAnsi="Times New Roman" w:cs="Times New Roman"/>
                <w:color w:val="auto"/>
                <w:sz w:val="24"/>
              </w:rPr>
            </w:pPr>
            <w:bookmarkStart w:id="323" w:name="_Toc19131"/>
            <w:bookmarkStart w:id="324" w:name="_Toc7964"/>
            <w:bookmarkStart w:id="325" w:name="_Toc25883"/>
            <w:bookmarkStart w:id="326" w:name="_Toc20686"/>
            <w:r>
              <w:rPr>
                <w:rFonts w:hint="default" w:ascii="Times New Roman" w:hAnsi="Times New Roman" w:cs="Times New Roman"/>
                <w:color w:val="auto"/>
                <w:sz w:val="24"/>
              </w:rPr>
              <w:t>②制定公司环境方针，确定目标指标，制定年度环境管理方案，监督落实，实现持续改进。</w:t>
            </w:r>
            <w:bookmarkEnd w:id="323"/>
            <w:bookmarkEnd w:id="324"/>
            <w:bookmarkEnd w:id="325"/>
            <w:bookmarkEnd w:id="326"/>
          </w:p>
          <w:p w14:paraId="45811F3A">
            <w:pPr>
              <w:keepNext/>
              <w:wordWrap w:val="0"/>
              <w:topLinePunct/>
              <w:adjustRightInd w:val="0"/>
              <w:snapToGrid w:val="0"/>
              <w:spacing w:line="360" w:lineRule="auto"/>
              <w:ind w:firstLine="480" w:firstLineChars="200"/>
              <w:rPr>
                <w:rFonts w:hint="default" w:ascii="Times New Roman" w:hAnsi="Times New Roman" w:cs="Times New Roman"/>
                <w:color w:val="auto"/>
                <w:sz w:val="24"/>
              </w:rPr>
            </w:pPr>
            <w:bookmarkStart w:id="327" w:name="_Toc18262"/>
            <w:bookmarkStart w:id="328" w:name="_Toc8634"/>
            <w:bookmarkStart w:id="329" w:name="_Toc14066"/>
            <w:bookmarkStart w:id="330" w:name="_Toc5757"/>
            <w:r>
              <w:rPr>
                <w:rFonts w:hint="default" w:ascii="Times New Roman" w:hAnsi="Times New Roman" w:cs="Times New Roman"/>
                <w:color w:val="auto"/>
                <w:sz w:val="24"/>
              </w:rPr>
              <w:t>③推行清洁生产工作，对各工序进行清洁生产企业内部审核，不断提高清洁生产水平。</w:t>
            </w:r>
            <w:bookmarkEnd w:id="327"/>
            <w:bookmarkEnd w:id="328"/>
            <w:bookmarkEnd w:id="329"/>
            <w:bookmarkEnd w:id="330"/>
          </w:p>
          <w:p w14:paraId="73534AB6">
            <w:pPr>
              <w:keepNext/>
              <w:wordWrap w:val="0"/>
              <w:topLinePunct/>
              <w:adjustRightInd w:val="0"/>
              <w:snapToGrid w:val="0"/>
              <w:spacing w:line="360" w:lineRule="auto"/>
              <w:ind w:firstLine="480" w:firstLineChars="200"/>
              <w:rPr>
                <w:rFonts w:hint="default" w:ascii="Times New Roman" w:hAnsi="Times New Roman" w:cs="Times New Roman"/>
                <w:color w:val="auto"/>
                <w:sz w:val="24"/>
              </w:rPr>
            </w:pPr>
            <w:bookmarkStart w:id="331" w:name="_Toc2871"/>
            <w:bookmarkStart w:id="332" w:name="_Toc7778"/>
            <w:bookmarkStart w:id="333" w:name="_Toc22077"/>
            <w:bookmarkStart w:id="334" w:name="_Toc6315"/>
            <w:r>
              <w:rPr>
                <w:rFonts w:hint="default" w:ascii="Times New Roman" w:hAnsi="Times New Roman" w:cs="Times New Roman"/>
                <w:color w:val="auto"/>
                <w:sz w:val="24"/>
              </w:rPr>
              <w:t>④推广使用环保新技术、新工艺、新材料。</w:t>
            </w:r>
            <w:bookmarkEnd w:id="331"/>
            <w:bookmarkEnd w:id="332"/>
            <w:bookmarkEnd w:id="333"/>
            <w:bookmarkEnd w:id="334"/>
          </w:p>
          <w:p w14:paraId="2FFCA66D">
            <w:pPr>
              <w:keepNext/>
              <w:wordWrap w:val="0"/>
              <w:topLinePunct/>
              <w:adjustRightInd w:val="0"/>
              <w:snapToGrid w:val="0"/>
              <w:spacing w:line="360" w:lineRule="auto"/>
              <w:ind w:firstLine="480" w:firstLineChars="200"/>
              <w:rPr>
                <w:rFonts w:hint="default" w:ascii="Times New Roman" w:hAnsi="Times New Roman" w:cs="Times New Roman"/>
                <w:color w:val="auto"/>
                <w:sz w:val="24"/>
              </w:rPr>
            </w:pPr>
            <w:bookmarkStart w:id="335" w:name="_Toc18663"/>
            <w:bookmarkStart w:id="336" w:name="_Toc8477"/>
            <w:bookmarkStart w:id="337" w:name="_Toc11545"/>
            <w:bookmarkStart w:id="338" w:name="_Toc3303"/>
            <w:r>
              <w:rPr>
                <w:rFonts w:hint="default" w:ascii="Times New Roman" w:hAnsi="Times New Roman" w:cs="Times New Roman"/>
                <w:color w:val="auto"/>
                <w:sz w:val="24"/>
              </w:rPr>
              <w:t>⑤进行环保宣传、环保培训及总结交流经验。</w:t>
            </w:r>
            <w:bookmarkEnd w:id="335"/>
            <w:bookmarkEnd w:id="336"/>
            <w:bookmarkEnd w:id="337"/>
            <w:bookmarkEnd w:id="338"/>
          </w:p>
          <w:p w14:paraId="6FC6A421">
            <w:pPr>
              <w:keepNext/>
              <w:wordWrap w:val="0"/>
              <w:topLinePunct/>
              <w:adjustRightInd w:val="0"/>
              <w:snapToGrid w:val="0"/>
              <w:spacing w:line="360" w:lineRule="auto"/>
              <w:ind w:firstLine="480" w:firstLineChars="200"/>
              <w:rPr>
                <w:rFonts w:hint="default" w:ascii="Times New Roman" w:hAnsi="Times New Roman" w:cs="Times New Roman"/>
                <w:color w:val="auto"/>
                <w:sz w:val="24"/>
              </w:rPr>
            </w:pPr>
            <w:bookmarkStart w:id="339" w:name="_Toc20021"/>
            <w:bookmarkStart w:id="340" w:name="_Toc17154"/>
            <w:bookmarkStart w:id="341" w:name="_Toc22736"/>
            <w:bookmarkStart w:id="342" w:name="_Toc5647"/>
            <w:r>
              <w:rPr>
                <w:rFonts w:hint="default" w:ascii="Times New Roman" w:hAnsi="Times New Roman" w:cs="Times New Roman"/>
                <w:color w:val="auto"/>
                <w:sz w:val="24"/>
              </w:rPr>
              <w:t>⑥环保设施的运行监督管理。</w:t>
            </w:r>
            <w:bookmarkEnd w:id="339"/>
            <w:bookmarkEnd w:id="340"/>
            <w:bookmarkEnd w:id="341"/>
            <w:bookmarkEnd w:id="342"/>
          </w:p>
          <w:p w14:paraId="64026FF1">
            <w:pPr>
              <w:keepNext/>
              <w:wordWrap w:val="0"/>
              <w:topLinePunct/>
              <w:adjustRightInd w:val="0"/>
              <w:snapToGrid w:val="0"/>
              <w:spacing w:line="360" w:lineRule="auto"/>
              <w:ind w:firstLine="480" w:firstLineChars="200"/>
              <w:rPr>
                <w:rFonts w:hint="default" w:ascii="Times New Roman" w:hAnsi="Times New Roman" w:cs="Times New Roman"/>
                <w:color w:val="auto"/>
                <w:sz w:val="24"/>
              </w:rPr>
            </w:pPr>
            <w:bookmarkStart w:id="343" w:name="_Toc13074"/>
            <w:bookmarkStart w:id="344" w:name="_Toc27083"/>
            <w:bookmarkStart w:id="345" w:name="_Toc12694"/>
            <w:bookmarkStart w:id="346" w:name="_Toc26583"/>
            <w:r>
              <w:rPr>
                <w:rFonts w:hint="default" w:ascii="Times New Roman" w:hAnsi="Times New Roman" w:cs="Times New Roman"/>
                <w:color w:val="auto"/>
                <w:sz w:val="24"/>
              </w:rPr>
              <w:t>⑦严格监督项目建设过程中环保“三同时”制度的落实；项目建成后做好竣工验收准备工作，使建设项目环境保护达到环保部门的“三同时”验收有关要求。</w:t>
            </w:r>
            <w:bookmarkEnd w:id="343"/>
            <w:bookmarkEnd w:id="344"/>
            <w:bookmarkEnd w:id="345"/>
            <w:bookmarkEnd w:id="346"/>
          </w:p>
          <w:p w14:paraId="1F504885">
            <w:pPr>
              <w:keepNext/>
              <w:keepLines/>
              <w:numPr>
                <w:ilvl w:val="2"/>
                <w:numId w:val="0"/>
              </w:numPr>
              <w:tabs>
                <w:tab w:val="left" w:pos="900"/>
              </w:tabs>
              <w:wordWrap w:val="0"/>
              <w:topLinePunct/>
              <w:adjustRightInd w:val="0"/>
              <w:snapToGrid w:val="0"/>
              <w:spacing w:before="113" w:beforeLines="30" w:after="264" w:afterLines="70"/>
              <w:jc w:val="left"/>
              <w:outlineLvl w:val="1"/>
              <w:rPr>
                <w:rFonts w:hint="default" w:ascii="Times New Roman" w:hAnsi="Times New Roman" w:eastAsia="黑体" w:cs="Times New Roman"/>
                <w:color w:val="auto"/>
                <w:sz w:val="30"/>
                <w:szCs w:val="30"/>
              </w:rPr>
            </w:pPr>
            <w:bookmarkStart w:id="347" w:name="_Toc9825"/>
            <w:bookmarkStart w:id="348" w:name="_Toc199"/>
            <w:bookmarkStart w:id="349" w:name="_Toc16636"/>
            <w:bookmarkStart w:id="350" w:name="_Toc23872"/>
            <w:bookmarkStart w:id="351" w:name="_Toc28438"/>
            <w:bookmarkStart w:id="352" w:name="_Toc21688"/>
            <w:bookmarkStart w:id="353" w:name="_Toc2904"/>
            <w:bookmarkStart w:id="354" w:name="_Toc27377"/>
            <w:r>
              <w:rPr>
                <w:rFonts w:hint="default" w:ascii="Times New Roman" w:hAnsi="Times New Roman" w:eastAsia="黑体" w:cs="Times New Roman"/>
                <w:color w:val="auto"/>
                <w:sz w:val="30"/>
                <w:szCs w:val="30"/>
              </w:rPr>
              <w:t>5.2排污口规范化</w:t>
            </w:r>
            <w:bookmarkEnd w:id="347"/>
            <w:bookmarkEnd w:id="348"/>
            <w:bookmarkEnd w:id="349"/>
            <w:bookmarkEnd w:id="350"/>
            <w:bookmarkEnd w:id="351"/>
            <w:bookmarkEnd w:id="352"/>
            <w:bookmarkEnd w:id="353"/>
            <w:bookmarkEnd w:id="354"/>
          </w:p>
          <w:p w14:paraId="29378C7C">
            <w:pPr>
              <w:pStyle w:val="10"/>
              <w:wordWrap w:val="0"/>
              <w:topLinePunct/>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建设污染防治措施时，应在各污染源排放口设置专项图标，执行《环境图形标准排污口（源）》（GB15563.1-1995）及《危险废物识别标志设置技术规范》(HJ1276-2022)，标志牌应设在与之功能相应的醒目处，并保持清晰、完整。排气筒预留监测口，以便开展自行监测和环保部门监督检查。</w:t>
            </w:r>
          </w:p>
          <w:bookmarkEnd w:id="298"/>
          <w:p w14:paraId="084ED654">
            <w:pPr>
              <w:pStyle w:val="122"/>
              <w:wordWrap w:val="0"/>
              <w:topLinePunct/>
              <w:spacing w:after="75" w:afterLines="20"/>
              <w:rPr>
                <w:rFonts w:hint="default" w:ascii="Times New Roman" w:hAnsi="Times New Roman" w:cs="Times New Roman"/>
                <w:b w:val="0"/>
                <w:bCs/>
                <w:color w:val="auto"/>
              </w:rPr>
            </w:pPr>
            <w:bookmarkStart w:id="355" w:name="_Toc16168_WPSOffice_Level2"/>
            <w:bookmarkStart w:id="356" w:name="_Toc420917033"/>
            <w:bookmarkStart w:id="357" w:name="_Toc423445514"/>
            <w:bookmarkStart w:id="358" w:name="_Toc451267908"/>
            <w:bookmarkStart w:id="359" w:name="_Toc22951"/>
            <w:bookmarkStart w:id="360" w:name="_Toc437264842"/>
            <w:bookmarkStart w:id="361" w:name="_Toc444769091"/>
            <w:bookmarkStart w:id="362" w:name="_Toc435454791"/>
            <w:bookmarkStart w:id="363" w:name="_Toc452713578"/>
            <w:bookmarkStart w:id="364" w:name="_Toc29917"/>
            <w:bookmarkStart w:id="365" w:name="_Toc437158510"/>
            <w:bookmarkStart w:id="366" w:name="_Toc426099486"/>
            <w:bookmarkStart w:id="367" w:name="_Toc451166673"/>
            <w:bookmarkStart w:id="368" w:name="_Toc446427761"/>
            <w:r>
              <w:rPr>
                <w:rFonts w:hint="default" w:ascii="Times New Roman" w:hAnsi="Times New Roman" w:cs="Times New Roman"/>
                <w:b w:val="0"/>
                <w:bCs/>
                <w:color w:val="auto"/>
              </w:rPr>
              <w:t>表5.2-1  各排污口（源）标志牌设置示意图</w:t>
            </w:r>
            <w:bookmarkEnd w:id="355"/>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1"/>
              <w:gridCol w:w="1544"/>
              <w:gridCol w:w="1503"/>
              <w:gridCol w:w="1414"/>
              <w:gridCol w:w="1712"/>
              <w:gridCol w:w="1732"/>
            </w:tblGrid>
            <w:tr w14:paraId="79171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331" w:type="pct"/>
                  <w:tcBorders>
                    <w:tl2br w:val="nil"/>
                    <w:tr2bl w:val="nil"/>
                  </w:tcBorders>
                  <w:vAlign w:val="center"/>
                </w:tcPr>
                <w:p w14:paraId="7A378AE6">
                  <w:pPr>
                    <w:pStyle w:val="91"/>
                    <w:wordWrap w:val="0"/>
                    <w:topLinePunct/>
                    <w:snapToGrid w:val="0"/>
                    <w:rPr>
                      <w:rFonts w:hint="default" w:ascii="Times New Roman" w:hAnsi="Times New Roman" w:cs="Times New Roman"/>
                      <w:color w:val="auto"/>
                    </w:rPr>
                  </w:pPr>
                  <w:r>
                    <w:rPr>
                      <w:rFonts w:hint="default" w:ascii="Times New Roman" w:hAnsi="Times New Roman" w:cs="Times New Roman"/>
                      <w:color w:val="auto"/>
                    </w:rPr>
                    <w:t>名称</w:t>
                  </w:r>
                </w:p>
              </w:tc>
              <w:tc>
                <w:tcPr>
                  <w:tcW w:w="911" w:type="pct"/>
                  <w:tcBorders>
                    <w:tl2br w:val="nil"/>
                    <w:tr2bl w:val="nil"/>
                  </w:tcBorders>
                  <w:vAlign w:val="center"/>
                </w:tcPr>
                <w:p w14:paraId="7AFC1C4A">
                  <w:pPr>
                    <w:pStyle w:val="91"/>
                    <w:wordWrap w:val="0"/>
                    <w:topLinePunct/>
                    <w:snapToGrid w:val="0"/>
                    <w:rPr>
                      <w:rFonts w:hint="default" w:ascii="Times New Roman" w:hAnsi="Times New Roman" w:cs="Times New Roman"/>
                      <w:color w:val="auto"/>
                    </w:rPr>
                  </w:pPr>
                  <w:r>
                    <w:rPr>
                      <w:rFonts w:hint="default" w:ascii="Times New Roman" w:hAnsi="Times New Roman" w:cs="Times New Roman"/>
                      <w:color w:val="auto"/>
                    </w:rPr>
                    <w:t>废水排放口</w:t>
                  </w:r>
                </w:p>
              </w:tc>
              <w:tc>
                <w:tcPr>
                  <w:tcW w:w="887" w:type="pct"/>
                  <w:tcBorders>
                    <w:tl2br w:val="nil"/>
                    <w:tr2bl w:val="nil"/>
                  </w:tcBorders>
                  <w:vAlign w:val="center"/>
                </w:tcPr>
                <w:p w14:paraId="29E660FA">
                  <w:pPr>
                    <w:pStyle w:val="91"/>
                    <w:wordWrap w:val="0"/>
                    <w:topLinePunct/>
                    <w:snapToGrid w:val="0"/>
                    <w:rPr>
                      <w:rFonts w:hint="default" w:ascii="Times New Roman" w:hAnsi="Times New Roman" w:cs="Times New Roman"/>
                      <w:color w:val="auto"/>
                    </w:rPr>
                  </w:pPr>
                  <w:r>
                    <w:rPr>
                      <w:rFonts w:hint="default" w:ascii="Times New Roman" w:hAnsi="Times New Roman" w:cs="Times New Roman"/>
                      <w:color w:val="auto"/>
                    </w:rPr>
                    <w:t>废气排放口</w:t>
                  </w:r>
                </w:p>
              </w:tc>
              <w:tc>
                <w:tcPr>
                  <w:tcW w:w="835" w:type="pct"/>
                  <w:tcBorders>
                    <w:tl2br w:val="nil"/>
                    <w:tr2bl w:val="nil"/>
                  </w:tcBorders>
                  <w:vAlign w:val="center"/>
                </w:tcPr>
                <w:p w14:paraId="3C09473B">
                  <w:pPr>
                    <w:pStyle w:val="91"/>
                    <w:wordWrap w:val="0"/>
                    <w:topLinePunct/>
                    <w:snapToGrid w:val="0"/>
                    <w:rPr>
                      <w:rFonts w:hint="default" w:ascii="Times New Roman" w:hAnsi="Times New Roman" w:cs="Times New Roman"/>
                      <w:color w:val="auto"/>
                    </w:rPr>
                  </w:pPr>
                  <w:r>
                    <w:rPr>
                      <w:rFonts w:hint="default" w:ascii="Times New Roman" w:hAnsi="Times New Roman" w:cs="Times New Roman"/>
                      <w:color w:val="auto"/>
                    </w:rPr>
                    <w:t>噪声排放源</w:t>
                  </w:r>
                </w:p>
              </w:tc>
              <w:tc>
                <w:tcPr>
                  <w:tcW w:w="1011" w:type="pct"/>
                  <w:tcBorders>
                    <w:tl2br w:val="nil"/>
                    <w:tr2bl w:val="nil"/>
                  </w:tcBorders>
                  <w:vAlign w:val="center"/>
                </w:tcPr>
                <w:p w14:paraId="28A50434">
                  <w:pPr>
                    <w:pStyle w:val="91"/>
                    <w:wordWrap w:val="0"/>
                    <w:topLinePunct/>
                    <w:snapToGrid w:val="0"/>
                    <w:rPr>
                      <w:rFonts w:hint="default" w:ascii="Times New Roman" w:hAnsi="Times New Roman" w:cs="Times New Roman"/>
                      <w:color w:val="auto"/>
                    </w:rPr>
                  </w:pPr>
                  <w:r>
                    <w:rPr>
                      <w:rFonts w:hint="default" w:ascii="Times New Roman" w:hAnsi="Times New Roman" w:cs="Times New Roman"/>
                      <w:color w:val="auto"/>
                    </w:rPr>
                    <w:t>一般固体废物</w:t>
                  </w:r>
                </w:p>
              </w:tc>
              <w:tc>
                <w:tcPr>
                  <w:tcW w:w="1022" w:type="pct"/>
                  <w:tcBorders>
                    <w:tl2br w:val="nil"/>
                    <w:tr2bl w:val="nil"/>
                  </w:tcBorders>
                  <w:vAlign w:val="center"/>
                </w:tcPr>
                <w:p w14:paraId="48DC80C3">
                  <w:pPr>
                    <w:pStyle w:val="91"/>
                    <w:wordWrap w:val="0"/>
                    <w:topLinePunct/>
                    <w:snapToGrid w:val="0"/>
                    <w:rPr>
                      <w:rFonts w:hint="default" w:ascii="Times New Roman" w:hAnsi="Times New Roman" w:cs="Times New Roman"/>
                      <w:color w:val="auto"/>
                    </w:rPr>
                  </w:pPr>
                  <w:r>
                    <w:rPr>
                      <w:rFonts w:hint="default" w:ascii="Times New Roman" w:hAnsi="Times New Roman" w:cs="Times New Roman"/>
                      <w:color w:val="auto"/>
                    </w:rPr>
                    <w:t>危险废物</w:t>
                  </w:r>
                </w:p>
              </w:tc>
            </w:tr>
            <w:tr w14:paraId="468DE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9" w:hRule="atLeast"/>
                <w:jc w:val="center"/>
              </w:trPr>
              <w:tc>
                <w:tcPr>
                  <w:tcW w:w="331" w:type="pct"/>
                  <w:tcBorders>
                    <w:tl2br w:val="nil"/>
                    <w:tr2bl w:val="nil"/>
                  </w:tcBorders>
                  <w:vAlign w:val="center"/>
                </w:tcPr>
                <w:p w14:paraId="07651837">
                  <w:pPr>
                    <w:pStyle w:val="91"/>
                    <w:wordWrap w:val="0"/>
                    <w:topLinePunct/>
                    <w:snapToGrid w:val="0"/>
                    <w:rPr>
                      <w:rFonts w:hint="default" w:ascii="Times New Roman" w:hAnsi="Times New Roman" w:cs="Times New Roman"/>
                      <w:color w:val="auto"/>
                    </w:rPr>
                  </w:pPr>
                  <w:r>
                    <w:rPr>
                      <w:rFonts w:hint="default" w:ascii="Times New Roman" w:hAnsi="Times New Roman" w:cs="Times New Roman"/>
                      <w:color w:val="auto"/>
                    </w:rPr>
                    <w:t>提示图形符号</w:t>
                  </w:r>
                </w:p>
              </w:tc>
              <w:tc>
                <w:tcPr>
                  <w:tcW w:w="911" w:type="pct"/>
                  <w:tcBorders>
                    <w:tl2br w:val="nil"/>
                    <w:tr2bl w:val="nil"/>
                  </w:tcBorders>
                  <w:vAlign w:val="center"/>
                </w:tcPr>
                <w:p w14:paraId="1ABBE04C">
                  <w:pPr>
                    <w:pStyle w:val="91"/>
                    <w:wordWrap w:val="0"/>
                    <w:topLinePunct/>
                    <w:snapToGrid w:val="0"/>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731520" cy="708660"/>
                        <wp:effectExtent l="0" t="0" r="11430" b="15240"/>
                        <wp:docPr id="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pic:cNvPicPr>
                                  <a:picLocks noChangeAspect="1"/>
                                </pic:cNvPicPr>
                              </pic:nvPicPr>
                              <pic:blipFill>
                                <a:blip r:embed="rId31"/>
                                <a:stretch>
                                  <a:fillRect/>
                                </a:stretch>
                              </pic:blipFill>
                              <pic:spPr>
                                <a:xfrm>
                                  <a:off x="0" y="0"/>
                                  <a:ext cx="731520" cy="708660"/>
                                </a:xfrm>
                                <a:prstGeom prst="rect">
                                  <a:avLst/>
                                </a:prstGeom>
                                <a:noFill/>
                                <a:ln>
                                  <a:noFill/>
                                </a:ln>
                              </pic:spPr>
                            </pic:pic>
                          </a:graphicData>
                        </a:graphic>
                      </wp:inline>
                    </w:drawing>
                  </w:r>
                </w:p>
              </w:tc>
              <w:tc>
                <w:tcPr>
                  <w:tcW w:w="887" w:type="pct"/>
                  <w:tcBorders>
                    <w:tl2br w:val="nil"/>
                    <w:tr2bl w:val="nil"/>
                  </w:tcBorders>
                  <w:vAlign w:val="center"/>
                </w:tcPr>
                <w:p w14:paraId="53BAE402">
                  <w:pPr>
                    <w:pStyle w:val="91"/>
                    <w:wordWrap w:val="0"/>
                    <w:topLinePunct/>
                    <w:snapToGrid w:val="0"/>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708660" cy="693420"/>
                        <wp:effectExtent l="0" t="0" r="15240" b="11430"/>
                        <wp:docPr id="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
                                <pic:cNvPicPr>
                                  <a:picLocks noChangeAspect="1"/>
                                </pic:cNvPicPr>
                              </pic:nvPicPr>
                              <pic:blipFill>
                                <a:blip r:embed="rId32"/>
                                <a:stretch>
                                  <a:fillRect/>
                                </a:stretch>
                              </pic:blipFill>
                              <pic:spPr>
                                <a:xfrm>
                                  <a:off x="0" y="0"/>
                                  <a:ext cx="708660" cy="693420"/>
                                </a:xfrm>
                                <a:prstGeom prst="rect">
                                  <a:avLst/>
                                </a:prstGeom>
                                <a:noFill/>
                                <a:ln>
                                  <a:noFill/>
                                </a:ln>
                              </pic:spPr>
                            </pic:pic>
                          </a:graphicData>
                        </a:graphic>
                      </wp:inline>
                    </w:drawing>
                  </w:r>
                </w:p>
              </w:tc>
              <w:tc>
                <w:tcPr>
                  <w:tcW w:w="835" w:type="pct"/>
                  <w:tcBorders>
                    <w:tl2br w:val="nil"/>
                    <w:tr2bl w:val="nil"/>
                  </w:tcBorders>
                  <w:vAlign w:val="center"/>
                </w:tcPr>
                <w:p w14:paraId="4E5BC4E9">
                  <w:pPr>
                    <w:pStyle w:val="91"/>
                    <w:wordWrap w:val="0"/>
                    <w:topLinePunct/>
                    <w:snapToGrid w:val="0"/>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723900" cy="693420"/>
                        <wp:effectExtent l="0" t="0" r="0" b="11430"/>
                        <wp:docPr id="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9"/>
                                <pic:cNvPicPr>
                                  <a:picLocks noChangeAspect="1"/>
                                </pic:cNvPicPr>
                              </pic:nvPicPr>
                              <pic:blipFill>
                                <a:blip r:embed="rId33"/>
                                <a:stretch>
                                  <a:fillRect/>
                                </a:stretch>
                              </pic:blipFill>
                              <pic:spPr>
                                <a:xfrm>
                                  <a:off x="0" y="0"/>
                                  <a:ext cx="723900" cy="693420"/>
                                </a:xfrm>
                                <a:prstGeom prst="rect">
                                  <a:avLst/>
                                </a:prstGeom>
                                <a:noFill/>
                                <a:ln>
                                  <a:noFill/>
                                </a:ln>
                              </pic:spPr>
                            </pic:pic>
                          </a:graphicData>
                        </a:graphic>
                      </wp:inline>
                    </w:drawing>
                  </w:r>
                </w:p>
              </w:tc>
              <w:tc>
                <w:tcPr>
                  <w:tcW w:w="1011" w:type="pct"/>
                  <w:tcBorders>
                    <w:tl2br w:val="nil"/>
                    <w:tr2bl w:val="nil"/>
                  </w:tcBorders>
                  <w:vAlign w:val="center"/>
                </w:tcPr>
                <w:p w14:paraId="5101CACD">
                  <w:pPr>
                    <w:pStyle w:val="91"/>
                    <w:wordWrap w:val="0"/>
                    <w:topLinePunct/>
                    <w:snapToGrid w:val="0"/>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762000" cy="723900"/>
                        <wp:effectExtent l="0" t="0" r="0" b="0"/>
                        <wp:docPr id="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0"/>
                                <pic:cNvPicPr>
                                  <a:picLocks noChangeAspect="1"/>
                                </pic:cNvPicPr>
                              </pic:nvPicPr>
                              <pic:blipFill>
                                <a:blip r:embed="rId34"/>
                                <a:stretch>
                                  <a:fillRect/>
                                </a:stretch>
                              </pic:blipFill>
                              <pic:spPr>
                                <a:xfrm>
                                  <a:off x="0" y="0"/>
                                  <a:ext cx="762000" cy="723900"/>
                                </a:xfrm>
                                <a:prstGeom prst="rect">
                                  <a:avLst/>
                                </a:prstGeom>
                                <a:noFill/>
                                <a:ln>
                                  <a:noFill/>
                                </a:ln>
                              </pic:spPr>
                            </pic:pic>
                          </a:graphicData>
                        </a:graphic>
                      </wp:inline>
                    </w:drawing>
                  </w:r>
                </w:p>
              </w:tc>
              <w:tc>
                <w:tcPr>
                  <w:tcW w:w="1022" w:type="pct"/>
                  <w:tcBorders>
                    <w:tl2br w:val="nil"/>
                    <w:tr2bl w:val="nil"/>
                  </w:tcBorders>
                  <w:vAlign w:val="center"/>
                </w:tcPr>
                <w:p w14:paraId="77FDCA26">
                  <w:pPr>
                    <w:pStyle w:val="91"/>
                    <w:wordWrap w:val="0"/>
                    <w:topLinePunct/>
                    <w:snapToGrid w:val="0"/>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836295" cy="749935"/>
                        <wp:effectExtent l="0" t="0" r="1905" b="12065"/>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35"/>
                                <a:stretch>
                                  <a:fillRect/>
                                </a:stretch>
                              </pic:blipFill>
                              <pic:spPr>
                                <a:xfrm>
                                  <a:off x="0" y="0"/>
                                  <a:ext cx="836295" cy="749935"/>
                                </a:xfrm>
                                <a:prstGeom prst="rect">
                                  <a:avLst/>
                                </a:prstGeom>
                                <a:noFill/>
                                <a:ln>
                                  <a:noFill/>
                                </a:ln>
                              </pic:spPr>
                            </pic:pic>
                          </a:graphicData>
                        </a:graphic>
                      </wp:inline>
                    </w:drawing>
                  </w:r>
                </w:p>
              </w:tc>
            </w:tr>
            <w:tr w14:paraId="63016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1" w:hRule="atLeast"/>
                <w:jc w:val="center"/>
              </w:trPr>
              <w:tc>
                <w:tcPr>
                  <w:tcW w:w="331" w:type="pct"/>
                  <w:tcBorders>
                    <w:tl2br w:val="nil"/>
                    <w:tr2bl w:val="nil"/>
                  </w:tcBorders>
                  <w:vAlign w:val="center"/>
                </w:tcPr>
                <w:p w14:paraId="6EDFDC03">
                  <w:pPr>
                    <w:pStyle w:val="91"/>
                    <w:wordWrap w:val="0"/>
                    <w:topLinePunct/>
                    <w:snapToGrid w:val="0"/>
                    <w:rPr>
                      <w:rFonts w:hint="default" w:ascii="Times New Roman" w:hAnsi="Times New Roman" w:cs="Times New Roman"/>
                      <w:color w:val="auto"/>
                    </w:rPr>
                  </w:pPr>
                  <w:r>
                    <w:rPr>
                      <w:rFonts w:hint="default" w:ascii="Times New Roman" w:hAnsi="Times New Roman" w:cs="Times New Roman"/>
                      <w:color w:val="auto"/>
                    </w:rPr>
                    <w:t>功能</w:t>
                  </w:r>
                </w:p>
              </w:tc>
              <w:tc>
                <w:tcPr>
                  <w:tcW w:w="911" w:type="pct"/>
                  <w:tcBorders>
                    <w:tl2br w:val="nil"/>
                    <w:tr2bl w:val="nil"/>
                  </w:tcBorders>
                  <w:vAlign w:val="center"/>
                </w:tcPr>
                <w:p w14:paraId="6D2C2491">
                  <w:pPr>
                    <w:pStyle w:val="91"/>
                    <w:wordWrap w:val="0"/>
                    <w:topLinePunct/>
                    <w:snapToGrid w:val="0"/>
                    <w:jc w:val="both"/>
                    <w:rPr>
                      <w:rFonts w:hint="default" w:ascii="Times New Roman" w:hAnsi="Times New Roman" w:cs="Times New Roman"/>
                      <w:color w:val="auto"/>
                    </w:rPr>
                  </w:pPr>
                  <w:r>
                    <w:rPr>
                      <w:rFonts w:hint="default" w:ascii="Times New Roman" w:hAnsi="Times New Roman" w:cs="Times New Roman"/>
                      <w:color w:val="auto"/>
                    </w:rPr>
                    <w:t>表示污水向水体排放</w:t>
                  </w:r>
                </w:p>
              </w:tc>
              <w:tc>
                <w:tcPr>
                  <w:tcW w:w="887" w:type="pct"/>
                  <w:tcBorders>
                    <w:tl2br w:val="nil"/>
                    <w:tr2bl w:val="nil"/>
                  </w:tcBorders>
                  <w:vAlign w:val="center"/>
                </w:tcPr>
                <w:p w14:paraId="742A5648">
                  <w:pPr>
                    <w:pStyle w:val="91"/>
                    <w:wordWrap w:val="0"/>
                    <w:topLinePunct/>
                    <w:snapToGrid w:val="0"/>
                    <w:jc w:val="both"/>
                    <w:rPr>
                      <w:rFonts w:hint="default" w:ascii="Times New Roman" w:hAnsi="Times New Roman" w:cs="Times New Roman"/>
                      <w:color w:val="auto"/>
                    </w:rPr>
                  </w:pPr>
                  <w:r>
                    <w:rPr>
                      <w:rFonts w:hint="default" w:ascii="Times New Roman" w:hAnsi="Times New Roman" w:cs="Times New Roman"/>
                      <w:color w:val="auto"/>
                    </w:rPr>
                    <w:t>表示废气向大气环境排放</w:t>
                  </w:r>
                </w:p>
              </w:tc>
              <w:tc>
                <w:tcPr>
                  <w:tcW w:w="835" w:type="pct"/>
                  <w:tcBorders>
                    <w:tl2br w:val="nil"/>
                    <w:tr2bl w:val="nil"/>
                  </w:tcBorders>
                  <w:vAlign w:val="center"/>
                </w:tcPr>
                <w:p w14:paraId="6C6B8114">
                  <w:pPr>
                    <w:pStyle w:val="91"/>
                    <w:wordWrap w:val="0"/>
                    <w:topLinePunct/>
                    <w:snapToGrid w:val="0"/>
                    <w:jc w:val="both"/>
                    <w:rPr>
                      <w:rFonts w:hint="default" w:ascii="Times New Roman" w:hAnsi="Times New Roman" w:cs="Times New Roman"/>
                      <w:color w:val="auto"/>
                    </w:rPr>
                  </w:pPr>
                  <w:r>
                    <w:rPr>
                      <w:rFonts w:hint="default" w:ascii="Times New Roman" w:hAnsi="Times New Roman" w:cs="Times New Roman"/>
                      <w:color w:val="auto"/>
                    </w:rPr>
                    <w:t>表示噪声向外环境排放</w:t>
                  </w:r>
                </w:p>
              </w:tc>
              <w:tc>
                <w:tcPr>
                  <w:tcW w:w="1011" w:type="pct"/>
                  <w:tcBorders>
                    <w:tl2br w:val="nil"/>
                    <w:tr2bl w:val="nil"/>
                  </w:tcBorders>
                  <w:vAlign w:val="center"/>
                </w:tcPr>
                <w:p w14:paraId="27758DA3">
                  <w:pPr>
                    <w:pStyle w:val="91"/>
                    <w:wordWrap w:val="0"/>
                    <w:topLinePunct/>
                    <w:snapToGrid w:val="0"/>
                    <w:jc w:val="both"/>
                    <w:rPr>
                      <w:rFonts w:hint="default" w:ascii="Times New Roman" w:hAnsi="Times New Roman" w:cs="Times New Roman"/>
                      <w:color w:val="auto"/>
                    </w:rPr>
                  </w:pPr>
                  <w:r>
                    <w:rPr>
                      <w:rFonts w:hint="default" w:ascii="Times New Roman" w:hAnsi="Times New Roman" w:cs="Times New Roman"/>
                      <w:color w:val="auto"/>
                    </w:rPr>
                    <w:t>表示一般固体废物贮存、处置场</w:t>
                  </w:r>
                </w:p>
              </w:tc>
              <w:tc>
                <w:tcPr>
                  <w:tcW w:w="1022" w:type="pct"/>
                  <w:tcBorders>
                    <w:tl2br w:val="nil"/>
                    <w:tr2bl w:val="nil"/>
                  </w:tcBorders>
                  <w:vAlign w:val="center"/>
                </w:tcPr>
                <w:p w14:paraId="68CE8E6B">
                  <w:pPr>
                    <w:pStyle w:val="91"/>
                    <w:wordWrap w:val="0"/>
                    <w:topLinePunct/>
                    <w:snapToGrid w:val="0"/>
                    <w:jc w:val="both"/>
                    <w:rPr>
                      <w:rFonts w:hint="default" w:ascii="Times New Roman" w:hAnsi="Times New Roman" w:cs="Times New Roman"/>
                      <w:color w:val="auto"/>
                    </w:rPr>
                  </w:pPr>
                  <w:r>
                    <w:rPr>
                      <w:rFonts w:hint="default" w:ascii="Times New Roman" w:hAnsi="Times New Roman" w:cs="Times New Roman"/>
                      <w:color w:val="auto"/>
                    </w:rPr>
                    <w:t>表示危险废物贮存、处置场</w:t>
                  </w:r>
                </w:p>
              </w:tc>
            </w:tr>
            <w:bookmarkEnd w:id="356"/>
            <w:bookmarkEnd w:id="357"/>
            <w:bookmarkEnd w:id="358"/>
            <w:bookmarkEnd w:id="359"/>
            <w:bookmarkEnd w:id="360"/>
            <w:bookmarkEnd w:id="361"/>
            <w:bookmarkEnd w:id="362"/>
            <w:bookmarkEnd w:id="363"/>
            <w:bookmarkEnd w:id="364"/>
            <w:bookmarkEnd w:id="365"/>
            <w:bookmarkEnd w:id="366"/>
            <w:bookmarkEnd w:id="367"/>
            <w:bookmarkEnd w:id="368"/>
          </w:tbl>
          <w:p w14:paraId="17862418">
            <w:pPr>
              <w:keepNext/>
              <w:keepLines/>
              <w:numPr>
                <w:ilvl w:val="2"/>
                <w:numId w:val="0"/>
              </w:numPr>
              <w:tabs>
                <w:tab w:val="left" w:pos="900"/>
              </w:tabs>
              <w:wordWrap w:val="0"/>
              <w:topLinePunct/>
              <w:adjustRightInd w:val="0"/>
              <w:snapToGrid w:val="0"/>
              <w:spacing w:before="264" w:beforeLines="70" w:after="264" w:afterLines="70"/>
              <w:jc w:val="left"/>
              <w:outlineLvl w:val="1"/>
              <w:rPr>
                <w:rFonts w:hint="default" w:ascii="Times New Roman" w:hAnsi="Times New Roman" w:eastAsia="黑体" w:cs="Times New Roman"/>
                <w:color w:val="auto"/>
                <w:sz w:val="30"/>
                <w:szCs w:val="30"/>
              </w:rPr>
            </w:pPr>
            <w:bookmarkStart w:id="369" w:name="_Toc23054"/>
            <w:bookmarkStart w:id="370" w:name="_Toc19750"/>
            <w:bookmarkStart w:id="371" w:name="_Toc10795"/>
            <w:bookmarkStart w:id="372" w:name="_Toc26154"/>
            <w:bookmarkStart w:id="373" w:name="_Toc6834"/>
            <w:bookmarkStart w:id="374" w:name="_Toc9162"/>
            <w:bookmarkStart w:id="375" w:name="_Toc8099"/>
            <w:bookmarkStart w:id="376" w:name="_Toc30609"/>
            <w:bookmarkStart w:id="377" w:name="_Toc23782"/>
            <w:bookmarkStart w:id="378" w:name="_Toc857"/>
            <w:bookmarkStart w:id="379" w:name="_Toc6676"/>
            <w:bookmarkStart w:id="380" w:name="_Toc7886"/>
            <w:bookmarkStart w:id="381" w:name="_Toc28589"/>
            <w:r>
              <w:rPr>
                <w:rFonts w:hint="default" w:ascii="Times New Roman" w:hAnsi="Times New Roman" w:eastAsia="黑体" w:cs="Times New Roman"/>
                <w:color w:val="auto"/>
                <w:sz w:val="30"/>
                <w:szCs w:val="30"/>
              </w:rPr>
              <w:t>5.3排污许可申报</w:t>
            </w:r>
            <w:bookmarkEnd w:id="369"/>
            <w:bookmarkEnd w:id="370"/>
            <w:bookmarkEnd w:id="371"/>
            <w:bookmarkEnd w:id="372"/>
            <w:bookmarkEnd w:id="373"/>
            <w:bookmarkEnd w:id="374"/>
            <w:bookmarkEnd w:id="375"/>
          </w:p>
          <w:p w14:paraId="04966C12">
            <w:pPr>
              <w:adjustRightInd w:val="0"/>
              <w:snapToGrid w:val="0"/>
              <w:spacing w:line="360" w:lineRule="auto"/>
              <w:ind w:firstLine="480" w:firstLineChars="200"/>
              <w:rPr>
                <w:rFonts w:hint="default" w:ascii="Times New Roman" w:hAnsi="Times New Roman" w:cs="Times New Roman"/>
                <w:color w:val="auto"/>
                <w:sz w:val="24"/>
              </w:rPr>
            </w:pPr>
            <w:bookmarkStart w:id="382" w:name="_Toc17377"/>
            <w:bookmarkStart w:id="383" w:name="_Toc16074"/>
            <w:bookmarkStart w:id="384" w:name="_Toc29679"/>
            <w:bookmarkStart w:id="385" w:name="_Toc23484"/>
            <w:bookmarkStart w:id="386" w:name="_Toc26565"/>
            <w:bookmarkStart w:id="387" w:name="_Toc29515"/>
            <w:bookmarkStart w:id="388" w:name="_Toc10630"/>
            <w:bookmarkStart w:id="389" w:name="_Toc20759"/>
            <w:bookmarkStart w:id="390" w:name="_Toc30767"/>
            <w:r>
              <w:rPr>
                <w:rFonts w:hint="default" w:ascii="Times New Roman" w:hAnsi="Times New Roman" w:cs="Times New Roman"/>
                <w:color w:val="auto"/>
                <w:sz w:val="24"/>
              </w:rPr>
              <w:t>根据《排污许可管理办法》（部令第32号）、《排污许可管理条例》（国令第736号）、《固定污染源排污许可分类管理名录（2019年版）》和《关于做好环境影响评价制度与排污许可制衔接相关工作的通知》（环办环评〔2017〕84号），拟建项目建成投产前，应向生态环境部门重新申请排污许可证。</w:t>
            </w:r>
          </w:p>
          <w:p w14:paraId="776564FE">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当企业的生产工艺、生产规模、产品种类等因素发生变化，导致污染物排放情况可能发生变化时，企业要及时向环保部门申请变更排污许可证。在排污许可证到期前，企业要提前准备好许可证延续的相关材料，按照规定的程序及时办理许可证延续手续，避免出现无证排污的违法行为。</w:t>
            </w:r>
          </w:p>
          <w:p w14:paraId="56188CAE">
            <w:pPr>
              <w:keepNext/>
              <w:keepLines/>
              <w:numPr>
                <w:ilvl w:val="2"/>
                <w:numId w:val="0"/>
              </w:numPr>
              <w:tabs>
                <w:tab w:val="left" w:pos="900"/>
              </w:tabs>
              <w:wordWrap w:val="0"/>
              <w:topLinePunct/>
              <w:adjustRightInd w:val="0"/>
              <w:snapToGrid w:val="0"/>
              <w:spacing w:before="264" w:beforeLines="70" w:after="264" w:afterLines="70"/>
              <w:jc w:val="left"/>
              <w:outlineLvl w:val="1"/>
              <w:rPr>
                <w:rFonts w:hint="default" w:ascii="Times New Roman" w:hAnsi="Times New Roman" w:eastAsia="黑体" w:cs="Times New Roman"/>
                <w:color w:val="auto"/>
                <w:sz w:val="30"/>
                <w:szCs w:val="30"/>
              </w:rPr>
            </w:pPr>
            <w:bookmarkStart w:id="391" w:name="_Toc12588"/>
            <w:r>
              <w:rPr>
                <w:rFonts w:hint="default" w:ascii="Times New Roman" w:hAnsi="Times New Roman" w:eastAsia="黑体" w:cs="Times New Roman"/>
                <w:color w:val="auto"/>
                <w:sz w:val="30"/>
                <w:szCs w:val="30"/>
              </w:rPr>
              <w:t>5.4环保设施及投资概算</w:t>
            </w:r>
            <w:bookmarkEnd w:id="382"/>
            <w:bookmarkEnd w:id="383"/>
            <w:bookmarkEnd w:id="384"/>
            <w:bookmarkEnd w:id="385"/>
            <w:bookmarkEnd w:id="386"/>
            <w:bookmarkEnd w:id="387"/>
            <w:bookmarkEnd w:id="388"/>
            <w:bookmarkEnd w:id="389"/>
            <w:bookmarkEnd w:id="390"/>
            <w:bookmarkEnd w:id="391"/>
          </w:p>
          <w:p w14:paraId="6467EB89">
            <w:pPr>
              <w:pStyle w:val="2"/>
              <w:wordWrap w:val="0"/>
              <w:topLinePunct/>
              <w:ind w:firstLine="480"/>
              <w:rPr>
                <w:rFonts w:hint="default" w:ascii="Times New Roman" w:hAnsi="Times New Roman" w:cs="Times New Roman"/>
                <w:color w:val="auto"/>
                <w:sz w:val="24"/>
              </w:rPr>
            </w:pPr>
            <w:r>
              <w:rPr>
                <w:rFonts w:hint="default" w:ascii="Times New Roman" w:hAnsi="Times New Roman" w:cs="Times New Roman"/>
                <w:color w:val="auto"/>
                <w:sz w:val="24"/>
              </w:rPr>
              <w:t>项</w:t>
            </w:r>
            <w:r>
              <w:rPr>
                <w:rFonts w:hint="default" w:ascii="Times New Roman" w:hAnsi="Times New Roman" w:cs="Times New Roman"/>
                <w:color w:val="auto"/>
                <w:sz w:val="24"/>
                <w:highlight w:val="none"/>
              </w:rPr>
              <w:t>目总投资</w:t>
            </w:r>
            <w:r>
              <w:rPr>
                <w:rFonts w:hint="default" w:ascii="Times New Roman" w:hAnsi="Times New Roman" w:cs="Times New Roman"/>
                <w:color w:val="auto"/>
                <w:sz w:val="24"/>
                <w:highlight w:val="none"/>
                <w:lang w:val="en-US" w:eastAsia="zh-CN"/>
              </w:rPr>
              <w:t>4192.3</w:t>
            </w:r>
            <w:r>
              <w:rPr>
                <w:rFonts w:hint="default" w:ascii="Times New Roman" w:hAnsi="Times New Roman" w:cs="Times New Roman"/>
                <w:color w:val="auto"/>
                <w:sz w:val="24"/>
                <w:highlight w:val="none"/>
              </w:rPr>
              <w:t>万元，用于环保的费用合计</w:t>
            </w:r>
            <w:r>
              <w:rPr>
                <w:rFonts w:hint="default" w:ascii="Times New Roman" w:hAnsi="Times New Roman" w:cs="Times New Roman"/>
                <w:color w:val="auto"/>
                <w:sz w:val="24"/>
                <w:highlight w:val="none"/>
                <w:lang w:val="en-US" w:eastAsia="zh-CN"/>
              </w:rPr>
              <w:t>99</w:t>
            </w:r>
            <w:r>
              <w:rPr>
                <w:rFonts w:hint="default" w:ascii="Times New Roman" w:hAnsi="Times New Roman" w:cs="Times New Roman"/>
                <w:color w:val="auto"/>
                <w:sz w:val="24"/>
                <w:highlight w:val="none"/>
              </w:rPr>
              <w:t>0万元，约占总投资额的2</w:t>
            </w:r>
            <w:r>
              <w:rPr>
                <w:rFonts w:hint="default" w:ascii="Times New Roman" w:hAnsi="Times New Roman" w:cs="Times New Roman"/>
                <w:color w:val="auto"/>
                <w:sz w:val="24"/>
                <w:highlight w:val="none"/>
                <w:lang w:val="en-US" w:eastAsia="zh-CN"/>
              </w:rPr>
              <w:t>3.6</w:t>
            </w:r>
            <w:r>
              <w:rPr>
                <w:rFonts w:hint="default" w:ascii="Times New Roman" w:hAnsi="Times New Roman" w:cs="Times New Roman"/>
                <w:color w:val="auto"/>
                <w:sz w:val="24"/>
                <w:highlight w:val="none"/>
              </w:rPr>
              <w:t>%，概</w:t>
            </w:r>
            <w:r>
              <w:rPr>
                <w:rFonts w:hint="default" w:ascii="Times New Roman" w:hAnsi="Times New Roman" w:cs="Times New Roman"/>
                <w:color w:val="auto"/>
                <w:sz w:val="24"/>
              </w:rPr>
              <w:t>算见表5.4-1。</w:t>
            </w:r>
          </w:p>
          <w:p w14:paraId="44AE6179">
            <w:pPr>
              <w:pStyle w:val="122"/>
              <w:wordWrap w:val="0"/>
              <w:topLinePunct/>
              <w:spacing w:after="75" w:afterLines="20"/>
              <w:rPr>
                <w:rFonts w:hint="default" w:ascii="Times New Roman" w:hAnsi="Times New Roman" w:cs="Times New Roman"/>
                <w:b w:val="0"/>
                <w:bCs/>
                <w:color w:val="auto"/>
              </w:rPr>
            </w:pPr>
            <w:r>
              <w:rPr>
                <w:rFonts w:hint="default" w:ascii="Times New Roman" w:hAnsi="Times New Roman" w:cs="Times New Roman"/>
                <w:b w:val="0"/>
                <w:bCs/>
                <w:color w:val="auto"/>
              </w:rPr>
              <w:t>表5.4-1  环保投资一览表</w:t>
            </w:r>
          </w:p>
          <w:tbl>
            <w:tblPr>
              <w:tblStyle w:val="35"/>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5"/>
              <w:gridCol w:w="965"/>
              <w:gridCol w:w="5461"/>
              <w:gridCol w:w="1000"/>
            </w:tblGrid>
            <w:tr w14:paraId="379D2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612" w:type="pct"/>
                  <w:tcBorders>
                    <w:tl2br w:val="nil"/>
                    <w:tr2bl w:val="nil"/>
                  </w:tcBorders>
                  <w:vAlign w:val="center"/>
                </w:tcPr>
                <w:p w14:paraId="7375FCB6">
                  <w:pPr>
                    <w:pStyle w:val="2"/>
                    <w:wordWrap w:val="0"/>
                    <w:topLinePunct/>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污染源</w:t>
                  </w:r>
                </w:p>
              </w:tc>
              <w:tc>
                <w:tcPr>
                  <w:tcW w:w="3796" w:type="pct"/>
                  <w:gridSpan w:val="2"/>
                  <w:tcBorders>
                    <w:tl2br w:val="nil"/>
                    <w:tr2bl w:val="nil"/>
                  </w:tcBorders>
                  <w:vAlign w:val="center"/>
                </w:tcPr>
                <w:p w14:paraId="0500C04D">
                  <w:pPr>
                    <w:pStyle w:val="2"/>
                    <w:wordWrap w:val="0"/>
                    <w:topLinePunct/>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治理措施</w:t>
                  </w:r>
                </w:p>
              </w:tc>
              <w:tc>
                <w:tcPr>
                  <w:tcW w:w="591" w:type="pct"/>
                  <w:tcBorders>
                    <w:tl2br w:val="nil"/>
                    <w:tr2bl w:val="nil"/>
                  </w:tcBorders>
                  <w:vAlign w:val="center"/>
                </w:tcPr>
                <w:p w14:paraId="2EA68956">
                  <w:pPr>
                    <w:pStyle w:val="2"/>
                    <w:wordWrap w:val="0"/>
                    <w:topLinePunct/>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投资</w:t>
                  </w:r>
                </w:p>
                <w:p w14:paraId="1E01FD47">
                  <w:pPr>
                    <w:pStyle w:val="2"/>
                    <w:wordWrap w:val="0"/>
                    <w:topLinePunct/>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（万元）</w:t>
                  </w:r>
                </w:p>
              </w:tc>
            </w:tr>
            <w:tr w14:paraId="686BC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612" w:type="pct"/>
                  <w:vMerge w:val="restart"/>
                  <w:tcBorders>
                    <w:tl2br w:val="nil"/>
                    <w:tr2bl w:val="nil"/>
                  </w:tcBorders>
                  <w:vAlign w:val="center"/>
                </w:tcPr>
                <w:p w14:paraId="214D349A">
                  <w:pPr>
                    <w:pStyle w:val="2"/>
                    <w:wordWrap w:val="0"/>
                    <w:topLinePunct/>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废气</w:t>
                  </w:r>
                </w:p>
              </w:tc>
              <w:tc>
                <w:tcPr>
                  <w:tcW w:w="570" w:type="pct"/>
                  <w:vMerge w:val="restart"/>
                  <w:tcBorders>
                    <w:tl2br w:val="nil"/>
                    <w:tr2bl w:val="nil"/>
                  </w:tcBorders>
                  <w:vAlign w:val="center"/>
                </w:tcPr>
                <w:p w14:paraId="2657ECD1">
                  <w:pPr>
                    <w:pStyle w:val="2"/>
                    <w:wordWrap w:val="0"/>
                    <w:topLinePunct/>
                    <w:spacing w:line="240" w:lineRule="auto"/>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4#车间</w:t>
                  </w:r>
                </w:p>
              </w:tc>
              <w:tc>
                <w:tcPr>
                  <w:tcW w:w="3225" w:type="pct"/>
                  <w:tcBorders>
                    <w:tl2br w:val="nil"/>
                    <w:tr2bl w:val="nil"/>
                  </w:tcBorders>
                  <w:vAlign w:val="center"/>
                </w:tcPr>
                <w:p w14:paraId="549916B7">
                  <w:pPr>
                    <w:pStyle w:val="2"/>
                    <w:wordWrap w:val="0"/>
                    <w:topLinePunct/>
                    <w:spacing w:line="240" w:lineRule="auto"/>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剥壳除锈、打磨工序</w:t>
                  </w:r>
                  <w:r>
                    <w:rPr>
                      <w:rFonts w:hint="default" w:ascii="Times New Roman" w:hAnsi="Times New Roman" w:cs="Times New Roman"/>
                      <w:color w:val="auto"/>
                      <w:szCs w:val="21"/>
                      <w:lang w:val="en-US" w:eastAsia="zh-CN"/>
                    </w:rPr>
                    <w:t>自带滤筒</w:t>
                  </w:r>
                  <w:r>
                    <w:rPr>
                      <w:rFonts w:hint="default" w:ascii="Times New Roman" w:hAnsi="Times New Roman" w:cs="Times New Roman"/>
                      <w:color w:val="auto"/>
                      <w:szCs w:val="21"/>
                    </w:rPr>
                    <w:t>除尘器+18m排气筒</w:t>
                  </w:r>
                </w:p>
              </w:tc>
              <w:tc>
                <w:tcPr>
                  <w:tcW w:w="591" w:type="pct"/>
                  <w:tcBorders>
                    <w:tl2br w:val="nil"/>
                    <w:tr2bl w:val="nil"/>
                  </w:tcBorders>
                  <w:vAlign w:val="center"/>
                </w:tcPr>
                <w:p w14:paraId="229F907C">
                  <w:pPr>
                    <w:pStyle w:val="2"/>
                    <w:wordWrap w:val="0"/>
                    <w:topLinePunct/>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50</w:t>
                  </w:r>
                </w:p>
              </w:tc>
            </w:tr>
            <w:tr w14:paraId="62E9E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1" w:hRule="atLeast"/>
                <w:jc w:val="center"/>
              </w:trPr>
              <w:tc>
                <w:tcPr>
                  <w:tcW w:w="612" w:type="pct"/>
                  <w:vMerge w:val="continue"/>
                  <w:tcBorders>
                    <w:tl2br w:val="nil"/>
                    <w:tr2bl w:val="nil"/>
                  </w:tcBorders>
                  <w:vAlign w:val="center"/>
                </w:tcPr>
                <w:p w14:paraId="6D8DEBB2">
                  <w:pPr>
                    <w:pStyle w:val="2"/>
                    <w:wordWrap w:val="0"/>
                    <w:topLinePunct/>
                    <w:spacing w:line="240" w:lineRule="auto"/>
                    <w:ind w:firstLine="0" w:firstLineChars="0"/>
                    <w:jc w:val="center"/>
                    <w:rPr>
                      <w:rFonts w:hint="default" w:ascii="Times New Roman" w:hAnsi="Times New Roman" w:cs="Times New Roman"/>
                      <w:color w:val="auto"/>
                      <w:szCs w:val="21"/>
                    </w:rPr>
                  </w:pPr>
                </w:p>
              </w:tc>
              <w:tc>
                <w:tcPr>
                  <w:tcW w:w="570" w:type="pct"/>
                  <w:vMerge w:val="continue"/>
                  <w:tcBorders>
                    <w:tl2br w:val="nil"/>
                    <w:tr2bl w:val="nil"/>
                  </w:tcBorders>
                  <w:vAlign w:val="center"/>
                </w:tcPr>
                <w:p w14:paraId="2419D63F">
                  <w:pPr>
                    <w:pStyle w:val="2"/>
                    <w:wordWrap w:val="0"/>
                    <w:topLinePunct/>
                    <w:spacing w:line="240" w:lineRule="auto"/>
                    <w:ind w:firstLine="0" w:firstLineChars="0"/>
                    <w:rPr>
                      <w:rFonts w:hint="default" w:ascii="Times New Roman" w:hAnsi="Times New Roman" w:cs="Times New Roman"/>
                      <w:color w:val="auto"/>
                      <w:szCs w:val="21"/>
                    </w:rPr>
                  </w:pPr>
                </w:p>
              </w:tc>
              <w:tc>
                <w:tcPr>
                  <w:tcW w:w="3225" w:type="pct"/>
                  <w:tcBorders>
                    <w:tl2br w:val="nil"/>
                    <w:tr2bl w:val="nil"/>
                  </w:tcBorders>
                  <w:vAlign w:val="center"/>
                </w:tcPr>
                <w:p w14:paraId="2C181D73">
                  <w:pPr>
                    <w:pStyle w:val="64"/>
                    <w:widowControl w:val="0"/>
                    <w:wordWrap w:val="0"/>
                    <w:topLinePunct/>
                    <w:adjustRightInd w:val="0"/>
                    <w:snapToGrid w:val="0"/>
                    <w:jc w:val="both"/>
                    <w:rPr>
                      <w:rFonts w:hint="default" w:ascii="Times New Roman" w:hAnsi="Times New Roman" w:cs="Times New Roman"/>
                      <w:color w:val="auto"/>
                      <w:szCs w:val="21"/>
                    </w:rPr>
                  </w:pPr>
                  <w:r>
                    <w:rPr>
                      <w:rFonts w:hint="default" w:ascii="Times New Roman" w:hAnsi="Times New Roman" w:eastAsia="宋体" w:cs="Times New Roman"/>
                      <w:color w:val="auto"/>
                      <w:szCs w:val="21"/>
                      <w:lang w:bidi="ar"/>
                    </w:rPr>
                    <w:t>表面处理废气全封闭表面处理生产线，各槽上部均安装有密封盖，酸洗过程中产生的酸雾经引风机引入碱液喷淋吸收塔（1用1备）处理后，经18m排气筒排放；盐酸储罐呼吸废气、低位回用酸罐（池）废气、低位废酸罐（池）废气经管道收集，与酸洗槽废气共用1套处理后措施。</w:t>
                  </w:r>
                </w:p>
              </w:tc>
              <w:tc>
                <w:tcPr>
                  <w:tcW w:w="591" w:type="pct"/>
                  <w:tcBorders>
                    <w:tl2br w:val="nil"/>
                    <w:tr2bl w:val="nil"/>
                  </w:tcBorders>
                  <w:vAlign w:val="center"/>
                </w:tcPr>
                <w:p w14:paraId="70C1F727">
                  <w:pPr>
                    <w:pStyle w:val="2"/>
                    <w:wordWrap w:val="0"/>
                    <w:topLinePunct/>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150</w:t>
                  </w:r>
                </w:p>
              </w:tc>
            </w:tr>
            <w:tr w14:paraId="0323D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612" w:type="pct"/>
                  <w:vMerge w:val="continue"/>
                  <w:tcBorders>
                    <w:tl2br w:val="nil"/>
                    <w:tr2bl w:val="nil"/>
                  </w:tcBorders>
                  <w:vAlign w:val="center"/>
                </w:tcPr>
                <w:p w14:paraId="51314B73">
                  <w:pPr>
                    <w:pStyle w:val="2"/>
                    <w:wordWrap w:val="0"/>
                    <w:topLinePunct/>
                    <w:spacing w:line="240" w:lineRule="auto"/>
                    <w:ind w:firstLine="0" w:firstLineChars="0"/>
                    <w:jc w:val="center"/>
                    <w:rPr>
                      <w:rFonts w:hint="default" w:ascii="Times New Roman" w:hAnsi="Times New Roman" w:cs="Times New Roman"/>
                      <w:color w:val="auto"/>
                      <w:szCs w:val="21"/>
                    </w:rPr>
                  </w:pPr>
                </w:p>
              </w:tc>
              <w:tc>
                <w:tcPr>
                  <w:tcW w:w="570" w:type="pct"/>
                  <w:vMerge w:val="continue"/>
                  <w:tcBorders>
                    <w:tl2br w:val="nil"/>
                    <w:tr2bl w:val="nil"/>
                  </w:tcBorders>
                  <w:vAlign w:val="center"/>
                </w:tcPr>
                <w:p w14:paraId="4207DB33">
                  <w:pPr>
                    <w:pStyle w:val="2"/>
                    <w:wordWrap w:val="0"/>
                    <w:topLinePunct/>
                    <w:spacing w:line="240" w:lineRule="auto"/>
                    <w:ind w:firstLine="0" w:firstLineChars="0"/>
                    <w:rPr>
                      <w:rFonts w:hint="default" w:ascii="Times New Roman" w:hAnsi="Times New Roman" w:cs="Times New Roman"/>
                      <w:color w:val="auto"/>
                      <w:szCs w:val="21"/>
                    </w:rPr>
                  </w:pPr>
                </w:p>
              </w:tc>
              <w:tc>
                <w:tcPr>
                  <w:tcW w:w="3225" w:type="pct"/>
                  <w:tcBorders>
                    <w:tl2br w:val="nil"/>
                    <w:tr2bl w:val="nil"/>
                  </w:tcBorders>
                  <w:vAlign w:val="center"/>
                </w:tcPr>
                <w:p w14:paraId="42BC6152">
                  <w:pPr>
                    <w:pStyle w:val="64"/>
                    <w:widowControl w:val="0"/>
                    <w:wordWrap w:val="0"/>
                    <w:topLinePunct/>
                    <w:adjustRightInd w:val="0"/>
                    <w:snapToGrid w:val="0"/>
                    <w:jc w:val="both"/>
                    <w:rPr>
                      <w:rFonts w:hint="default" w:ascii="Times New Roman" w:hAnsi="Times New Roman" w:cs="Times New Roman"/>
                      <w:color w:val="auto"/>
                      <w:szCs w:val="21"/>
                    </w:rPr>
                  </w:pPr>
                  <w:r>
                    <w:rPr>
                      <w:rFonts w:hint="default" w:ascii="Times New Roman" w:hAnsi="Times New Roman" w:eastAsia="宋体" w:cs="Times New Roman"/>
                      <w:color w:val="auto"/>
                      <w:szCs w:val="21"/>
                      <w:lang w:bidi="ar"/>
                    </w:rPr>
                    <w:t>天然气燃烧废气：燃烧废气通过18m排气筒排放。</w:t>
                  </w:r>
                </w:p>
              </w:tc>
              <w:tc>
                <w:tcPr>
                  <w:tcW w:w="591" w:type="pct"/>
                  <w:tcBorders>
                    <w:tl2br w:val="nil"/>
                    <w:tr2bl w:val="nil"/>
                  </w:tcBorders>
                  <w:vAlign w:val="center"/>
                </w:tcPr>
                <w:p w14:paraId="0450F988">
                  <w:pPr>
                    <w:pStyle w:val="2"/>
                    <w:wordWrap w:val="0"/>
                    <w:topLinePunct/>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20</w:t>
                  </w:r>
                </w:p>
              </w:tc>
            </w:tr>
            <w:tr w14:paraId="06FBD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612" w:type="pct"/>
                  <w:vMerge w:val="continue"/>
                  <w:tcBorders>
                    <w:tl2br w:val="nil"/>
                    <w:tr2bl w:val="nil"/>
                  </w:tcBorders>
                  <w:vAlign w:val="center"/>
                </w:tcPr>
                <w:p w14:paraId="5E2FB8F0">
                  <w:pPr>
                    <w:pStyle w:val="2"/>
                    <w:wordWrap w:val="0"/>
                    <w:topLinePunct/>
                    <w:spacing w:line="240" w:lineRule="auto"/>
                    <w:ind w:firstLine="0" w:firstLineChars="0"/>
                    <w:jc w:val="center"/>
                    <w:rPr>
                      <w:rFonts w:hint="default" w:ascii="Times New Roman" w:hAnsi="Times New Roman" w:cs="Times New Roman"/>
                      <w:color w:val="auto"/>
                      <w:szCs w:val="21"/>
                    </w:rPr>
                  </w:pPr>
                </w:p>
              </w:tc>
              <w:tc>
                <w:tcPr>
                  <w:tcW w:w="570" w:type="pct"/>
                  <w:tcBorders>
                    <w:tl2br w:val="nil"/>
                    <w:tr2bl w:val="nil"/>
                  </w:tcBorders>
                  <w:vAlign w:val="center"/>
                </w:tcPr>
                <w:p w14:paraId="21830946">
                  <w:pPr>
                    <w:pStyle w:val="2"/>
                    <w:wordWrap w:val="0"/>
                    <w:topLinePunct/>
                    <w:spacing w:line="240" w:lineRule="auto"/>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1#车间</w:t>
                  </w:r>
                </w:p>
              </w:tc>
              <w:tc>
                <w:tcPr>
                  <w:tcW w:w="3225" w:type="pct"/>
                  <w:tcBorders>
                    <w:tl2br w:val="nil"/>
                    <w:tr2bl w:val="nil"/>
                  </w:tcBorders>
                  <w:vAlign w:val="center"/>
                </w:tcPr>
                <w:p w14:paraId="2070CA31">
                  <w:pPr>
                    <w:pStyle w:val="2"/>
                    <w:wordWrap w:val="0"/>
                    <w:topLinePunct/>
                    <w:spacing w:line="240" w:lineRule="auto"/>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剥壳除锈、打磨工序</w:t>
                  </w:r>
                  <w:r>
                    <w:rPr>
                      <w:rFonts w:hint="default" w:ascii="Times New Roman" w:hAnsi="Times New Roman" w:cs="Times New Roman"/>
                      <w:color w:val="auto"/>
                      <w:szCs w:val="21"/>
                      <w:lang w:val="en-US" w:eastAsia="zh-CN"/>
                    </w:rPr>
                    <w:t>自带滤筒</w:t>
                  </w:r>
                  <w:r>
                    <w:rPr>
                      <w:rFonts w:hint="default" w:ascii="Times New Roman" w:hAnsi="Times New Roman" w:cs="Times New Roman"/>
                      <w:color w:val="auto"/>
                      <w:szCs w:val="21"/>
                    </w:rPr>
                    <w:t>除尘器+18m排气筒</w:t>
                  </w:r>
                </w:p>
              </w:tc>
              <w:tc>
                <w:tcPr>
                  <w:tcW w:w="591" w:type="pct"/>
                  <w:tcBorders>
                    <w:tl2br w:val="nil"/>
                    <w:tr2bl w:val="nil"/>
                  </w:tcBorders>
                  <w:vAlign w:val="center"/>
                </w:tcPr>
                <w:p w14:paraId="2143C177">
                  <w:pPr>
                    <w:pStyle w:val="2"/>
                    <w:wordWrap w:val="0"/>
                    <w:topLinePunct/>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50</w:t>
                  </w:r>
                </w:p>
              </w:tc>
            </w:tr>
            <w:tr w14:paraId="6CDF4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612" w:type="pct"/>
                  <w:vMerge w:val="restart"/>
                  <w:tcBorders>
                    <w:tl2br w:val="nil"/>
                    <w:tr2bl w:val="nil"/>
                  </w:tcBorders>
                  <w:vAlign w:val="center"/>
                </w:tcPr>
                <w:p w14:paraId="30E450DB">
                  <w:pPr>
                    <w:pStyle w:val="2"/>
                    <w:wordWrap w:val="0"/>
                    <w:topLinePunct/>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废水</w:t>
                  </w:r>
                </w:p>
              </w:tc>
              <w:tc>
                <w:tcPr>
                  <w:tcW w:w="3796" w:type="pct"/>
                  <w:gridSpan w:val="2"/>
                  <w:tcBorders>
                    <w:tl2br w:val="nil"/>
                    <w:tr2bl w:val="nil"/>
                  </w:tcBorders>
                  <w:vAlign w:val="center"/>
                </w:tcPr>
                <w:p w14:paraId="1BAE6C65">
                  <w:pPr>
                    <w:pStyle w:val="2"/>
                    <w:wordWrap w:val="0"/>
                    <w:topLinePunct/>
                    <w:spacing w:line="240" w:lineRule="auto"/>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建设设备冷却循环水系统</w:t>
                  </w:r>
                </w:p>
              </w:tc>
              <w:tc>
                <w:tcPr>
                  <w:tcW w:w="591" w:type="pct"/>
                  <w:tcBorders>
                    <w:tl2br w:val="nil"/>
                    <w:tr2bl w:val="nil"/>
                  </w:tcBorders>
                  <w:vAlign w:val="center"/>
                </w:tcPr>
                <w:p w14:paraId="78F5702E">
                  <w:pPr>
                    <w:pStyle w:val="2"/>
                    <w:wordWrap w:val="0"/>
                    <w:topLinePunct/>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100</w:t>
                  </w:r>
                </w:p>
              </w:tc>
            </w:tr>
            <w:tr w14:paraId="76312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612" w:type="pct"/>
                  <w:vMerge w:val="continue"/>
                  <w:tcBorders>
                    <w:tl2br w:val="nil"/>
                    <w:tr2bl w:val="nil"/>
                  </w:tcBorders>
                  <w:vAlign w:val="center"/>
                </w:tcPr>
                <w:p w14:paraId="0B6BAFD7">
                  <w:pPr>
                    <w:pStyle w:val="2"/>
                    <w:wordWrap w:val="0"/>
                    <w:topLinePunct/>
                    <w:spacing w:line="240" w:lineRule="auto"/>
                    <w:ind w:firstLine="0" w:firstLineChars="0"/>
                    <w:jc w:val="center"/>
                    <w:rPr>
                      <w:rFonts w:hint="default" w:ascii="Times New Roman" w:hAnsi="Times New Roman" w:cs="Times New Roman"/>
                      <w:color w:val="auto"/>
                      <w:szCs w:val="21"/>
                    </w:rPr>
                  </w:pPr>
                </w:p>
              </w:tc>
              <w:tc>
                <w:tcPr>
                  <w:tcW w:w="3796" w:type="pct"/>
                  <w:gridSpan w:val="2"/>
                  <w:tcBorders>
                    <w:tl2br w:val="nil"/>
                    <w:tr2bl w:val="nil"/>
                  </w:tcBorders>
                  <w:vAlign w:val="center"/>
                </w:tcPr>
                <w:p w14:paraId="723C79D0">
                  <w:pPr>
                    <w:pStyle w:val="2"/>
                    <w:wordWrap w:val="0"/>
                    <w:topLinePunct/>
                    <w:spacing w:line="240" w:lineRule="auto"/>
                    <w:ind w:firstLine="0" w:firstLineChars="0"/>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建设厂区污水处理站</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初期雨水池、事故应急池</w:t>
                  </w:r>
                </w:p>
              </w:tc>
              <w:tc>
                <w:tcPr>
                  <w:tcW w:w="591" w:type="pct"/>
                  <w:tcBorders>
                    <w:tl2br w:val="nil"/>
                    <w:tr2bl w:val="nil"/>
                  </w:tcBorders>
                  <w:vAlign w:val="center"/>
                </w:tcPr>
                <w:p w14:paraId="300A367C">
                  <w:pPr>
                    <w:pStyle w:val="2"/>
                    <w:wordWrap w:val="0"/>
                    <w:topLinePunct/>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500</w:t>
                  </w:r>
                </w:p>
              </w:tc>
            </w:tr>
            <w:tr w14:paraId="3162E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612" w:type="pct"/>
                  <w:vMerge w:val="continue"/>
                  <w:tcBorders>
                    <w:tl2br w:val="nil"/>
                    <w:tr2bl w:val="nil"/>
                  </w:tcBorders>
                  <w:vAlign w:val="center"/>
                </w:tcPr>
                <w:p w14:paraId="15FBAF2E">
                  <w:pPr>
                    <w:pStyle w:val="2"/>
                    <w:wordWrap w:val="0"/>
                    <w:topLinePunct/>
                    <w:spacing w:line="240" w:lineRule="auto"/>
                    <w:ind w:firstLine="0" w:firstLineChars="0"/>
                    <w:jc w:val="center"/>
                    <w:rPr>
                      <w:rFonts w:hint="default" w:ascii="Times New Roman" w:hAnsi="Times New Roman" w:cs="Times New Roman"/>
                      <w:color w:val="auto"/>
                      <w:szCs w:val="21"/>
                    </w:rPr>
                  </w:pPr>
                </w:p>
              </w:tc>
              <w:tc>
                <w:tcPr>
                  <w:tcW w:w="3796" w:type="pct"/>
                  <w:gridSpan w:val="2"/>
                  <w:tcBorders>
                    <w:tl2br w:val="nil"/>
                    <w:tr2bl w:val="nil"/>
                  </w:tcBorders>
                  <w:vAlign w:val="center"/>
                </w:tcPr>
                <w:p w14:paraId="25002618">
                  <w:pPr>
                    <w:pStyle w:val="2"/>
                    <w:wordWrap w:val="0"/>
                    <w:topLinePunct/>
                    <w:spacing w:line="240" w:lineRule="auto"/>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全厂雨污管道建设</w:t>
                  </w:r>
                </w:p>
              </w:tc>
              <w:tc>
                <w:tcPr>
                  <w:tcW w:w="591" w:type="pct"/>
                  <w:tcBorders>
                    <w:tl2br w:val="nil"/>
                    <w:tr2bl w:val="nil"/>
                  </w:tcBorders>
                  <w:vAlign w:val="center"/>
                </w:tcPr>
                <w:p w14:paraId="5C15BCFB">
                  <w:pPr>
                    <w:pStyle w:val="2"/>
                    <w:wordWrap w:val="0"/>
                    <w:topLinePunct/>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50</w:t>
                  </w:r>
                </w:p>
              </w:tc>
            </w:tr>
            <w:tr w14:paraId="5D639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612" w:type="pct"/>
                  <w:tcBorders>
                    <w:tl2br w:val="nil"/>
                    <w:tr2bl w:val="nil"/>
                  </w:tcBorders>
                  <w:vAlign w:val="center"/>
                </w:tcPr>
                <w:p w14:paraId="2ABECFE7">
                  <w:pPr>
                    <w:pStyle w:val="2"/>
                    <w:wordWrap w:val="0"/>
                    <w:topLinePunct/>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噪声</w:t>
                  </w:r>
                </w:p>
              </w:tc>
              <w:tc>
                <w:tcPr>
                  <w:tcW w:w="3796" w:type="pct"/>
                  <w:gridSpan w:val="2"/>
                  <w:tcBorders>
                    <w:tl2br w:val="nil"/>
                    <w:tr2bl w:val="nil"/>
                  </w:tcBorders>
                  <w:vAlign w:val="center"/>
                </w:tcPr>
                <w:p w14:paraId="3FF056DF">
                  <w:pPr>
                    <w:pStyle w:val="2"/>
                    <w:wordWrap w:val="0"/>
                    <w:topLinePunct/>
                    <w:spacing w:line="240" w:lineRule="auto"/>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厂房隔声、基础减振、风机安装消声器、冷却塔设置隔声罩等。</w:t>
                  </w:r>
                </w:p>
              </w:tc>
              <w:tc>
                <w:tcPr>
                  <w:tcW w:w="591" w:type="pct"/>
                  <w:tcBorders>
                    <w:tl2br w:val="nil"/>
                    <w:tr2bl w:val="nil"/>
                  </w:tcBorders>
                  <w:vAlign w:val="center"/>
                </w:tcPr>
                <w:p w14:paraId="5DC8A3C0">
                  <w:pPr>
                    <w:pStyle w:val="2"/>
                    <w:wordWrap w:val="0"/>
                    <w:topLinePunct/>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50</w:t>
                  </w:r>
                </w:p>
              </w:tc>
            </w:tr>
            <w:tr w14:paraId="4DED2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612" w:type="pct"/>
                  <w:tcBorders>
                    <w:tl2br w:val="nil"/>
                    <w:tr2bl w:val="nil"/>
                  </w:tcBorders>
                  <w:vAlign w:val="center"/>
                </w:tcPr>
                <w:p w14:paraId="0943D101">
                  <w:pPr>
                    <w:pStyle w:val="2"/>
                    <w:wordWrap w:val="0"/>
                    <w:topLinePunct/>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固体</w:t>
                  </w:r>
                </w:p>
                <w:p w14:paraId="5133A9B9">
                  <w:pPr>
                    <w:pStyle w:val="2"/>
                    <w:wordWrap w:val="0"/>
                    <w:topLinePunct/>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废物</w:t>
                  </w:r>
                </w:p>
              </w:tc>
              <w:tc>
                <w:tcPr>
                  <w:tcW w:w="3796" w:type="pct"/>
                  <w:gridSpan w:val="2"/>
                  <w:tcBorders>
                    <w:tl2br w:val="nil"/>
                    <w:tr2bl w:val="nil"/>
                  </w:tcBorders>
                  <w:vAlign w:val="center"/>
                </w:tcPr>
                <w:p w14:paraId="3A9701BB">
                  <w:pPr>
                    <w:pStyle w:val="2"/>
                    <w:wordWrap w:val="0"/>
                    <w:topLinePunct/>
                    <w:spacing w:line="240" w:lineRule="auto"/>
                    <w:ind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一般固废综合利用，危废委托有资质单位处置。</w:t>
                  </w:r>
                </w:p>
              </w:tc>
              <w:tc>
                <w:tcPr>
                  <w:tcW w:w="591" w:type="pct"/>
                  <w:tcBorders>
                    <w:tl2br w:val="nil"/>
                    <w:tr2bl w:val="nil"/>
                  </w:tcBorders>
                  <w:vAlign w:val="center"/>
                </w:tcPr>
                <w:p w14:paraId="2D38D013">
                  <w:pPr>
                    <w:pStyle w:val="2"/>
                    <w:wordWrap w:val="0"/>
                    <w:topLinePunct/>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20</w:t>
                  </w:r>
                </w:p>
              </w:tc>
            </w:tr>
            <w:tr w14:paraId="73257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612" w:type="pct"/>
                  <w:tcBorders>
                    <w:tl2br w:val="nil"/>
                    <w:tr2bl w:val="nil"/>
                  </w:tcBorders>
                  <w:vAlign w:val="center"/>
                </w:tcPr>
                <w:p w14:paraId="576DC053">
                  <w:pPr>
                    <w:pStyle w:val="2"/>
                    <w:wordWrap w:val="0"/>
                    <w:topLinePunct/>
                    <w:spacing w:line="240" w:lineRule="auto"/>
                    <w:ind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小计</w:t>
                  </w:r>
                </w:p>
              </w:tc>
              <w:tc>
                <w:tcPr>
                  <w:tcW w:w="3796" w:type="pct"/>
                  <w:gridSpan w:val="2"/>
                  <w:tcBorders>
                    <w:tl2br w:val="nil"/>
                    <w:tr2bl w:val="nil"/>
                  </w:tcBorders>
                  <w:vAlign w:val="center"/>
                </w:tcPr>
                <w:p w14:paraId="5C38A6FC">
                  <w:pPr>
                    <w:pStyle w:val="2"/>
                    <w:wordWrap w:val="0"/>
                    <w:topLinePunct/>
                    <w:spacing w:line="240" w:lineRule="auto"/>
                    <w:ind w:firstLine="0" w:firstLineChars="0"/>
                    <w:rPr>
                      <w:rFonts w:hint="default" w:ascii="Times New Roman" w:hAnsi="Times New Roman" w:cs="Times New Roman"/>
                      <w:color w:val="auto"/>
                      <w:szCs w:val="21"/>
                    </w:rPr>
                  </w:pPr>
                </w:p>
              </w:tc>
              <w:tc>
                <w:tcPr>
                  <w:tcW w:w="591" w:type="pct"/>
                  <w:tcBorders>
                    <w:tl2br w:val="nil"/>
                    <w:tr2bl w:val="nil"/>
                  </w:tcBorders>
                  <w:vAlign w:val="center"/>
                </w:tcPr>
                <w:p w14:paraId="6FC3D626">
                  <w:pPr>
                    <w:pStyle w:val="2"/>
                    <w:wordWrap w:val="0"/>
                    <w:topLinePunct/>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990</w:t>
                  </w:r>
                </w:p>
              </w:tc>
            </w:tr>
          </w:tbl>
          <w:p w14:paraId="09CA6C3A">
            <w:pPr>
              <w:keepNext/>
              <w:keepLines/>
              <w:numPr>
                <w:ilvl w:val="2"/>
                <w:numId w:val="0"/>
              </w:numPr>
              <w:tabs>
                <w:tab w:val="left" w:pos="900"/>
              </w:tabs>
              <w:wordWrap w:val="0"/>
              <w:topLinePunct/>
              <w:adjustRightInd w:val="0"/>
              <w:snapToGrid w:val="0"/>
              <w:spacing w:before="264" w:beforeLines="70" w:after="264" w:afterLines="70"/>
              <w:jc w:val="left"/>
              <w:outlineLvl w:val="1"/>
              <w:rPr>
                <w:rFonts w:hint="default" w:ascii="Times New Roman" w:hAnsi="Times New Roman" w:eastAsia="黑体" w:cs="Times New Roman"/>
                <w:color w:val="auto"/>
                <w:sz w:val="30"/>
                <w:szCs w:val="30"/>
              </w:rPr>
            </w:pPr>
            <w:bookmarkStart w:id="392" w:name="_Toc1562"/>
            <w:bookmarkStart w:id="393" w:name="_Toc20597"/>
            <w:bookmarkStart w:id="394" w:name="_Toc5933"/>
            <w:bookmarkStart w:id="395" w:name="_Toc15117"/>
            <w:bookmarkStart w:id="396" w:name="_Toc21163"/>
            <w:bookmarkStart w:id="397" w:name="_Toc17056"/>
            <w:bookmarkStart w:id="398" w:name="_Toc19012"/>
            <w:r>
              <w:rPr>
                <w:rFonts w:hint="default" w:ascii="Times New Roman" w:hAnsi="Times New Roman" w:eastAsia="黑体" w:cs="Times New Roman"/>
                <w:color w:val="auto"/>
                <w:sz w:val="30"/>
                <w:szCs w:val="30"/>
              </w:rPr>
              <w:t>5.5自主竣工环境保护验收要求</w:t>
            </w:r>
            <w:bookmarkEnd w:id="376"/>
            <w:bookmarkEnd w:id="377"/>
            <w:bookmarkEnd w:id="378"/>
            <w:bookmarkEnd w:id="379"/>
            <w:bookmarkEnd w:id="380"/>
            <w:bookmarkEnd w:id="381"/>
            <w:bookmarkEnd w:id="392"/>
            <w:bookmarkEnd w:id="393"/>
            <w:bookmarkEnd w:id="394"/>
            <w:bookmarkEnd w:id="395"/>
            <w:bookmarkEnd w:id="396"/>
            <w:bookmarkEnd w:id="397"/>
            <w:bookmarkEnd w:id="398"/>
          </w:p>
          <w:p w14:paraId="380FF38C">
            <w:pPr>
              <w:pStyle w:val="10"/>
              <w:wordWrap w:val="0"/>
              <w:topLinePunct/>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国务院【国令第682号】《建设项目环境保护管理条例》及《建设项目竣工环境保护验收暂行办法》（国环规环评〔2017〕4号），强化建设单位环境保护主体责任，落实建设项目环境保护“三同时”制度，规范建设项目竣工后建设单位自主开展环境保护验收的程序和标准。建设单位是建设项目竣工环境保护验收的责任主体。</w:t>
            </w:r>
          </w:p>
          <w:p w14:paraId="26FB1E1C">
            <w:pPr>
              <w:pStyle w:val="10"/>
              <w:wordWrap w:val="0"/>
              <w:topLinePunct/>
              <w:adjustRightInd w:val="0"/>
              <w:snapToGrid w:val="0"/>
              <w:spacing w:line="360" w:lineRule="auto"/>
              <w:ind w:firstLine="480" w:firstLineChars="200"/>
              <w:rPr>
                <w:rFonts w:hint="default" w:ascii="Times New Roman" w:hAnsi="Times New Roman" w:cs="Times New Roman"/>
                <w:color w:val="auto"/>
              </w:rPr>
            </w:pPr>
            <w:r>
              <w:rPr>
                <w:rFonts w:hint="default" w:ascii="Times New Roman" w:hAnsi="Times New Roman" w:cs="Times New Roman"/>
                <w:color w:val="auto"/>
                <w:sz w:val="24"/>
              </w:rPr>
              <w:t>根据环境保护部《建设项目竣工环境保护验收技术指南 污染影响类》（公告2018年第9号）中有关要求：项目竣工后，建设单位应对该项目进行环保竣工验收，委托有资质的监测单位进行项目竣工环境保护验收监测，编制项目竣工环境保护验收监测报告。经验收合格，该建设项目方可正式投入生产或使用。</w:t>
            </w:r>
          </w:p>
        </w:tc>
      </w:tr>
    </w:tbl>
    <w:p w14:paraId="3A6AF2E3">
      <w:pPr>
        <w:pStyle w:val="10"/>
        <w:ind w:firstLine="480" w:firstLineChars="200"/>
        <w:rPr>
          <w:rFonts w:hint="default" w:ascii="Times New Roman" w:hAnsi="Times New Roman" w:cs="Times New Roman"/>
          <w:color w:val="auto"/>
          <w:sz w:val="24"/>
        </w:rPr>
        <w:sectPr>
          <w:pgSz w:w="11905" w:h="16838"/>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p w14:paraId="2CAF511B">
      <w:pPr>
        <w:pStyle w:val="3"/>
        <w:jc w:val="center"/>
        <w:rPr>
          <w:rFonts w:hint="default" w:ascii="Times New Roman" w:hAnsi="Times New Roman" w:cs="Times New Roman"/>
          <w:b w:val="0"/>
          <w:bCs w:val="0"/>
          <w:color w:val="auto"/>
          <w:sz w:val="32"/>
          <w:szCs w:val="32"/>
        </w:rPr>
      </w:pPr>
      <w:bookmarkStart w:id="399" w:name="_Toc27013"/>
      <w:bookmarkStart w:id="400" w:name="_Toc23613"/>
      <w:bookmarkStart w:id="401" w:name="_Toc5760"/>
      <w:bookmarkStart w:id="402" w:name="_Toc22772"/>
      <w:bookmarkStart w:id="403" w:name="_Toc29523"/>
      <w:bookmarkStart w:id="404" w:name="_Toc1738"/>
      <w:bookmarkStart w:id="405" w:name="_Toc28377"/>
      <w:bookmarkStart w:id="406" w:name="_Toc21943"/>
      <w:bookmarkStart w:id="407" w:name="_Toc30605"/>
      <w:r>
        <w:rPr>
          <w:rFonts w:hint="default" w:ascii="Times New Roman" w:hAnsi="Times New Roman" w:cs="Times New Roman"/>
          <w:b w:val="0"/>
          <w:bCs w:val="0"/>
          <w:color w:val="auto"/>
          <w:sz w:val="32"/>
          <w:szCs w:val="32"/>
        </w:rPr>
        <w:t>六、结论</w:t>
      </w:r>
      <w:bookmarkEnd w:id="399"/>
      <w:bookmarkEnd w:id="400"/>
      <w:bookmarkEnd w:id="401"/>
      <w:bookmarkEnd w:id="402"/>
      <w:bookmarkEnd w:id="403"/>
      <w:bookmarkEnd w:id="404"/>
      <w:bookmarkEnd w:id="405"/>
      <w:bookmarkEnd w:id="406"/>
      <w:bookmarkEnd w:id="407"/>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14:paraId="3B4B08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9" w:hRule="atLeast"/>
          <w:jc w:val="center"/>
        </w:trPr>
        <w:tc>
          <w:tcPr>
            <w:tcW w:w="9288" w:type="dxa"/>
            <w:vAlign w:val="center"/>
          </w:tcPr>
          <w:p w14:paraId="590542EA">
            <w:pPr>
              <w:pStyle w:val="21"/>
              <w:spacing w:before="113" w:beforeLines="30" w:line="360" w:lineRule="auto"/>
              <w:ind w:firstLine="480" w:firstLineChars="200"/>
              <w:rPr>
                <w:rFonts w:hint="default" w:ascii="Times New Roman" w:hAnsi="Times New Roman" w:cs="Times New Roman"/>
                <w:color w:val="auto"/>
                <w:sz w:val="24"/>
              </w:rPr>
            </w:pPr>
            <w:bookmarkStart w:id="408" w:name="OLE_LINK49"/>
            <w:r>
              <w:rPr>
                <w:rFonts w:hint="default" w:ascii="Times New Roman" w:hAnsi="Times New Roman" w:cs="Times New Roman"/>
                <w:color w:val="auto"/>
                <w:kern w:val="2"/>
                <w:sz w:val="24"/>
                <w:szCs w:val="24"/>
                <w:lang w:eastAsia="zh-CN"/>
              </w:rPr>
              <w:t>明光新材公司高端精线深加工项目</w:t>
            </w:r>
            <w:r>
              <w:rPr>
                <w:rFonts w:hint="default" w:ascii="Times New Roman" w:hAnsi="Times New Roman" w:cs="Times New Roman"/>
                <w:color w:val="auto"/>
                <w:sz w:val="24"/>
              </w:rPr>
              <w:t>建设符合国家产业政策，符合生态环境分区管控要求；厂界选址于福建省三明市沙县节能南路福建省明光新型材料有限公司内，选址可行。通过采取有效的污染防治措施，可实现污染物稳定达标排放，区域环境质量满足环境功能区划要求。因此，本评价认为，该项目的建设在采取本报告表中提出的各项环保措施，认真执行“三同时”制度，加强环境管理前提下，从环境保护角度分析论证，项目建设是可行的。</w:t>
            </w:r>
          </w:p>
          <w:bookmarkEnd w:id="408"/>
          <w:p w14:paraId="0850B0AA">
            <w:pPr>
              <w:rPr>
                <w:rFonts w:hint="default" w:ascii="Times New Roman" w:hAnsi="Times New Roman" w:cs="Times New Roman"/>
                <w:color w:val="auto"/>
              </w:rPr>
            </w:pPr>
          </w:p>
          <w:p w14:paraId="684AED36">
            <w:pPr>
              <w:rPr>
                <w:rFonts w:hint="default" w:ascii="Times New Roman" w:hAnsi="Times New Roman" w:cs="Times New Roman"/>
                <w:color w:val="auto"/>
              </w:rPr>
            </w:pPr>
          </w:p>
          <w:p w14:paraId="6C4E852B">
            <w:pPr>
              <w:pStyle w:val="70"/>
              <w:keepLines/>
              <w:widowControl/>
              <w:ind w:firstLine="562"/>
              <w:jc w:val="right"/>
              <w:rPr>
                <w:rFonts w:hint="default" w:ascii="Times New Roman" w:hAnsi="Times New Roman" w:cs="Times New Roman"/>
                <w:b/>
                <w:bCs/>
                <w:color w:val="auto"/>
                <w:sz w:val="28"/>
                <w:szCs w:val="28"/>
              </w:rPr>
            </w:pPr>
            <w:r>
              <w:rPr>
                <w:rFonts w:hint="default" w:ascii="Times New Roman" w:hAnsi="Times New Roman" w:cs="Times New Roman"/>
                <w:b/>
                <w:bCs/>
                <w:color w:val="auto"/>
                <w:sz w:val="28"/>
                <w:szCs w:val="28"/>
              </w:rPr>
              <w:t>福建省冶金工业设计院有限公司</w:t>
            </w:r>
          </w:p>
          <w:p w14:paraId="682E6E1E">
            <w:pPr>
              <w:spacing w:line="360" w:lineRule="auto"/>
              <w:jc w:val="right"/>
              <w:rPr>
                <w:rFonts w:hint="default" w:ascii="Times New Roman" w:hAnsi="Times New Roman" w:cs="Times New Roman"/>
                <w:b/>
                <w:bCs/>
                <w:color w:val="auto"/>
                <w:sz w:val="28"/>
                <w:szCs w:val="28"/>
              </w:rPr>
            </w:pPr>
            <w:r>
              <w:rPr>
                <w:rFonts w:hint="default" w:ascii="Times New Roman" w:hAnsi="Times New Roman" w:cs="Times New Roman"/>
                <w:b/>
                <w:bCs/>
                <w:color w:val="auto"/>
                <w:sz w:val="28"/>
                <w:szCs w:val="28"/>
              </w:rPr>
              <w:t>2026年5月30日</w:t>
            </w:r>
          </w:p>
          <w:p w14:paraId="1316C1E9">
            <w:pPr>
              <w:spacing w:line="360" w:lineRule="auto"/>
              <w:rPr>
                <w:rFonts w:hint="default" w:ascii="Times New Roman" w:hAnsi="Times New Roman" w:cs="Times New Roman"/>
                <w:color w:val="auto"/>
              </w:rPr>
            </w:pPr>
          </w:p>
          <w:p w14:paraId="063B3DC1">
            <w:pPr>
              <w:spacing w:line="360" w:lineRule="auto"/>
              <w:rPr>
                <w:rFonts w:hint="default" w:ascii="Times New Roman" w:hAnsi="Times New Roman" w:cs="Times New Roman"/>
                <w:color w:val="auto"/>
              </w:rPr>
            </w:pPr>
          </w:p>
          <w:p w14:paraId="6202A1AA">
            <w:pPr>
              <w:spacing w:line="360" w:lineRule="auto"/>
              <w:rPr>
                <w:rFonts w:hint="default" w:ascii="Times New Roman" w:hAnsi="Times New Roman" w:cs="Times New Roman"/>
                <w:color w:val="auto"/>
              </w:rPr>
            </w:pPr>
          </w:p>
          <w:p w14:paraId="6E03A283">
            <w:pPr>
              <w:spacing w:line="360" w:lineRule="auto"/>
              <w:rPr>
                <w:rFonts w:hint="default" w:ascii="Times New Roman" w:hAnsi="Times New Roman" w:cs="Times New Roman"/>
                <w:color w:val="auto"/>
              </w:rPr>
            </w:pPr>
          </w:p>
          <w:p w14:paraId="28167212">
            <w:pPr>
              <w:spacing w:line="360" w:lineRule="auto"/>
              <w:rPr>
                <w:rFonts w:hint="default" w:ascii="Times New Roman" w:hAnsi="Times New Roman" w:cs="Times New Roman"/>
                <w:color w:val="auto"/>
              </w:rPr>
            </w:pPr>
          </w:p>
          <w:p w14:paraId="63324C7D">
            <w:pPr>
              <w:spacing w:line="360" w:lineRule="auto"/>
              <w:rPr>
                <w:rFonts w:hint="default" w:ascii="Times New Roman" w:hAnsi="Times New Roman" w:cs="Times New Roman"/>
                <w:color w:val="auto"/>
              </w:rPr>
            </w:pPr>
          </w:p>
          <w:p w14:paraId="40A443A7">
            <w:pPr>
              <w:spacing w:line="360" w:lineRule="auto"/>
              <w:rPr>
                <w:rFonts w:hint="default" w:ascii="Times New Roman" w:hAnsi="Times New Roman" w:cs="Times New Roman"/>
                <w:color w:val="auto"/>
              </w:rPr>
            </w:pPr>
          </w:p>
          <w:p w14:paraId="02497F69">
            <w:pPr>
              <w:spacing w:line="360" w:lineRule="auto"/>
              <w:rPr>
                <w:rFonts w:hint="default" w:ascii="Times New Roman" w:hAnsi="Times New Roman" w:cs="Times New Roman"/>
                <w:color w:val="auto"/>
              </w:rPr>
            </w:pPr>
          </w:p>
          <w:p w14:paraId="1D83214E">
            <w:pPr>
              <w:spacing w:line="360" w:lineRule="auto"/>
              <w:rPr>
                <w:rFonts w:hint="default" w:ascii="Times New Roman" w:hAnsi="Times New Roman" w:cs="Times New Roman"/>
                <w:color w:val="auto"/>
              </w:rPr>
            </w:pPr>
          </w:p>
          <w:p w14:paraId="610AC517">
            <w:pPr>
              <w:spacing w:line="360" w:lineRule="auto"/>
              <w:rPr>
                <w:rFonts w:hint="default" w:ascii="Times New Roman" w:hAnsi="Times New Roman" w:cs="Times New Roman"/>
                <w:color w:val="auto"/>
              </w:rPr>
            </w:pPr>
          </w:p>
          <w:p w14:paraId="48BA90A2">
            <w:pPr>
              <w:spacing w:line="360" w:lineRule="auto"/>
              <w:rPr>
                <w:rFonts w:hint="default" w:ascii="Times New Roman" w:hAnsi="Times New Roman" w:cs="Times New Roman"/>
                <w:color w:val="auto"/>
              </w:rPr>
            </w:pPr>
          </w:p>
          <w:p w14:paraId="4EDA06CA">
            <w:pPr>
              <w:rPr>
                <w:rFonts w:hint="default" w:ascii="Times New Roman" w:hAnsi="Times New Roman" w:cs="Times New Roman"/>
                <w:color w:val="auto"/>
              </w:rPr>
            </w:pPr>
          </w:p>
        </w:tc>
      </w:tr>
    </w:tbl>
    <w:p w14:paraId="7967B1E4">
      <w:pPr>
        <w:rPr>
          <w:rFonts w:hint="default" w:ascii="Times New Roman" w:hAnsi="Times New Roman" w:cs="Times New Roman"/>
          <w:color w:val="auto"/>
        </w:rPr>
      </w:pPr>
    </w:p>
    <w:p w14:paraId="32E8AC3D">
      <w:pPr>
        <w:rPr>
          <w:rFonts w:hint="default" w:ascii="Times New Roman" w:hAnsi="Times New Roman" w:cs="Times New Roman"/>
          <w:color w:val="auto"/>
        </w:rPr>
        <w:sectPr>
          <w:pgSz w:w="11905" w:h="16838"/>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p w14:paraId="55D75B46">
      <w:pPr>
        <w:pStyle w:val="30"/>
        <w:adjustRightInd w:val="0"/>
        <w:snapToGrid w:val="0"/>
        <w:spacing w:before="0" w:beforeAutospacing="0" w:after="0" w:afterAutospacing="0" w:line="360" w:lineRule="auto"/>
        <w:outlineLvl w:val="0"/>
        <w:rPr>
          <w:rFonts w:hint="default" w:ascii="Times New Roman" w:hAnsi="Times New Roman" w:eastAsia="黑体" w:cs="Times New Roman"/>
          <w:snapToGrid w:val="0"/>
          <w:color w:val="auto"/>
          <w:sz w:val="32"/>
          <w:szCs w:val="32"/>
        </w:rPr>
      </w:pPr>
      <w:bookmarkStart w:id="409" w:name="_Toc31445"/>
      <w:bookmarkStart w:id="410" w:name="_Toc15995"/>
      <w:bookmarkStart w:id="411" w:name="_Toc31955"/>
      <w:bookmarkStart w:id="412" w:name="_Toc5224"/>
      <w:bookmarkStart w:id="413" w:name="_Toc9782"/>
      <w:bookmarkStart w:id="414" w:name="_Toc10008"/>
      <w:bookmarkStart w:id="415" w:name="_Toc20276"/>
      <w:bookmarkStart w:id="416" w:name="_Toc9019"/>
      <w:bookmarkStart w:id="417" w:name="_Toc31789"/>
      <w:r>
        <w:rPr>
          <w:rFonts w:hint="default" w:ascii="Times New Roman" w:hAnsi="Times New Roman" w:eastAsia="黑体" w:cs="Times New Roman"/>
          <w:snapToGrid w:val="0"/>
          <w:color w:val="auto"/>
          <w:sz w:val="32"/>
          <w:szCs w:val="32"/>
        </w:rPr>
        <w:t>附表</w:t>
      </w:r>
      <w:bookmarkEnd w:id="409"/>
      <w:bookmarkEnd w:id="410"/>
      <w:bookmarkEnd w:id="411"/>
      <w:bookmarkEnd w:id="412"/>
      <w:bookmarkEnd w:id="413"/>
      <w:r>
        <w:rPr>
          <w:rFonts w:hint="default" w:ascii="Times New Roman" w:hAnsi="Times New Roman" w:eastAsia="黑体" w:cs="Times New Roman"/>
          <w:snapToGrid w:val="0"/>
          <w:color w:val="auto"/>
          <w:sz w:val="32"/>
          <w:szCs w:val="32"/>
        </w:rPr>
        <w:t>1</w:t>
      </w:r>
      <w:bookmarkEnd w:id="414"/>
      <w:bookmarkEnd w:id="415"/>
      <w:bookmarkEnd w:id="416"/>
      <w:bookmarkEnd w:id="417"/>
    </w:p>
    <w:p w14:paraId="60B026FE">
      <w:pPr>
        <w:pStyle w:val="30"/>
        <w:keepNext w:val="0"/>
        <w:keepLines w:val="0"/>
        <w:pageBreakBefore w:val="0"/>
        <w:widowControl/>
        <w:kinsoku/>
        <w:wordWrap/>
        <w:overflowPunct/>
        <w:topLinePunct w:val="0"/>
        <w:autoSpaceDE/>
        <w:autoSpaceDN/>
        <w:bidi w:val="0"/>
        <w:adjustRightInd w:val="0"/>
        <w:snapToGrid/>
        <w:spacing w:before="0" w:beforeAutospacing="0" w:after="0" w:afterAutospacing="0"/>
        <w:jc w:val="center"/>
        <w:textAlignment w:val="auto"/>
        <w:outlineLvl w:val="1"/>
        <w:rPr>
          <w:rFonts w:hint="default" w:ascii="Times New Roman" w:hAnsi="Times New Roman" w:eastAsia="方正小标宋_GBK" w:cs="Times New Roman"/>
          <w:snapToGrid w:val="0"/>
          <w:color w:val="auto"/>
          <w:sz w:val="38"/>
          <w:szCs w:val="38"/>
          <w:highlight w:val="none"/>
        </w:rPr>
      </w:pPr>
      <w:bookmarkStart w:id="418" w:name="_Toc25318"/>
      <w:bookmarkStart w:id="419" w:name="_Toc9826"/>
      <w:bookmarkStart w:id="420" w:name="_Toc22400"/>
      <w:bookmarkStart w:id="421" w:name="_Toc772"/>
      <w:bookmarkStart w:id="422" w:name="_Toc4596"/>
      <w:bookmarkStart w:id="423" w:name="_Toc380"/>
      <w:bookmarkStart w:id="424" w:name="_Toc4168"/>
      <w:bookmarkStart w:id="425" w:name="_Toc745"/>
      <w:bookmarkStart w:id="426" w:name="_Toc22071"/>
      <w:bookmarkStart w:id="427" w:name="_Toc14848"/>
      <w:bookmarkStart w:id="428" w:name="_Toc6229"/>
      <w:bookmarkStart w:id="429" w:name="_Toc32578"/>
      <w:bookmarkStart w:id="430" w:name="_Toc15603"/>
      <w:bookmarkStart w:id="431" w:name="_Toc15087"/>
      <w:bookmarkStart w:id="432" w:name="_Toc11108"/>
      <w:bookmarkStart w:id="433" w:name="_Toc22261"/>
      <w:bookmarkStart w:id="434" w:name="_Toc3128"/>
      <w:bookmarkStart w:id="435" w:name="_Toc1851"/>
      <w:r>
        <w:rPr>
          <w:rFonts w:hint="default" w:ascii="Times New Roman" w:hAnsi="Times New Roman" w:eastAsia="方正小标宋_GBK" w:cs="Times New Roman"/>
          <w:snapToGrid w:val="0"/>
          <w:color w:val="auto"/>
          <w:sz w:val="38"/>
          <w:szCs w:val="38"/>
          <w:highlight w:val="none"/>
        </w:rPr>
        <w:t>建设项目污染物排放量汇总表</w:t>
      </w:r>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p>
    <w:tbl>
      <w:tblPr>
        <w:tblStyle w:val="34"/>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443"/>
        <w:gridCol w:w="1809"/>
        <w:gridCol w:w="1640"/>
        <w:gridCol w:w="1204"/>
        <w:gridCol w:w="1826"/>
        <w:gridCol w:w="1820"/>
        <w:gridCol w:w="1640"/>
        <w:gridCol w:w="1696"/>
        <w:gridCol w:w="974"/>
      </w:tblGrid>
      <w:tr w14:paraId="0A4E1F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6" w:hRule="atLeast"/>
          <w:jc w:val="center"/>
        </w:trPr>
        <w:tc>
          <w:tcPr>
            <w:tcW w:w="513" w:type="pct"/>
            <w:tcBorders>
              <w:tl2br w:val="single" w:color="auto" w:sz="4" w:space="0"/>
            </w:tcBorders>
            <w:tcMar>
              <w:left w:w="28" w:type="dxa"/>
              <w:right w:w="28" w:type="dxa"/>
            </w:tcMar>
            <w:vAlign w:val="center"/>
          </w:tcPr>
          <w:p w14:paraId="6F54ECD2">
            <w:pPr>
              <w:pStyle w:val="56"/>
              <w:spacing w:beforeLines="0" w:afterLines="0" w:line="240" w:lineRule="auto"/>
              <w:jc w:val="right"/>
              <w:rPr>
                <w:rFonts w:hint="default" w:ascii="Times New Roman" w:hAnsi="Times New Roman" w:eastAsia="黑体" w:cs="Times New Roman"/>
                <w:snapToGrid w:val="0"/>
                <w:color w:val="auto"/>
                <w:spacing w:val="-6"/>
                <w:kern w:val="21"/>
                <w:sz w:val="24"/>
                <w:szCs w:val="24"/>
              </w:rPr>
            </w:pPr>
            <w:r>
              <w:rPr>
                <w:rFonts w:hint="default" w:ascii="Times New Roman" w:hAnsi="Times New Roman" w:eastAsia="黑体" w:cs="Times New Roman"/>
                <w:snapToGrid w:val="0"/>
                <w:color w:val="auto"/>
                <w:spacing w:val="-6"/>
                <w:kern w:val="21"/>
                <w:sz w:val="24"/>
                <w:szCs w:val="24"/>
              </w:rPr>
              <w:t>项目</w:t>
            </w:r>
          </w:p>
          <w:p w14:paraId="72EC5139">
            <w:pPr>
              <w:pStyle w:val="56"/>
              <w:spacing w:beforeLines="0" w:afterLines="0" w:line="240" w:lineRule="auto"/>
              <w:ind w:firstLine="0"/>
              <w:jc w:val="left"/>
              <w:rPr>
                <w:rFonts w:hint="default" w:ascii="Times New Roman" w:hAnsi="Times New Roman" w:eastAsia="黑体" w:cs="Times New Roman"/>
                <w:snapToGrid w:val="0"/>
                <w:color w:val="auto"/>
                <w:spacing w:val="-6"/>
                <w:kern w:val="21"/>
                <w:sz w:val="24"/>
                <w:szCs w:val="24"/>
              </w:rPr>
            </w:pPr>
            <w:r>
              <w:rPr>
                <w:rFonts w:hint="default" w:ascii="Times New Roman" w:hAnsi="Times New Roman" w:eastAsia="黑体" w:cs="Times New Roman"/>
                <w:snapToGrid w:val="0"/>
                <w:color w:val="auto"/>
                <w:spacing w:val="-6"/>
                <w:kern w:val="21"/>
                <w:sz w:val="24"/>
                <w:szCs w:val="24"/>
              </w:rPr>
              <w:t>分类</w:t>
            </w:r>
          </w:p>
        </w:tc>
        <w:tc>
          <w:tcPr>
            <w:tcW w:w="643" w:type="pct"/>
            <w:tcMar>
              <w:left w:w="28" w:type="dxa"/>
              <w:right w:w="28" w:type="dxa"/>
            </w:tcMar>
            <w:vAlign w:val="center"/>
          </w:tcPr>
          <w:p w14:paraId="0802EEF1">
            <w:pPr>
              <w:pStyle w:val="56"/>
              <w:spacing w:beforeLines="0" w:afterLines="0" w:line="240" w:lineRule="auto"/>
              <w:ind w:firstLine="0"/>
              <w:rPr>
                <w:rFonts w:hint="default" w:ascii="Times New Roman" w:hAnsi="Times New Roman" w:eastAsia="黑体" w:cs="Times New Roman"/>
                <w:snapToGrid w:val="0"/>
                <w:color w:val="auto"/>
                <w:spacing w:val="-6"/>
                <w:kern w:val="21"/>
                <w:sz w:val="24"/>
                <w:szCs w:val="24"/>
              </w:rPr>
            </w:pPr>
            <w:r>
              <w:rPr>
                <w:rFonts w:hint="default" w:ascii="Times New Roman" w:hAnsi="Times New Roman" w:eastAsia="黑体" w:cs="Times New Roman"/>
                <w:snapToGrid w:val="0"/>
                <w:color w:val="auto"/>
                <w:spacing w:val="-6"/>
                <w:kern w:val="21"/>
                <w:sz w:val="24"/>
                <w:szCs w:val="24"/>
              </w:rPr>
              <w:t>污染物名称</w:t>
            </w:r>
          </w:p>
        </w:tc>
        <w:tc>
          <w:tcPr>
            <w:tcW w:w="583" w:type="pct"/>
            <w:tcMar>
              <w:left w:w="28" w:type="dxa"/>
              <w:right w:w="28" w:type="dxa"/>
            </w:tcMar>
            <w:vAlign w:val="center"/>
          </w:tcPr>
          <w:p w14:paraId="2CE66677">
            <w:pPr>
              <w:pStyle w:val="56"/>
              <w:spacing w:beforeLines="0" w:afterLines="0" w:line="240" w:lineRule="auto"/>
              <w:ind w:firstLine="0"/>
              <w:rPr>
                <w:rFonts w:hint="default" w:ascii="Times New Roman" w:hAnsi="Times New Roman" w:eastAsia="黑体" w:cs="Times New Roman"/>
                <w:snapToGrid w:val="0"/>
                <w:color w:val="auto"/>
                <w:spacing w:val="-6"/>
                <w:kern w:val="21"/>
                <w:sz w:val="24"/>
                <w:szCs w:val="24"/>
              </w:rPr>
            </w:pPr>
            <w:r>
              <w:rPr>
                <w:rFonts w:hint="default" w:ascii="Times New Roman" w:hAnsi="Times New Roman" w:eastAsia="黑体" w:cs="Times New Roman"/>
                <w:snapToGrid w:val="0"/>
                <w:color w:val="auto"/>
                <w:spacing w:val="-6"/>
                <w:kern w:val="21"/>
                <w:sz w:val="24"/>
                <w:szCs w:val="24"/>
              </w:rPr>
              <w:t>现有工程排放量（固体废物产生量）</w:t>
            </w:r>
            <w:r>
              <w:rPr>
                <w:rFonts w:hint="default" w:ascii="Times New Roman" w:hAnsi="Times New Roman" w:eastAsia="黑体" w:cs="Times New Roman"/>
                <w:snapToGrid w:val="0"/>
                <w:color w:val="auto"/>
                <w:spacing w:val="-6"/>
                <w:kern w:val="21"/>
                <w:sz w:val="24"/>
                <w:szCs w:val="24"/>
              </w:rPr>
              <w:fldChar w:fldCharType="begin"/>
            </w:r>
            <w:r>
              <w:rPr>
                <w:rFonts w:hint="default" w:ascii="Times New Roman" w:hAnsi="Times New Roman" w:eastAsia="黑体" w:cs="Times New Roman"/>
                <w:snapToGrid w:val="0"/>
                <w:color w:val="auto"/>
                <w:spacing w:val="-6"/>
                <w:kern w:val="21"/>
                <w:sz w:val="24"/>
                <w:szCs w:val="24"/>
              </w:rPr>
              <w:instrText xml:space="preserve"> = 1 \* GB3 \* MERGEFORMAT </w:instrText>
            </w:r>
            <w:r>
              <w:rPr>
                <w:rFonts w:hint="default" w:ascii="Times New Roman" w:hAnsi="Times New Roman" w:eastAsia="黑体" w:cs="Times New Roman"/>
                <w:snapToGrid w:val="0"/>
                <w:color w:val="auto"/>
                <w:spacing w:val="-6"/>
                <w:kern w:val="21"/>
                <w:sz w:val="24"/>
                <w:szCs w:val="24"/>
              </w:rPr>
              <w:fldChar w:fldCharType="separate"/>
            </w:r>
            <w:r>
              <w:rPr>
                <w:rFonts w:hint="default" w:ascii="Times New Roman" w:hAnsi="Times New Roman" w:eastAsia="黑体" w:cs="Times New Roman"/>
                <w:color w:val="auto"/>
                <w:kern w:val="2"/>
                <w:sz w:val="24"/>
                <w:szCs w:val="24"/>
              </w:rPr>
              <w:t>①</w:t>
            </w:r>
            <w:r>
              <w:rPr>
                <w:rFonts w:hint="default" w:ascii="Times New Roman" w:hAnsi="Times New Roman" w:eastAsia="黑体" w:cs="Times New Roman"/>
                <w:snapToGrid w:val="0"/>
                <w:color w:val="auto"/>
                <w:spacing w:val="-6"/>
                <w:kern w:val="21"/>
                <w:sz w:val="24"/>
                <w:szCs w:val="24"/>
              </w:rPr>
              <w:fldChar w:fldCharType="end"/>
            </w:r>
          </w:p>
        </w:tc>
        <w:tc>
          <w:tcPr>
            <w:tcW w:w="428" w:type="pct"/>
            <w:tcMar>
              <w:left w:w="28" w:type="dxa"/>
              <w:right w:w="28" w:type="dxa"/>
            </w:tcMar>
            <w:vAlign w:val="center"/>
          </w:tcPr>
          <w:p w14:paraId="1E2D9336">
            <w:pPr>
              <w:pStyle w:val="56"/>
              <w:spacing w:beforeLines="0" w:afterLines="0" w:line="240" w:lineRule="auto"/>
              <w:ind w:firstLine="0"/>
              <w:rPr>
                <w:rFonts w:hint="default" w:ascii="Times New Roman" w:hAnsi="Times New Roman" w:eastAsia="黑体" w:cs="Times New Roman"/>
                <w:snapToGrid w:val="0"/>
                <w:color w:val="auto"/>
                <w:spacing w:val="-6"/>
                <w:kern w:val="21"/>
                <w:sz w:val="24"/>
                <w:szCs w:val="24"/>
              </w:rPr>
            </w:pPr>
            <w:r>
              <w:rPr>
                <w:rFonts w:hint="default" w:ascii="Times New Roman" w:hAnsi="Times New Roman" w:eastAsia="黑体" w:cs="Times New Roman"/>
                <w:snapToGrid w:val="0"/>
                <w:color w:val="auto"/>
                <w:spacing w:val="-6"/>
                <w:kern w:val="21"/>
                <w:sz w:val="24"/>
                <w:szCs w:val="24"/>
              </w:rPr>
              <w:t>现有工程许可排放量</w:t>
            </w:r>
            <w:r>
              <w:rPr>
                <w:rFonts w:hint="default" w:ascii="Times New Roman" w:hAnsi="Times New Roman" w:eastAsia="黑体" w:cs="Times New Roman"/>
                <w:snapToGrid w:val="0"/>
                <w:color w:val="auto"/>
                <w:spacing w:val="-6"/>
                <w:kern w:val="21"/>
                <w:sz w:val="24"/>
                <w:szCs w:val="24"/>
              </w:rPr>
              <w:fldChar w:fldCharType="begin"/>
            </w:r>
            <w:r>
              <w:rPr>
                <w:rFonts w:hint="default" w:ascii="Times New Roman" w:hAnsi="Times New Roman" w:eastAsia="黑体" w:cs="Times New Roman"/>
                <w:snapToGrid w:val="0"/>
                <w:color w:val="auto"/>
                <w:spacing w:val="-6"/>
                <w:kern w:val="21"/>
                <w:sz w:val="24"/>
                <w:szCs w:val="24"/>
              </w:rPr>
              <w:instrText xml:space="preserve"> = 2 \* GB3 \* MERGEFORMAT </w:instrText>
            </w:r>
            <w:r>
              <w:rPr>
                <w:rFonts w:hint="default" w:ascii="Times New Roman" w:hAnsi="Times New Roman" w:eastAsia="黑体" w:cs="Times New Roman"/>
                <w:snapToGrid w:val="0"/>
                <w:color w:val="auto"/>
                <w:spacing w:val="-6"/>
                <w:kern w:val="21"/>
                <w:sz w:val="24"/>
                <w:szCs w:val="24"/>
              </w:rPr>
              <w:fldChar w:fldCharType="separate"/>
            </w:r>
            <w:r>
              <w:rPr>
                <w:rFonts w:hint="default" w:ascii="Times New Roman" w:hAnsi="Times New Roman" w:eastAsia="黑体" w:cs="Times New Roman"/>
                <w:snapToGrid w:val="0"/>
                <w:color w:val="auto"/>
                <w:spacing w:val="-6"/>
                <w:kern w:val="21"/>
                <w:sz w:val="24"/>
                <w:szCs w:val="24"/>
              </w:rPr>
              <w:t>②</w:t>
            </w:r>
            <w:r>
              <w:rPr>
                <w:rFonts w:hint="default" w:ascii="Times New Roman" w:hAnsi="Times New Roman" w:eastAsia="黑体" w:cs="Times New Roman"/>
                <w:snapToGrid w:val="0"/>
                <w:color w:val="auto"/>
                <w:spacing w:val="-6"/>
                <w:kern w:val="21"/>
                <w:sz w:val="24"/>
                <w:szCs w:val="24"/>
              </w:rPr>
              <w:fldChar w:fldCharType="end"/>
            </w:r>
          </w:p>
        </w:tc>
        <w:tc>
          <w:tcPr>
            <w:tcW w:w="649" w:type="pct"/>
            <w:tcMar>
              <w:left w:w="28" w:type="dxa"/>
              <w:right w:w="28" w:type="dxa"/>
            </w:tcMar>
            <w:vAlign w:val="center"/>
          </w:tcPr>
          <w:p w14:paraId="1B6C434F">
            <w:pPr>
              <w:pStyle w:val="56"/>
              <w:spacing w:beforeLines="0" w:afterLines="0" w:line="240" w:lineRule="auto"/>
              <w:ind w:firstLine="0"/>
              <w:rPr>
                <w:rFonts w:hint="default" w:ascii="Times New Roman" w:hAnsi="Times New Roman" w:eastAsia="黑体" w:cs="Times New Roman"/>
                <w:snapToGrid w:val="0"/>
                <w:color w:val="auto"/>
                <w:spacing w:val="-6"/>
                <w:kern w:val="21"/>
                <w:sz w:val="24"/>
                <w:szCs w:val="24"/>
              </w:rPr>
            </w:pPr>
            <w:r>
              <w:rPr>
                <w:rFonts w:hint="default" w:ascii="Times New Roman" w:hAnsi="Times New Roman" w:eastAsia="黑体" w:cs="Times New Roman"/>
                <w:snapToGrid w:val="0"/>
                <w:color w:val="auto"/>
                <w:spacing w:val="-6"/>
                <w:kern w:val="21"/>
                <w:sz w:val="24"/>
                <w:szCs w:val="24"/>
              </w:rPr>
              <w:t>在建工程排放量（固体废物产生量）</w:t>
            </w:r>
            <w:r>
              <w:rPr>
                <w:rFonts w:hint="default" w:ascii="Times New Roman" w:hAnsi="Times New Roman" w:eastAsia="黑体" w:cs="Times New Roman"/>
                <w:snapToGrid w:val="0"/>
                <w:color w:val="auto"/>
                <w:spacing w:val="-6"/>
                <w:kern w:val="21"/>
                <w:sz w:val="24"/>
                <w:szCs w:val="24"/>
              </w:rPr>
              <w:fldChar w:fldCharType="begin"/>
            </w:r>
            <w:r>
              <w:rPr>
                <w:rFonts w:hint="default" w:ascii="Times New Roman" w:hAnsi="Times New Roman" w:eastAsia="黑体" w:cs="Times New Roman"/>
                <w:snapToGrid w:val="0"/>
                <w:color w:val="auto"/>
                <w:spacing w:val="-6"/>
                <w:kern w:val="21"/>
                <w:sz w:val="24"/>
                <w:szCs w:val="24"/>
              </w:rPr>
              <w:instrText xml:space="preserve"> = 3 \* GB3 \* MERGEFORMAT </w:instrText>
            </w:r>
            <w:r>
              <w:rPr>
                <w:rFonts w:hint="default" w:ascii="Times New Roman" w:hAnsi="Times New Roman" w:eastAsia="黑体" w:cs="Times New Roman"/>
                <w:snapToGrid w:val="0"/>
                <w:color w:val="auto"/>
                <w:spacing w:val="-6"/>
                <w:kern w:val="21"/>
                <w:sz w:val="24"/>
                <w:szCs w:val="24"/>
              </w:rPr>
              <w:fldChar w:fldCharType="separate"/>
            </w:r>
            <w:r>
              <w:rPr>
                <w:rFonts w:hint="default" w:ascii="Times New Roman" w:hAnsi="Times New Roman" w:eastAsia="黑体" w:cs="Times New Roman"/>
                <w:color w:val="auto"/>
                <w:kern w:val="2"/>
                <w:sz w:val="24"/>
                <w:szCs w:val="24"/>
              </w:rPr>
              <w:t>③</w:t>
            </w:r>
            <w:r>
              <w:rPr>
                <w:rFonts w:hint="default" w:ascii="Times New Roman" w:hAnsi="Times New Roman" w:eastAsia="黑体" w:cs="Times New Roman"/>
                <w:snapToGrid w:val="0"/>
                <w:color w:val="auto"/>
                <w:spacing w:val="-6"/>
                <w:kern w:val="21"/>
                <w:sz w:val="24"/>
                <w:szCs w:val="24"/>
              </w:rPr>
              <w:fldChar w:fldCharType="end"/>
            </w:r>
          </w:p>
        </w:tc>
        <w:tc>
          <w:tcPr>
            <w:tcW w:w="647" w:type="pct"/>
            <w:tcMar>
              <w:left w:w="28" w:type="dxa"/>
              <w:right w:w="28" w:type="dxa"/>
            </w:tcMar>
            <w:vAlign w:val="center"/>
          </w:tcPr>
          <w:p w14:paraId="32744FC7">
            <w:pPr>
              <w:pStyle w:val="56"/>
              <w:spacing w:beforeLines="0" w:afterLines="0" w:line="240" w:lineRule="auto"/>
              <w:ind w:firstLine="0"/>
              <w:rPr>
                <w:rFonts w:hint="default" w:ascii="Times New Roman" w:hAnsi="Times New Roman" w:eastAsia="黑体" w:cs="Times New Roman"/>
                <w:snapToGrid w:val="0"/>
                <w:color w:val="auto"/>
                <w:spacing w:val="-6"/>
                <w:kern w:val="21"/>
                <w:sz w:val="24"/>
                <w:szCs w:val="24"/>
              </w:rPr>
            </w:pPr>
            <w:r>
              <w:rPr>
                <w:rFonts w:hint="default" w:ascii="Times New Roman" w:hAnsi="Times New Roman" w:eastAsia="黑体" w:cs="Times New Roman"/>
                <w:snapToGrid w:val="0"/>
                <w:color w:val="auto"/>
                <w:spacing w:val="-6"/>
                <w:kern w:val="21"/>
                <w:sz w:val="24"/>
                <w:szCs w:val="24"/>
              </w:rPr>
              <w:t>本项目排放量（固体废物产生量）</w:t>
            </w:r>
            <w:r>
              <w:rPr>
                <w:rFonts w:hint="default" w:ascii="Times New Roman" w:hAnsi="Times New Roman" w:eastAsia="黑体" w:cs="Times New Roman"/>
                <w:snapToGrid w:val="0"/>
                <w:color w:val="auto"/>
                <w:spacing w:val="-6"/>
                <w:kern w:val="21"/>
                <w:sz w:val="24"/>
                <w:szCs w:val="24"/>
              </w:rPr>
              <w:fldChar w:fldCharType="begin"/>
            </w:r>
            <w:r>
              <w:rPr>
                <w:rFonts w:hint="default" w:ascii="Times New Roman" w:hAnsi="Times New Roman" w:eastAsia="黑体" w:cs="Times New Roman"/>
                <w:snapToGrid w:val="0"/>
                <w:color w:val="auto"/>
                <w:spacing w:val="-6"/>
                <w:kern w:val="21"/>
                <w:sz w:val="24"/>
                <w:szCs w:val="24"/>
              </w:rPr>
              <w:instrText xml:space="preserve"> = 4 \* GB3 \* MERGEFORMAT </w:instrText>
            </w:r>
            <w:r>
              <w:rPr>
                <w:rFonts w:hint="default" w:ascii="Times New Roman" w:hAnsi="Times New Roman" w:eastAsia="黑体" w:cs="Times New Roman"/>
                <w:snapToGrid w:val="0"/>
                <w:color w:val="auto"/>
                <w:spacing w:val="-6"/>
                <w:kern w:val="21"/>
                <w:sz w:val="24"/>
                <w:szCs w:val="24"/>
              </w:rPr>
              <w:fldChar w:fldCharType="separate"/>
            </w:r>
            <w:r>
              <w:rPr>
                <w:rFonts w:hint="default" w:ascii="Times New Roman" w:hAnsi="Times New Roman" w:eastAsia="黑体" w:cs="Times New Roman"/>
                <w:color w:val="auto"/>
                <w:kern w:val="2"/>
                <w:sz w:val="24"/>
                <w:szCs w:val="24"/>
              </w:rPr>
              <w:t>④</w:t>
            </w:r>
            <w:r>
              <w:rPr>
                <w:rFonts w:hint="default" w:ascii="Times New Roman" w:hAnsi="Times New Roman" w:eastAsia="黑体" w:cs="Times New Roman"/>
                <w:snapToGrid w:val="0"/>
                <w:color w:val="auto"/>
                <w:spacing w:val="-6"/>
                <w:kern w:val="21"/>
                <w:sz w:val="24"/>
                <w:szCs w:val="24"/>
              </w:rPr>
              <w:fldChar w:fldCharType="end"/>
            </w:r>
          </w:p>
        </w:tc>
        <w:tc>
          <w:tcPr>
            <w:tcW w:w="583" w:type="pct"/>
            <w:tcMar>
              <w:left w:w="28" w:type="dxa"/>
              <w:right w:w="28" w:type="dxa"/>
            </w:tcMar>
            <w:vAlign w:val="center"/>
          </w:tcPr>
          <w:p w14:paraId="05A56A8E">
            <w:pPr>
              <w:pStyle w:val="56"/>
              <w:spacing w:beforeLines="0" w:afterLines="0" w:line="240" w:lineRule="auto"/>
              <w:ind w:firstLine="0"/>
              <w:rPr>
                <w:rFonts w:hint="default" w:ascii="Times New Roman" w:hAnsi="Times New Roman" w:eastAsia="黑体" w:cs="Times New Roman"/>
                <w:snapToGrid w:val="0"/>
                <w:color w:val="auto"/>
                <w:spacing w:val="-16"/>
                <w:kern w:val="21"/>
                <w:sz w:val="24"/>
                <w:szCs w:val="24"/>
              </w:rPr>
            </w:pPr>
            <w:r>
              <w:rPr>
                <w:rFonts w:hint="default" w:ascii="Times New Roman" w:hAnsi="Times New Roman" w:eastAsia="黑体" w:cs="Times New Roman"/>
                <w:snapToGrid w:val="0"/>
                <w:color w:val="auto"/>
                <w:spacing w:val="-16"/>
                <w:kern w:val="21"/>
                <w:sz w:val="24"/>
                <w:szCs w:val="24"/>
              </w:rPr>
              <w:t>以新带老削减量（新建项目不填）</w:t>
            </w:r>
            <w:r>
              <w:rPr>
                <w:rFonts w:hint="default" w:ascii="Times New Roman" w:hAnsi="Times New Roman" w:eastAsia="黑体" w:cs="Times New Roman"/>
                <w:snapToGrid w:val="0"/>
                <w:color w:val="auto"/>
                <w:spacing w:val="-16"/>
                <w:kern w:val="21"/>
                <w:sz w:val="24"/>
                <w:szCs w:val="24"/>
              </w:rPr>
              <w:fldChar w:fldCharType="begin"/>
            </w:r>
            <w:r>
              <w:rPr>
                <w:rFonts w:hint="default" w:ascii="Times New Roman" w:hAnsi="Times New Roman" w:eastAsia="黑体" w:cs="Times New Roman"/>
                <w:snapToGrid w:val="0"/>
                <w:color w:val="auto"/>
                <w:spacing w:val="-16"/>
                <w:kern w:val="21"/>
                <w:sz w:val="24"/>
                <w:szCs w:val="24"/>
              </w:rPr>
              <w:instrText xml:space="preserve"> = 5 \* GB3 \* MERGEFORMAT </w:instrText>
            </w:r>
            <w:r>
              <w:rPr>
                <w:rFonts w:hint="default" w:ascii="Times New Roman" w:hAnsi="Times New Roman" w:eastAsia="黑体" w:cs="Times New Roman"/>
                <w:snapToGrid w:val="0"/>
                <w:color w:val="auto"/>
                <w:spacing w:val="-16"/>
                <w:kern w:val="21"/>
                <w:sz w:val="24"/>
                <w:szCs w:val="24"/>
              </w:rPr>
              <w:fldChar w:fldCharType="separate"/>
            </w:r>
            <w:r>
              <w:rPr>
                <w:rFonts w:hint="default" w:ascii="Times New Roman" w:hAnsi="Times New Roman" w:eastAsia="黑体" w:cs="Times New Roman"/>
                <w:color w:val="auto"/>
                <w:kern w:val="2"/>
                <w:sz w:val="24"/>
                <w:szCs w:val="24"/>
              </w:rPr>
              <w:t>⑤</w:t>
            </w:r>
            <w:r>
              <w:rPr>
                <w:rFonts w:hint="default" w:ascii="Times New Roman" w:hAnsi="Times New Roman" w:eastAsia="黑体" w:cs="Times New Roman"/>
                <w:snapToGrid w:val="0"/>
                <w:color w:val="auto"/>
                <w:spacing w:val="-16"/>
                <w:kern w:val="21"/>
                <w:sz w:val="24"/>
                <w:szCs w:val="24"/>
              </w:rPr>
              <w:fldChar w:fldCharType="end"/>
            </w:r>
          </w:p>
        </w:tc>
        <w:tc>
          <w:tcPr>
            <w:tcW w:w="603" w:type="pct"/>
            <w:tcMar>
              <w:left w:w="28" w:type="dxa"/>
              <w:right w:w="28" w:type="dxa"/>
            </w:tcMar>
            <w:vAlign w:val="center"/>
          </w:tcPr>
          <w:p w14:paraId="248A000C">
            <w:pPr>
              <w:pStyle w:val="56"/>
              <w:spacing w:beforeLines="0" w:afterLines="0" w:line="240" w:lineRule="auto"/>
              <w:ind w:firstLine="0"/>
              <w:rPr>
                <w:rFonts w:hint="default" w:ascii="Times New Roman" w:hAnsi="Times New Roman" w:eastAsia="黑体" w:cs="Times New Roman"/>
                <w:snapToGrid w:val="0"/>
                <w:color w:val="auto"/>
                <w:spacing w:val="-16"/>
                <w:kern w:val="21"/>
                <w:sz w:val="24"/>
                <w:szCs w:val="24"/>
              </w:rPr>
            </w:pPr>
            <w:r>
              <w:rPr>
                <w:rFonts w:hint="default" w:ascii="Times New Roman" w:hAnsi="Times New Roman" w:eastAsia="黑体" w:cs="Times New Roman"/>
                <w:snapToGrid w:val="0"/>
                <w:color w:val="auto"/>
                <w:spacing w:val="-16"/>
                <w:kern w:val="21"/>
                <w:sz w:val="24"/>
                <w:szCs w:val="24"/>
              </w:rPr>
              <w:t>本项目建成后全厂排放量（固体废物产生量）</w:t>
            </w:r>
            <w:r>
              <w:rPr>
                <w:rFonts w:hint="default" w:ascii="Times New Roman" w:hAnsi="Times New Roman" w:eastAsia="黑体" w:cs="Times New Roman"/>
                <w:snapToGrid w:val="0"/>
                <w:color w:val="auto"/>
                <w:spacing w:val="-16"/>
                <w:kern w:val="21"/>
                <w:sz w:val="24"/>
                <w:szCs w:val="24"/>
              </w:rPr>
              <w:fldChar w:fldCharType="begin"/>
            </w:r>
            <w:r>
              <w:rPr>
                <w:rFonts w:hint="default" w:ascii="Times New Roman" w:hAnsi="Times New Roman" w:eastAsia="黑体" w:cs="Times New Roman"/>
                <w:snapToGrid w:val="0"/>
                <w:color w:val="auto"/>
                <w:spacing w:val="-16"/>
                <w:kern w:val="21"/>
                <w:sz w:val="24"/>
                <w:szCs w:val="24"/>
              </w:rPr>
              <w:instrText xml:space="preserve"> = 6 \* GB3 \* MERGEFORMAT </w:instrText>
            </w:r>
            <w:r>
              <w:rPr>
                <w:rFonts w:hint="default" w:ascii="Times New Roman" w:hAnsi="Times New Roman" w:eastAsia="黑体" w:cs="Times New Roman"/>
                <w:snapToGrid w:val="0"/>
                <w:color w:val="auto"/>
                <w:spacing w:val="-16"/>
                <w:kern w:val="21"/>
                <w:sz w:val="24"/>
                <w:szCs w:val="24"/>
              </w:rPr>
              <w:fldChar w:fldCharType="separate"/>
            </w:r>
            <w:r>
              <w:rPr>
                <w:rFonts w:hint="default" w:ascii="Times New Roman" w:hAnsi="Times New Roman" w:eastAsia="黑体" w:cs="Times New Roman"/>
                <w:color w:val="auto"/>
                <w:kern w:val="2"/>
                <w:sz w:val="24"/>
                <w:szCs w:val="24"/>
              </w:rPr>
              <w:t>⑥</w:t>
            </w:r>
            <w:r>
              <w:rPr>
                <w:rFonts w:hint="default" w:ascii="Times New Roman" w:hAnsi="Times New Roman" w:eastAsia="黑体" w:cs="Times New Roman"/>
                <w:snapToGrid w:val="0"/>
                <w:color w:val="auto"/>
                <w:spacing w:val="-16"/>
                <w:kern w:val="21"/>
                <w:sz w:val="24"/>
                <w:szCs w:val="24"/>
              </w:rPr>
              <w:fldChar w:fldCharType="end"/>
            </w:r>
          </w:p>
        </w:tc>
        <w:tc>
          <w:tcPr>
            <w:tcW w:w="346" w:type="pct"/>
            <w:tcMar>
              <w:left w:w="28" w:type="dxa"/>
              <w:right w:w="28" w:type="dxa"/>
            </w:tcMar>
            <w:vAlign w:val="center"/>
          </w:tcPr>
          <w:p w14:paraId="45DC3CA2">
            <w:pPr>
              <w:pStyle w:val="56"/>
              <w:spacing w:beforeLines="0" w:afterLines="0" w:line="240" w:lineRule="auto"/>
              <w:ind w:firstLine="0"/>
              <w:rPr>
                <w:rFonts w:hint="default" w:ascii="Times New Roman" w:hAnsi="Times New Roman" w:eastAsia="黑体" w:cs="Times New Roman"/>
                <w:snapToGrid w:val="0"/>
                <w:color w:val="auto"/>
                <w:spacing w:val="-6"/>
                <w:kern w:val="21"/>
                <w:sz w:val="24"/>
                <w:szCs w:val="24"/>
              </w:rPr>
            </w:pPr>
            <w:r>
              <w:rPr>
                <w:rFonts w:hint="default" w:ascii="Times New Roman" w:hAnsi="Times New Roman" w:eastAsia="黑体" w:cs="Times New Roman"/>
                <w:snapToGrid w:val="0"/>
                <w:color w:val="auto"/>
                <w:spacing w:val="-6"/>
                <w:kern w:val="21"/>
                <w:sz w:val="24"/>
                <w:szCs w:val="24"/>
              </w:rPr>
              <w:t>变化量</w:t>
            </w:r>
            <w:r>
              <w:rPr>
                <w:rFonts w:hint="default" w:ascii="Times New Roman" w:hAnsi="Times New Roman" w:eastAsia="黑体" w:cs="Times New Roman"/>
                <w:snapToGrid w:val="0"/>
                <w:color w:val="auto"/>
                <w:spacing w:val="-6"/>
                <w:kern w:val="21"/>
                <w:sz w:val="24"/>
                <w:szCs w:val="24"/>
              </w:rPr>
              <w:fldChar w:fldCharType="begin"/>
            </w:r>
            <w:r>
              <w:rPr>
                <w:rFonts w:hint="default" w:ascii="Times New Roman" w:hAnsi="Times New Roman" w:eastAsia="黑体" w:cs="Times New Roman"/>
                <w:snapToGrid w:val="0"/>
                <w:color w:val="auto"/>
                <w:spacing w:val="-6"/>
                <w:kern w:val="21"/>
                <w:sz w:val="24"/>
                <w:szCs w:val="24"/>
              </w:rPr>
              <w:instrText xml:space="preserve"> = 7 \* GB3 \* MERGEFORMAT </w:instrText>
            </w:r>
            <w:r>
              <w:rPr>
                <w:rFonts w:hint="default" w:ascii="Times New Roman" w:hAnsi="Times New Roman" w:eastAsia="黑体" w:cs="Times New Roman"/>
                <w:snapToGrid w:val="0"/>
                <w:color w:val="auto"/>
                <w:spacing w:val="-6"/>
                <w:kern w:val="21"/>
                <w:sz w:val="24"/>
                <w:szCs w:val="24"/>
              </w:rPr>
              <w:fldChar w:fldCharType="separate"/>
            </w:r>
            <w:r>
              <w:rPr>
                <w:rFonts w:hint="default" w:ascii="Times New Roman" w:hAnsi="Times New Roman" w:eastAsia="黑体" w:cs="Times New Roman"/>
                <w:color w:val="auto"/>
                <w:kern w:val="2"/>
                <w:sz w:val="24"/>
                <w:szCs w:val="24"/>
              </w:rPr>
              <w:t>⑦</w:t>
            </w:r>
            <w:r>
              <w:rPr>
                <w:rFonts w:hint="default" w:ascii="Times New Roman" w:hAnsi="Times New Roman" w:eastAsia="黑体" w:cs="Times New Roman"/>
                <w:snapToGrid w:val="0"/>
                <w:color w:val="auto"/>
                <w:spacing w:val="-6"/>
                <w:kern w:val="21"/>
                <w:sz w:val="24"/>
                <w:szCs w:val="24"/>
              </w:rPr>
              <w:fldChar w:fldCharType="end"/>
            </w:r>
          </w:p>
        </w:tc>
      </w:tr>
      <w:tr w14:paraId="7344BA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513" w:type="pct"/>
            <w:vMerge w:val="restart"/>
            <w:vAlign w:val="center"/>
          </w:tcPr>
          <w:p w14:paraId="7FA6C8FD">
            <w:pPr>
              <w:pStyle w:val="56"/>
              <w:spacing w:beforeLines="0" w:afterLines="0" w:line="240" w:lineRule="auto"/>
              <w:ind w:firstLine="0"/>
              <w:rPr>
                <w:rFonts w:hint="default" w:ascii="Times New Roman" w:hAnsi="Times New Roman" w:cs="Times New Roman"/>
                <w:snapToGrid w:val="0"/>
                <w:color w:val="auto"/>
                <w:kern w:val="21"/>
                <w:sz w:val="24"/>
                <w:szCs w:val="24"/>
              </w:rPr>
            </w:pPr>
            <w:r>
              <w:rPr>
                <w:rFonts w:hint="default" w:ascii="Times New Roman" w:hAnsi="Times New Roman" w:cs="Times New Roman"/>
                <w:snapToGrid w:val="0"/>
                <w:color w:val="auto"/>
                <w:kern w:val="21"/>
                <w:sz w:val="24"/>
                <w:szCs w:val="24"/>
              </w:rPr>
              <w:t>废气</w:t>
            </w:r>
          </w:p>
        </w:tc>
        <w:tc>
          <w:tcPr>
            <w:tcW w:w="643" w:type="pct"/>
            <w:vAlign w:val="center"/>
          </w:tcPr>
          <w:p w14:paraId="59BFF68D">
            <w:pPr>
              <w:pStyle w:val="56"/>
              <w:spacing w:beforeLines="0" w:afterLines="0" w:line="240" w:lineRule="auto"/>
              <w:ind w:firstLine="0"/>
              <w:jc w:val="center"/>
              <w:rPr>
                <w:rFonts w:hint="default" w:ascii="Times New Roman" w:hAnsi="Times New Roman" w:eastAsia="Calibri" w:cs="Times New Roman"/>
                <w:snapToGrid w:val="0"/>
                <w:color w:val="auto"/>
                <w:kern w:val="21"/>
                <w:sz w:val="21"/>
                <w:szCs w:val="21"/>
              </w:rPr>
            </w:pPr>
            <w:r>
              <w:rPr>
                <w:rFonts w:hint="default" w:ascii="Times New Roman" w:hAnsi="Times New Roman" w:cs="Times New Roman"/>
                <w:snapToGrid w:val="0"/>
                <w:color w:val="auto"/>
                <w:kern w:val="21"/>
                <w:sz w:val="21"/>
                <w:szCs w:val="21"/>
              </w:rPr>
              <w:t>颗粒物</w:t>
            </w:r>
          </w:p>
        </w:tc>
        <w:tc>
          <w:tcPr>
            <w:tcW w:w="583" w:type="pct"/>
            <w:vAlign w:val="center"/>
          </w:tcPr>
          <w:p w14:paraId="189D6D2C">
            <w:pPr>
              <w:widowControl/>
              <w:jc w:val="center"/>
              <w:textAlignment w:val="center"/>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0.84</w:t>
            </w:r>
          </w:p>
        </w:tc>
        <w:tc>
          <w:tcPr>
            <w:tcW w:w="428" w:type="pct"/>
            <w:vAlign w:val="center"/>
          </w:tcPr>
          <w:p w14:paraId="2E0697FC">
            <w:pPr>
              <w:pStyle w:val="56"/>
              <w:spacing w:beforeLines="0" w:afterLines="0" w:line="240" w:lineRule="auto"/>
              <w:ind w:firstLine="0" w:firstLineChars="0"/>
              <w:jc w:val="center"/>
              <w:rPr>
                <w:rFonts w:hint="default" w:ascii="Times New Roman" w:hAnsi="Times New Roman" w:eastAsia="Calibri" w:cs="Times New Roman"/>
                <w:snapToGrid w:val="0"/>
                <w:color w:val="auto"/>
                <w:kern w:val="21"/>
                <w:sz w:val="21"/>
                <w:szCs w:val="21"/>
              </w:rPr>
            </w:pPr>
            <w:r>
              <w:rPr>
                <w:rFonts w:hint="default" w:ascii="Times New Roman" w:hAnsi="Times New Roman" w:eastAsia="Calibri" w:cs="Times New Roman"/>
                <w:snapToGrid w:val="0"/>
                <w:color w:val="auto"/>
                <w:kern w:val="21"/>
                <w:sz w:val="21"/>
                <w:szCs w:val="21"/>
              </w:rPr>
              <w:t>/</w:t>
            </w:r>
          </w:p>
        </w:tc>
        <w:tc>
          <w:tcPr>
            <w:tcW w:w="649" w:type="pct"/>
            <w:shd w:val="clear" w:color="auto" w:fill="auto"/>
            <w:vAlign w:val="center"/>
          </w:tcPr>
          <w:p w14:paraId="4D54A8D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0.42</w:t>
            </w:r>
          </w:p>
        </w:tc>
        <w:tc>
          <w:tcPr>
            <w:tcW w:w="1820" w:type="dxa"/>
            <w:vAlign w:val="center"/>
          </w:tcPr>
          <w:p w14:paraId="43C3530F">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2.126</w:t>
            </w:r>
          </w:p>
        </w:tc>
        <w:tc>
          <w:tcPr>
            <w:tcW w:w="583" w:type="pct"/>
            <w:vAlign w:val="center"/>
          </w:tcPr>
          <w:p w14:paraId="1EEAA483">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0</w:t>
            </w:r>
          </w:p>
        </w:tc>
        <w:tc>
          <w:tcPr>
            <w:tcW w:w="1696" w:type="dxa"/>
            <w:vAlign w:val="center"/>
          </w:tcPr>
          <w:p w14:paraId="74845AA1">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3.386</w:t>
            </w:r>
          </w:p>
        </w:tc>
        <w:tc>
          <w:tcPr>
            <w:tcW w:w="974" w:type="dxa"/>
            <w:vAlign w:val="center"/>
          </w:tcPr>
          <w:p w14:paraId="7B0906A9">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2.126</w:t>
            </w:r>
          </w:p>
        </w:tc>
      </w:tr>
      <w:tr w14:paraId="5E298A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513" w:type="pct"/>
            <w:vMerge w:val="continue"/>
            <w:vAlign w:val="center"/>
          </w:tcPr>
          <w:p w14:paraId="287BA64C">
            <w:pPr>
              <w:pStyle w:val="56"/>
              <w:spacing w:beforeLines="0" w:afterLines="0" w:line="240" w:lineRule="auto"/>
              <w:ind w:firstLine="0"/>
              <w:rPr>
                <w:rFonts w:hint="default" w:ascii="Times New Roman" w:hAnsi="Times New Roman" w:cs="Times New Roman"/>
                <w:snapToGrid w:val="0"/>
                <w:color w:val="auto"/>
                <w:kern w:val="21"/>
                <w:sz w:val="24"/>
                <w:szCs w:val="24"/>
              </w:rPr>
            </w:pPr>
          </w:p>
        </w:tc>
        <w:tc>
          <w:tcPr>
            <w:tcW w:w="643" w:type="pct"/>
            <w:vAlign w:val="center"/>
          </w:tcPr>
          <w:p w14:paraId="29E50DD9">
            <w:pPr>
              <w:pStyle w:val="56"/>
              <w:spacing w:beforeLines="0" w:afterLines="0" w:line="240" w:lineRule="auto"/>
              <w:ind w:firstLine="0"/>
              <w:jc w:val="center"/>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SO</w:t>
            </w:r>
            <w:r>
              <w:rPr>
                <w:rFonts w:hint="default" w:ascii="Times New Roman" w:hAnsi="Times New Roman" w:cs="Times New Roman"/>
                <w:snapToGrid w:val="0"/>
                <w:color w:val="auto"/>
                <w:kern w:val="21"/>
                <w:sz w:val="21"/>
                <w:szCs w:val="21"/>
                <w:vertAlign w:val="subscript"/>
              </w:rPr>
              <w:t>2</w:t>
            </w:r>
          </w:p>
        </w:tc>
        <w:tc>
          <w:tcPr>
            <w:tcW w:w="583" w:type="pct"/>
            <w:vAlign w:val="center"/>
          </w:tcPr>
          <w:p w14:paraId="64B6A1DE">
            <w:pPr>
              <w:pStyle w:val="56"/>
              <w:spacing w:beforeLines="0" w:afterLines="0" w:line="240" w:lineRule="auto"/>
              <w:ind w:firstLine="0" w:firstLineChars="0"/>
              <w:jc w:val="center"/>
              <w:rPr>
                <w:rFonts w:hint="default" w:ascii="Times New Roman" w:hAnsi="Times New Roman" w:eastAsia="Calibri" w:cs="Times New Roman"/>
                <w:snapToGrid w:val="0"/>
                <w:color w:val="auto"/>
                <w:kern w:val="21"/>
                <w:sz w:val="21"/>
                <w:szCs w:val="21"/>
              </w:rPr>
            </w:pPr>
            <w:r>
              <w:rPr>
                <w:rFonts w:hint="default" w:ascii="Times New Roman" w:hAnsi="Times New Roman" w:eastAsia="Calibri" w:cs="Times New Roman"/>
                <w:snapToGrid w:val="0"/>
                <w:color w:val="auto"/>
                <w:kern w:val="21"/>
                <w:sz w:val="21"/>
                <w:szCs w:val="21"/>
              </w:rPr>
              <w:t>/</w:t>
            </w:r>
          </w:p>
        </w:tc>
        <w:tc>
          <w:tcPr>
            <w:tcW w:w="428" w:type="pct"/>
            <w:vAlign w:val="center"/>
          </w:tcPr>
          <w:p w14:paraId="54E731DD">
            <w:pPr>
              <w:pStyle w:val="56"/>
              <w:spacing w:beforeLines="0" w:afterLines="0" w:line="240" w:lineRule="auto"/>
              <w:ind w:firstLine="0" w:firstLineChars="0"/>
              <w:jc w:val="center"/>
              <w:rPr>
                <w:rFonts w:hint="default" w:ascii="Times New Roman" w:hAnsi="Times New Roman" w:eastAsia="Calibri" w:cs="Times New Roman"/>
                <w:snapToGrid w:val="0"/>
                <w:color w:val="auto"/>
                <w:kern w:val="21"/>
                <w:sz w:val="21"/>
                <w:szCs w:val="21"/>
              </w:rPr>
            </w:pPr>
            <w:r>
              <w:rPr>
                <w:rFonts w:hint="default" w:ascii="Times New Roman" w:hAnsi="Times New Roman" w:eastAsia="Calibri" w:cs="Times New Roman"/>
                <w:snapToGrid w:val="0"/>
                <w:color w:val="auto"/>
                <w:kern w:val="21"/>
                <w:sz w:val="21"/>
                <w:szCs w:val="21"/>
              </w:rPr>
              <w:t>/</w:t>
            </w:r>
          </w:p>
        </w:tc>
        <w:tc>
          <w:tcPr>
            <w:tcW w:w="649" w:type="pct"/>
            <w:vAlign w:val="center"/>
          </w:tcPr>
          <w:p w14:paraId="07FAC84D">
            <w:pPr>
              <w:pStyle w:val="56"/>
              <w:spacing w:beforeLines="0" w:afterLines="0" w:line="240" w:lineRule="auto"/>
              <w:ind w:firstLine="0"/>
              <w:jc w:val="center"/>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820" w:type="dxa"/>
            <w:vAlign w:val="center"/>
          </w:tcPr>
          <w:p w14:paraId="6CD58234">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0.180</w:t>
            </w:r>
          </w:p>
        </w:tc>
        <w:tc>
          <w:tcPr>
            <w:tcW w:w="583" w:type="pct"/>
            <w:vAlign w:val="center"/>
          </w:tcPr>
          <w:p w14:paraId="1D472B9B">
            <w:pPr>
              <w:widowControl/>
              <w:jc w:val="center"/>
              <w:textAlignment w:val="center"/>
              <w:rPr>
                <w:rFonts w:hint="default" w:ascii="Times New Roman" w:hAnsi="Times New Roman" w:cs="Times New Roman"/>
                <w:color w:val="auto"/>
                <w:kern w:val="0"/>
                <w:sz w:val="21"/>
                <w:szCs w:val="21"/>
                <w:lang w:bidi="ar"/>
              </w:rPr>
            </w:pPr>
          </w:p>
        </w:tc>
        <w:tc>
          <w:tcPr>
            <w:tcW w:w="1696" w:type="dxa"/>
            <w:vAlign w:val="center"/>
          </w:tcPr>
          <w:p w14:paraId="35DDD1E2">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0.180</w:t>
            </w:r>
          </w:p>
        </w:tc>
        <w:tc>
          <w:tcPr>
            <w:tcW w:w="974" w:type="dxa"/>
            <w:vAlign w:val="center"/>
          </w:tcPr>
          <w:p w14:paraId="4874DD92">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0.180</w:t>
            </w:r>
          </w:p>
        </w:tc>
      </w:tr>
      <w:tr w14:paraId="44A59A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513" w:type="pct"/>
            <w:vMerge w:val="continue"/>
            <w:vAlign w:val="center"/>
          </w:tcPr>
          <w:p w14:paraId="646A9143">
            <w:pPr>
              <w:pStyle w:val="56"/>
              <w:spacing w:beforeLines="0" w:afterLines="0" w:line="240" w:lineRule="auto"/>
              <w:ind w:firstLine="0"/>
              <w:rPr>
                <w:rFonts w:hint="default" w:ascii="Times New Roman" w:hAnsi="Times New Roman" w:cs="Times New Roman"/>
                <w:snapToGrid w:val="0"/>
                <w:color w:val="auto"/>
                <w:kern w:val="21"/>
                <w:sz w:val="24"/>
                <w:szCs w:val="24"/>
              </w:rPr>
            </w:pPr>
          </w:p>
        </w:tc>
        <w:tc>
          <w:tcPr>
            <w:tcW w:w="643" w:type="pct"/>
            <w:vAlign w:val="center"/>
          </w:tcPr>
          <w:p w14:paraId="5ED73BEA">
            <w:pPr>
              <w:pStyle w:val="56"/>
              <w:spacing w:beforeLines="0" w:afterLines="0" w:line="240" w:lineRule="auto"/>
              <w:ind w:firstLine="0"/>
              <w:jc w:val="center"/>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NOx</w:t>
            </w:r>
          </w:p>
        </w:tc>
        <w:tc>
          <w:tcPr>
            <w:tcW w:w="583" w:type="pct"/>
            <w:vAlign w:val="center"/>
          </w:tcPr>
          <w:p w14:paraId="181667E7">
            <w:pPr>
              <w:pStyle w:val="56"/>
              <w:spacing w:beforeLines="0" w:afterLines="0" w:line="240" w:lineRule="auto"/>
              <w:ind w:firstLine="0" w:firstLineChars="0"/>
              <w:jc w:val="center"/>
              <w:rPr>
                <w:rFonts w:hint="default" w:ascii="Times New Roman" w:hAnsi="Times New Roman" w:eastAsia="Calibri" w:cs="Times New Roman"/>
                <w:snapToGrid w:val="0"/>
                <w:color w:val="auto"/>
                <w:kern w:val="21"/>
                <w:sz w:val="21"/>
                <w:szCs w:val="21"/>
              </w:rPr>
            </w:pPr>
            <w:r>
              <w:rPr>
                <w:rFonts w:hint="default" w:ascii="Times New Roman" w:hAnsi="Times New Roman" w:eastAsia="Calibri" w:cs="Times New Roman"/>
                <w:snapToGrid w:val="0"/>
                <w:color w:val="auto"/>
                <w:kern w:val="21"/>
                <w:sz w:val="21"/>
                <w:szCs w:val="21"/>
              </w:rPr>
              <w:t>/</w:t>
            </w:r>
          </w:p>
        </w:tc>
        <w:tc>
          <w:tcPr>
            <w:tcW w:w="428" w:type="pct"/>
            <w:vAlign w:val="center"/>
          </w:tcPr>
          <w:p w14:paraId="78EF41A6">
            <w:pPr>
              <w:pStyle w:val="56"/>
              <w:spacing w:beforeLines="0" w:afterLines="0" w:line="240" w:lineRule="auto"/>
              <w:ind w:firstLine="0" w:firstLineChars="0"/>
              <w:jc w:val="center"/>
              <w:rPr>
                <w:rFonts w:hint="default" w:ascii="Times New Roman" w:hAnsi="Times New Roman" w:eastAsia="Calibri" w:cs="Times New Roman"/>
                <w:snapToGrid w:val="0"/>
                <w:color w:val="auto"/>
                <w:kern w:val="21"/>
                <w:sz w:val="21"/>
                <w:szCs w:val="21"/>
              </w:rPr>
            </w:pPr>
            <w:r>
              <w:rPr>
                <w:rFonts w:hint="default" w:ascii="Times New Roman" w:hAnsi="Times New Roman" w:eastAsia="Calibri" w:cs="Times New Roman"/>
                <w:snapToGrid w:val="0"/>
                <w:color w:val="auto"/>
                <w:kern w:val="21"/>
                <w:sz w:val="21"/>
                <w:szCs w:val="21"/>
              </w:rPr>
              <w:t>/</w:t>
            </w:r>
          </w:p>
        </w:tc>
        <w:tc>
          <w:tcPr>
            <w:tcW w:w="649" w:type="pct"/>
            <w:vAlign w:val="center"/>
          </w:tcPr>
          <w:p w14:paraId="75B69564">
            <w:pPr>
              <w:pStyle w:val="56"/>
              <w:spacing w:beforeLines="0" w:afterLines="0" w:line="240" w:lineRule="auto"/>
              <w:ind w:firstLine="0"/>
              <w:jc w:val="center"/>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820" w:type="dxa"/>
            <w:vAlign w:val="center"/>
          </w:tcPr>
          <w:p w14:paraId="3F3B67DF">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1.684</w:t>
            </w:r>
          </w:p>
        </w:tc>
        <w:tc>
          <w:tcPr>
            <w:tcW w:w="583" w:type="pct"/>
            <w:vAlign w:val="center"/>
          </w:tcPr>
          <w:p w14:paraId="5ABF48A2">
            <w:pPr>
              <w:widowControl/>
              <w:jc w:val="center"/>
              <w:textAlignment w:val="center"/>
              <w:rPr>
                <w:rFonts w:hint="default" w:ascii="Times New Roman" w:hAnsi="Times New Roman" w:cs="Times New Roman"/>
                <w:color w:val="auto"/>
                <w:kern w:val="0"/>
                <w:sz w:val="21"/>
                <w:szCs w:val="21"/>
                <w:lang w:bidi="ar"/>
              </w:rPr>
            </w:pPr>
          </w:p>
        </w:tc>
        <w:tc>
          <w:tcPr>
            <w:tcW w:w="1696" w:type="dxa"/>
            <w:vAlign w:val="center"/>
          </w:tcPr>
          <w:p w14:paraId="589A83B6">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1.684</w:t>
            </w:r>
          </w:p>
        </w:tc>
        <w:tc>
          <w:tcPr>
            <w:tcW w:w="974" w:type="dxa"/>
            <w:vAlign w:val="center"/>
          </w:tcPr>
          <w:p w14:paraId="34ACFD31">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1.684</w:t>
            </w:r>
          </w:p>
        </w:tc>
      </w:tr>
      <w:tr w14:paraId="7F9DBD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513" w:type="pct"/>
            <w:vMerge w:val="continue"/>
            <w:vAlign w:val="center"/>
          </w:tcPr>
          <w:p w14:paraId="1936C7A7">
            <w:pPr>
              <w:pStyle w:val="56"/>
              <w:spacing w:beforeLines="0" w:afterLines="0" w:line="240" w:lineRule="auto"/>
              <w:ind w:firstLine="0"/>
              <w:rPr>
                <w:rFonts w:hint="default" w:ascii="Times New Roman" w:hAnsi="Times New Roman" w:cs="Times New Roman"/>
                <w:snapToGrid w:val="0"/>
                <w:color w:val="auto"/>
                <w:kern w:val="21"/>
                <w:sz w:val="24"/>
                <w:szCs w:val="24"/>
              </w:rPr>
            </w:pPr>
          </w:p>
        </w:tc>
        <w:tc>
          <w:tcPr>
            <w:tcW w:w="643" w:type="pct"/>
            <w:shd w:val="clear" w:color="auto" w:fill="auto"/>
            <w:vAlign w:val="center"/>
          </w:tcPr>
          <w:p w14:paraId="3FE0B42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HCl</w:t>
            </w:r>
          </w:p>
        </w:tc>
        <w:tc>
          <w:tcPr>
            <w:tcW w:w="1640" w:type="dxa"/>
            <w:vAlign w:val="center"/>
          </w:tcPr>
          <w:p w14:paraId="17503C8D">
            <w:pPr>
              <w:pStyle w:val="56"/>
              <w:spacing w:beforeLines="0" w:afterLines="0" w:line="240" w:lineRule="auto"/>
              <w:ind w:firstLine="0" w:firstLineChars="0"/>
              <w:jc w:val="center"/>
              <w:rPr>
                <w:rFonts w:hint="default" w:ascii="Times New Roman" w:hAnsi="Times New Roman" w:eastAsia="Calibri" w:cs="Times New Roman"/>
                <w:snapToGrid w:val="0"/>
                <w:color w:val="auto"/>
                <w:kern w:val="21"/>
                <w:sz w:val="21"/>
                <w:szCs w:val="21"/>
              </w:rPr>
            </w:pPr>
            <w:r>
              <w:rPr>
                <w:rFonts w:hint="default" w:ascii="Times New Roman" w:hAnsi="Times New Roman" w:eastAsia="Calibri" w:cs="Times New Roman"/>
                <w:snapToGrid w:val="0"/>
                <w:color w:val="auto"/>
                <w:kern w:val="21"/>
                <w:sz w:val="21"/>
                <w:szCs w:val="21"/>
              </w:rPr>
              <w:t>/</w:t>
            </w:r>
          </w:p>
        </w:tc>
        <w:tc>
          <w:tcPr>
            <w:tcW w:w="1204" w:type="dxa"/>
            <w:vAlign w:val="center"/>
          </w:tcPr>
          <w:p w14:paraId="1C5A5FA9">
            <w:pPr>
              <w:pStyle w:val="56"/>
              <w:spacing w:beforeLines="0" w:afterLines="0" w:line="240" w:lineRule="auto"/>
              <w:ind w:firstLine="0" w:firstLineChars="0"/>
              <w:jc w:val="center"/>
              <w:rPr>
                <w:rFonts w:hint="default" w:ascii="Times New Roman" w:hAnsi="Times New Roman" w:eastAsia="Calibri" w:cs="Times New Roman"/>
                <w:snapToGrid w:val="0"/>
                <w:color w:val="auto"/>
                <w:kern w:val="21"/>
                <w:sz w:val="21"/>
                <w:szCs w:val="21"/>
              </w:rPr>
            </w:pPr>
            <w:r>
              <w:rPr>
                <w:rFonts w:hint="default" w:ascii="Times New Roman" w:hAnsi="Times New Roman" w:eastAsia="Calibri" w:cs="Times New Roman"/>
                <w:snapToGrid w:val="0"/>
                <w:color w:val="auto"/>
                <w:kern w:val="21"/>
                <w:sz w:val="21"/>
                <w:szCs w:val="21"/>
              </w:rPr>
              <w:t>/</w:t>
            </w:r>
          </w:p>
        </w:tc>
        <w:tc>
          <w:tcPr>
            <w:tcW w:w="1826" w:type="dxa"/>
            <w:vAlign w:val="center"/>
          </w:tcPr>
          <w:p w14:paraId="307B9684">
            <w:pPr>
              <w:pStyle w:val="56"/>
              <w:spacing w:beforeLines="0" w:afterLines="0" w:line="240" w:lineRule="auto"/>
              <w:ind w:firstLine="0" w:firstLineChars="0"/>
              <w:jc w:val="center"/>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820" w:type="dxa"/>
            <w:vAlign w:val="center"/>
          </w:tcPr>
          <w:p w14:paraId="21DA7F0E">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6.46</w:t>
            </w:r>
            <w:r>
              <w:rPr>
                <w:rFonts w:hint="default" w:ascii="Times New Roman" w:hAnsi="Times New Roman" w:cs="Times New Roman"/>
                <w:i w:val="0"/>
                <w:iCs w:val="0"/>
                <w:color w:val="auto"/>
                <w:kern w:val="0"/>
                <w:sz w:val="21"/>
                <w:szCs w:val="21"/>
                <w:u w:val="none"/>
                <w:lang w:val="en-US" w:eastAsia="zh-CN" w:bidi="ar"/>
              </w:rPr>
              <w:t>8</w:t>
            </w:r>
          </w:p>
        </w:tc>
        <w:tc>
          <w:tcPr>
            <w:tcW w:w="583" w:type="pct"/>
            <w:vAlign w:val="center"/>
          </w:tcPr>
          <w:p w14:paraId="55D7D3A7">
            <w:pPr>
              <w:widowControl/>
              <w:jc w:val="center"/>
              <w:textAlignment w:val="center"/>
              <w:rPr>
                <w:rFonts w:hint="default" w:ascii="Times New Roman" w:hAnsi="Times New Roman" w:cs="Times New Roman"/>
                <w:color w:val="auto"/>
                <w:kern w:val="0"/>
                <w:sz w:val="21"/>
                <w:szCs w:val="21"/>
                <w:lang w:bidi="ar"/>
              </w:rPr>
            </w:pPr>
          </w:p>
        </w:tc>
        <w:tc>
          <w:tcPr>
            <w:tcW w:w="1696" w:type="dxa"/>
            <w:vAlign w:val="center"/>
          </w:tcPr>
          <w:p w14:paraId="12B883CA">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6.46</w:t>
            </w:r>
            <w:r>
              <w:rPr>
                <w:rFonts w:hint="default" w:ascii="Times New Roman" w:hAnsi="Times New Roman" w:cs="Times New Roman"/>
                <w:i w:val="0"/>
                <w:iCs w:val="0"/>
                <w:color w:val="auto"/>
                <w:kern w:val="0"/>
                <w:sz w:val="21"/>
                <w:szCs w:val="21"/>
                <w:u w:val="none"/>
                <w:lang w:val="en-US" w:eastAsia="zh-CN" w:bidi="ar"/>
              </w:rPr>
              <w:t>8</w:t>
            </w:r>
          </w:p>
        </w:tc>
        <w:tc>
          <w:tcPr>
            <w:tcW w:w="974" w:type="dxa"/>
            <w:vAlign w:val="center"/>
          </w:tcPr>
          <w:p w14:paraId="4045C478">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6.46</w:t>
            </w:r>
            <w:r>
              <w:rPr>
                <w:rFonts w:hint="default" w:ascii="Times New Roman" w:hAnsi="Times New Roman" w:cs="Times New Roman"/>
                <w:i w:val="0"/>
                <w:iCs w:val="0"/>
                <w:color w:val="auto"/>
                <w:kern w:val="0"/>
                <w:sz w:val="21"/>
                <w:szCs w:val="21"/>
                <w:u w:val="none"/>
                <w:lang w:val="en-US" w:eastAsia="zh-CN" w:bidi="ar"/>
              </w:rPr>
              <w:t>8</w:t>
            </w:r>
          </w:p>
        </w:tc>
      </w:tr>
      <w:tr w14:paraId="266080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513" w:type="pct"/>
            <w:vMerge w:val="restart"/>
            <w:vAlign w:val="center"/>
          </w:tcPr>
          <w:p w14:paraId="356A0B55">
            <w:pPr>
              <w:pStyle w:val="56"/>
              <w:spacing w:beforeLines="0" w:afterLines="0" w:line="240" w:lineRule="auto"/>
              <w:ind w:firstLine="0"/>
              <w:rPr>
                <w:rFonts w:hint="default" w:ascii="Times New Roman" w:hAnsi="Times New Roman" w:cs="Times New Roman"/>
                <w:snapToGrid w:val="0"/>
                <w:color w:val="auto"/>
                <w:kern w:val="21"/>
                <w:sz w:val="24"/>
                <w:szCs w:val="24"/>
              </w:rPr>
            </w:pPr>
            <w:r>
              <w:rPr>
                <w:rFonts w:hint="default" w:ascii="Times New Roman" w:hAnsi="Times New Roman" w:cs="Times New Roman"/>
                <w:snapToGrid w:val="0"/>
                <w:color w:val="auto"/>
                <w:kern w:val="21"/>
                <w:sz w:val="24"/>
                <w:szCs w:val="24"/>
              </w:rPr>
              <w:t>废水</w:t>
            </w:r>
          </w:p>
        </w:tc>
        <w:tc>
          <w:tcPr>
            <w:tcW w:w="643" w:type="pct"/>
            <w:vAlign w:val="center"/>
          </w:tcPr>
          <w:p w14:paraId="318BE183">
            <w:pPr>
              <w:pStyle w:val="56"/>
              <w:spacing w:beforeLines="0" w:afterLines="0" w:line="240" w:lineRule="auto"/>
              <w:ind w:firstLine="0"/>
              <w:jc w:val="center"/>
              <w:rPr>
                <w:rFonts w:hint="default" w:ascii="Times New Roman" w:hAnsi="Times New Roman" w:eastAsia="Calibri" w:cs="Times New Roman"/>
                <w:snapToGrid w:val="0"/>
                <w:color w:val="auto"/>
                <w:kern w:val="21"/>
                <w:sz w:val="21"/>
                <w:szCs w:val="21"/>
              </w:rPr>
            </w:pPr>
            <w:r>
              <w:rPr>
                <w:rFonts w:hint="default" w:ascii="Times New Roman" w:hAnsi="Times New Roman" w:cs="Times New Roman"/>
                <w:snapToGrid w:val="0"/>
                <w:color w:val="auto"/>
                <w:kern w:val="21"/>
                <w:sz w:val="21"/>
                <w:szCs w:val="21"/>
              </w:rPr>
              <w:t>COD</w:t>
            </w:r>
          </w:p>
        </w:tc>
        <w:tc>
          <w:tcPr>
            <w:tcW w:w="583" w:type="pct"/>
            <w:vAlign w:val="center"/>
          </w:tcPr>
          <w:p w14:paraId="2CE42A6F">
            <w:pPr>
              <w:pStyle w:val="56"/>
              <w:spacing w:beforeLines="0" w:afterLines="0" w:line="240" w:lineRule="auto"/>
              <w:ind w:firstLine="0"/>
              <w:jc w:val="center"/>
              <w:rPr>
                <w:rFonts w:hint="default" w:ascii="Times New Roman" w:hAnsi="Times New Roman" w:eastAsia="Calibri" w:cs="Times New Roman"/>
                <w:snapToGrid w:val="0"/>
                <w:color w:val="auto"/>
                <w:kern w:val="21"/>
                <w:sz w:val="21"/>
                <w:szCs w:val="21"/>
              </w:rPr>
            </w:pPr>
            <w:r>
              <w:rPr>
                <w:rFonts w:hint="default" w:ascii="Times New Roman" w:hAnsi="Times New Roman" w:cs="Times New Roman"/>
                <w:snapToGrid w:val="0"/>
                <w:color w:val="auto"/>
                <w:kern w:val="21"/>
                <w:sz w:val="21"/>
                <w:szCs w:val="21"/>
              </w:rPr>
              <w:t>0</w:t>
            </w:r>
          </w:p>
        </w:tc>
        <w:tc>
          <w:tcPr>
            <w:tcW w:w="428" w:type="pct"/>
            <w:vAlign w:val="center"/>
          </w:tcPr>
          <w:p w14:paraId="75615E44">
            <w:pPr>
              <w:pStyle w:val="56"/>
              <w:spacing w:beforeLines="0" w:afterLines="0" w:line="240" w:lineRule="auto"/>
              <w:ind w:firstLine="0"/>
              <w:jc w:val="center"/>
              <w:rPr>
                <w:rFonts w:hint="default" w:ascii="Times New Roman" w:hAnsi="Times New Roman" w:eastAsia="Calibri" w:cs="Times New Roman"/>
                <w:snapToGrid w:val="0"/>
                <w:color w:val="auto"/>
                <w:kern w:val="21"/>
                <w:sz w:val="21"/>
                <w:szCs w:val="21"/>
              </w:rPr>
            </w:pPr>
            <w:r>
              <w:rPr>
                <w:rFonts w:hint="default" w:ascii="Times New Roman" w:hAnsi="Times New Roman" w:eastAsia="Calibri" w:cs="Times New Roman"/>
                <w:snapToGrid w:val="0"/>
                <w:color w:val="auto"/>
                <w:kern w:val="21"/>
                <w:sz w:val="21"/>
                <w:szCs w:val="21"/>
              </w:rPr>
              <w:t>/</w:t>
            </w:r>
          </w:p>
        </w:tc>
        <w:tc>
          <w:tcPr>
            <w:tcW w:w="649" w:type="pct"/>
            <w:vAlign w:val="center"/>
          </w:tcPr>
          <w:p w14:paraId="6B159463">
            <w:pPr>
              <w:pStyle w:val="56"/>
              <w:spacing w:beforeLines="0" w:afterLines="0" w:line="240" w:lineRule="auto"/>
              <w:ind w:firstLine="0"/>
              <w:jc w:val="center"/>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820" w:type="dxa"/>
            <w:vAlign w:val="center"/>
          </w:tcPr>
          <w:p w14:paraId="60731F56">
            <w:pPr>
              <w:keepNext w:val="0"/>
              <w:keepLines w:val="0"/>
              <w:widowControl/>
              <w:suppressLineNumbers w:val="0"/>
              <w:jc w:val="center"/>
              <w:textAlignment w:val="center"/>
              <w:rPr>
                <w:rFonts w:hint="default" w:ascii="Times New Roman" w:hAnsi="Times New Roman" w:cs="Times New Roman"/>
                <w:snapToGrid w:val="0"/>
                <w:color w:val="auto"/>
                <w:kern w:val="21"/>
                <w:sz w:val="21"/>
                <w:szCs w:val="21"/>
              </w:rPr>
            </w:pPr>
            <w:r>
              <w:rPr>
                <w:rFonts w:hint="default" w:ascii="Times New Roman" w:hAnsi="Times New Roman" w:eastAsia="宋体" w:cs="Times New Roman"/>
                <w:i w:val="0"/>
                <w:iCs w:val="0"/>
                <w:color w:val="auto"/>
                <w:kern w:val="0"/>
                <w:sz w:val="21"/>
                <w:szCs w:val="21"/>
                <w:u w:val="none"/>
                <w:lang w:val="en-US" w:eastAsia="zh-CN" w:bidi="ar"/>
              </w:rPr>
              <w:t>2.625</w:t>
            </w:r>
          </w:p>
        </w:tc>
        <w:tc>
          <w:tcPr>
            <w:tcW w:w="583" w:type="pct"/>
            <w:vAlign w:val="center"/>
          </w:tcPr>
          <w:p w14:paraId="015EE574">
            <w:pPr>
              <w:pStyle w:val="56"/>
              <w:spacing w:beforeLines="0" w:afterLines="0" w:line="240" w:lineRule="auto"/>
              <w:ind w:firstLine="0"/>
              <w:jc w:val="center"/>
              <w:rPr>
                <w:rFonts w:hint="default" w:ascii="Times New Roman" w:hAnsi="Times New Roman" w:eastAsia="Calibri"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696" w:type="dxa"/>
            <w:vAlign w:val="center"/>
          </w:tcPr>
          <w:p w14:paraId="7E646296">
            <w:pPr>
              <w:keepNext w:val="0"/>
              <w:keepLines w:val="0"/>
              <w:widowControl/>
              <w:suppressLineNumbers w:val="0"/>
              <w:jc w:val="center"/>
              <w:textAlignment w:val="center"/>
              <w:rPr>
                <w:rFonts w:hint="default" w:ascii="Times New Roman" w:hAnsi="Times New Roman" w:cs="Times New Roman"/>
                <w:snapToGrid w:val="0"/>
                <w:color w:val="auto"/>
                <w:kern w:val="21"/>
                <w:sz w:val="21"/>
                <w:szCs w:val="21"/>
              </w:rPr>
            </w:pPr>
            <w:r>
              <w:rPr>
                <w:rFonts w:hint="default" w:ascii="Times New Roman" w:hAnsi="Times New Roman" w:eastAsia="宋体" w:cs="Times New Roman"/>
                <w:i w:val="0"/>
                <w:iCs w:val="0"/>
                <w:color w:val="auto"/>
                <w:kern w:val="0"/>
                <w:sz w:val="21"/>
                <w:szCs w:val="21"/>
                <w:u w:val="none"/>
                <w:lang w:val="en-US" w:eastAsia="zh-CN" w:bidi="ar"/>
              </w:rPr>
              <w:t>2.625</w:t>
            </w:r>
          </w:p>
        </w:tc>
        <w:tc>
          <w:tcPr>
            <w:tcW w:w="974" w:type="dxa"/>
            <w:vAlign w:val="center"/>
          </w:tcPr>
          <w:p w14:paraId="297C5CD1">
            <w:pPr>
              <w:keepNext w:val="0"/>
              <w:keepLines w:val="0"/>
              <w:widowControl/>
              <w:suppressLineNumbers w:val="0"/>
              <w:jc w:val="center"/>
              <w:textAlignment w:val="center"/>
              <w:rPr>
                <w:rFonts w:hint="default" w:ascii="Times New Roman" w:hAnsi="Times New Roman" w:cs="Times New Roman"/>
                <w:snapToGrid w:val="0"/>
                <w:color w:val="auto"/>
                <w:kern w:val="21"/>
                <w:sz w:val="21"/>
                <w:szCs w:val="21"/>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2.625</w:t>
            </w:r>
          </w:p>
        </w:tc>
      </w:tr>
      <w:tr w14:paraId="439A0B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513" w:type="pct"/>
            <w:vMerge w:val="continue"/>
            <w:vAlign w:val="center"/>
          </w:tcPr>
          <w:p w14:paraId="50B9269E">
            <w:pPr>
              <w:pStyle w:val="56"/>
              <w:spacing w:beforeLines="0" w:afterLines="0" w:line="240" w:lineRule="auto"/>
              <w:rPr>
                <w:rFonts w:hint="default" w:ascii="Times New Roman" w:hAnsi="Times New Roman" w:cs="Times New Roman"/>
                <w:snapToGrid w:val="0"/>
                <w:color w:val="auto"/>
                <w:kern w:val="21"/>
                <w:sz w:val="24"/>
                <w:szCs w:val="24"/>
              </w:rPr>
            </w:pPr>
          </w:p>
        </w:tc>
        <w:tc>
          <w:tcPr>
            <w:tcW w:w="643" w:type="pct"/>
            <w:vAlign w:val="center"/>
          </w:tcPr>
          <w:p w14:paraId="01C1FA1B">
            <w:pPr>
              <w:pStyle w:val="56"/>
              <w:spacing w:beforeLines="0" w:afterLines="0" w:line="240" w:lineRule="auto"/>
              <w:ind w:firstLine="0"/>
              <w:jc w:val="center"/>
              <w:rPr>
                <w:rFonts w:hint="default" w:ascii="Times New Roman" w:hAnsi="Times New Roman" w:eastAsia="Calibri" w:cs="Times New Roman"/>
                <w:snapToGrid w:val="0"/>
                <w:color w:val="auto"/>
                <w:kern w:val="21"/>
                <w:sz w:val="21"/>
                <w:szCs w:val="21"/>
              </w:rPr>
            </w:pPr>
            <w:r>
              <w:rPr>
                <w:rFonts w:hint="default" w:ascii="Times New Roman" w:hAnsi="Times New Roman" w:cs="Times New Roman"/>
                <w:snapToGrid w:val="0"/>
                <w:color w:val="auto"/>
                <w:kern w:val="21"/>
                <w:sz w:val="21"/>
                <w:szCs w:val="21"/>
              </w:rPr>
              <w:t>氨氮</w:t>
            </w:r>
          </w:p>
        </w:tc>
        <w:tc>
          <w:tcPr>
            <w:tcW w:w="583" w:type="pct"/>
            <w:vAlign w:val="center"/>
          </w:tcPr>
          <w:p w14:paraId="07599C11">
            <w:pPr>
              <w:pStyle w:val="56"/>
              <w:spacing w:beforeLines="0" w:afterLines="0" w:line="240" w:lineRule="auto"/>
              <w:ind w:firstLine="0"/>
              <w:jc w:val="center"/>
              <w:rPr>
                <w:rFonts w:hint="default" w:ascii="Times New Roman" w:hAnsi="Times New Roman" w:eastAsia="Calibri" w:cs="Times New Roman"/>
                <w:snapToGrid w:val="0"/>
                <w:color w:val="auto"/>
                <w:kern w:val="21"/>
                <w:sz w:val="21"/>
                <w:szCs w:val="21"/>
              </w:rPr>
            </w:pPr>
            <w:r>
              <w:rPr>
                <w:rFonts w:hint="default" w:ascii="Times New Roman" w:hAnsi="Times New Roman" w:cs="Times New Roman"/>
                <w:snapToGrid w:val="0"/>
                <w:color w:val="auto"/>
                <w:kern w:val="21"/>
                <w:sz w:val="21"/>
                <w:szCs w:val="21"/>
              </w:rPr>
              <w:t>0</w:t>
            </w:r>
          </w:p>
        </w:tc>
        <w:tc>
          <w:tcPr>
            <w:tcW w:w="428" w:type="pct"/>
            <w:vAlign w:val="center"/>
          </w:tcPr>
          <w:p w14:paraId="74A5F8C3">
            <w:pPr>
              <w:pStyle w:val="56"/>
              <w:spacing w:beforeLines="0" w:afterLines="0" w:line="240" w:lineRule="auto"/>
              <w:ind w:firstLine="0"/>
              <w:jc w:val="center"/>
              <w:rPr>
                <w:rFonts w:hint="default" w:ascii="Times New Roman" w:hAnsi="Times New Roman" w:eastAsia="Calibri" w:cs="Times New Roman"/>
                <w:snapToGrid w:val="0"/>
                <w:color w:val="auto"/>
                <w:kern w:val="21"/>
                <w:sz w:val="21"/>
                <w:szCs w:val="21"/>
              </w:rPr>
            </w:pPr>
            <w:r>
              <w:rPr>
                <w:rFonts w:hint="default" w:ascii="Times New Roman" w:hAnsi="Times New Roman" w:eastAsia="Calibri" w:cs="Times New Roman"/>
                <w:snapToGrid w:val="0"/>
                <w:color w:val="auto"/>
                <w:kern w:val="21"/>
                <w:sz w:val="21"/>
                <w:szCs w:val="21"/>
              </w:rPr>
              <w:t>/</w:t>
            </w:r>
          </w:p>
        </w:tc>
        <w:tc>
          <w:tcPr>
            <w:tcW w:w="649" w:type="pct"/>
            <w:vAlign w:val="center"/>
          </w:tcPr>
          <w:p w14:paraId="0326A5A8">
            <w:pPr>
              <w:pStyle w:val="56"/>
              <w:spacing w:beforeLines="0" w:afterLines="0" w:line="240" w:lineRule="auto"/>
              <w:ind w:firstLine="0"/>
              <w:jc w:val="center"/>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820" w:type="dxa"/>
            <w:vAlign w:val="center"/>
          </w:tcPr>
          <w:p w14:paraId="6B159016">
            <w:pPr>
              <w:keepNext w:val="0"/>
              <w:keepLines w:val="0"/>
              <w:widowControl/>
              <w:suppressLineNumbers w:val="0"/>
              <w:jc w:val="center"/>
              <w:textAlignment w:val="center"/>
              <w:rPr>
                <w:rFonts w:hint="default" w:ascii="Times New Roman" w:hAnsi="Times New Roman" w:cs="Times New Roman"/>
                <w:snapToGrid w:val="0"/>
                <w:color w:val="auto"/>
                <w:kern w:val="21"/>
                <w:sz w:val="21"/>
                <w:szCs w:val="21"/>
              </w:rPr>
            </w:pPr>
            <w:r>
              <w:rPr>
                <w:rFonts w:hint="default" w:ascii="Times New Roman" w:hAnsi="Times New Roman" w:eastAsia="宋体" w:cs="Times New Roman"/>
                <w:i w:val="0"/>
                <w:iCs w:val="0"/>
                <w:color w:val="auto"/>
                <w:kern w:val="0"/>
                <w:sz w:val="21"/>
                <w:szCs w:val="21"/>
                <w:u w:val="none"/>
                <w:lang w:val="en-US" w:eastAsia="zh-CN" w:bidi="ar"/>
              </w:rPr>
              <w:t>0.262</w:t>
            </w:r>
          </w:p>
        </w:tc>
        <w:tc>
          <w:tcPr>
            <w:tcW w:w="583" w:type="pct"/>
            <w:vAlign w:val="center"/>
          </w:tcPr>
          <w:p w14:paraId="09F18574">
            <w:pPr>
              <w:pStyle w:val="56"/>
              <w:spacing w:beforeLines="0" w:afterLines="0" w:line="240" w:lineRule="auto"/>
              <w:ind w:firstLine="0"/>
              <w:jc w:val="center"/>
              <w:rPr>
                <w:rFonts w:hint="default" w:ascii="Times New Roman" w:hAnsi="Times New Roman" w:eastAsia="Calibri"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696" w:type="dxa"/>
            <w:vAlign w:val="center"/>
          </w:tcPr>
          <w:p w14:paraId="1588637A">
            <w:pPr>
              <w:keepNext w:val="0"/>
              <w:keepLines w:val="0"/>
              <w:widowControl/>
              <w:suppressLineNumbers w:val="0"/>
              <w:jc w:val="center"/>
              <w:textAlignment w:val="center"/>
              <w:rPr>
                <w:rFonts w:hint="default" w:ascii="Times New Roman" w:hAnsi="Times New Roman" w:cs="Times New Roman"/>
                <w:color w:val="auto"/>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0.262</w:t>
            </w:r>
          </w:p>
        </w:tc>
        <w:tc>
          <w:tcPr>
            <w:tcW w:w="974" w:type="dxa"/>
            <w:vAlign w:val="center"/>
          </w:tcPr>
          <w:p w14:paraId="735A6517">
            <w:pPr>
              <w:keepNext w:val="0"/>
              <w:keepLines w:val="0"/>
              <w:widowControl/>
              <w:suppressLineNumbers w:val="0"/>
              <w:jc w:val="center"/>
              <w:textAlignment w:val="center"/>
              <w:rPr>
                <w:rFonts w:hint="default" w:ascii="Times New Roman" w:hAnsi="Times New Roman" w:cs="Times New Roman"/>
                <w:snapToGrid w:val="0"/>
                <w:color w:val="auto"/>
                <w:kern w:val="21"/>
                <w:sz w:val="21"/>
                <w:szCs w:val="21"/>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0.262</w:t>
            </w:r>
          </w:p>
        </w:tc>
      </w:tr>
      <w:tr w14:paraId="76A756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513" w:type="pct"/>
            <w:vMerge w:val="continue"/>
            <w:vAlign w:val="center"/>
          </w:tcPr>
          <w:p w14:paraId="272028A3">
            <w:pPr>
              <w:pStyle w:val="56"/>
              <w:spacing w:beforeLines="0" w:afterLines="0" w:line="240" w:lineRule="auto"/>
              <w:rPr>
                <w:rFonts w:hint="default" w:ascii="Times New Roman" w:hAnsi="Times New Roman" w:cs="Times New Roman"/>
                <w:snapToGrid w:val="0"/>
                <w:color w:val="auto"/>
                <w:kern w:val="21"/>
                <w:sz w:val="24"/>
                <w:szCs w:val="24"/>
              </w:rPr>
            </w:pPr>
          </w:p>
        </w:tc>
        <w:tc>
          <w:tcPr>
            <w:tcW w:w="643" w:type="pct"/>
            <w:vAlign w:val="center"/>
          </w:tcPr>
          <w:p w14:paraId="58ECA3A3">
            <w:pPr>
              <w:pStyle w:val="56"/>
              <w:spacing w:beforeLines="0" w:afterLines="0" w:line="240" w:lineRule="auto"/>
              <w:ind w:firstLine="0"/>
              <w:jc w:val="center"/>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cs="Times New Roman"/>
                <w:snapToGrid w:val="0"/>
                <w:color w:val="auto"/>
                <w:kern w:val="21"/>
                <w:sz w:val="21"/>
                <w:szCs w:val="21"/>
                <w:lang w:val="en-US" w:eastAsia="zh-CN"/>
              </w:rPr>
              <w:t>总磷</w:t>
            </w:r>
          </w:p>
        </w:tc>
        <w:tc>
          <w:tcPr>
            <w:tcW w:w="583" w:type="pct"/>
            <w:vAlign w:val="center"/>
          </w:tcPr>
          <w:p w14:paraId="03552896">
            <w:pPr>
              <w:pStyle w:val="56"/>
              <w:spacing w:beforeLines="0" w:afterLines="0" w:line="240" w:lineRule="auto"/>
              <w:ind w:firstLine="0" w:firstLineChars="0"/>
              <w:jc w:val="center"/>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0</w:t>
            </w:r>
          </w:p>
        </w:tc>
        <w:tc>
          <w:tcPr>
            <w:tcW w:w="428" w:type="pct"/>
            <w:vAlign w:val="center"/>
          </w:tcPr>
          <w:p w14:paraId="5E422E9B">
            <w:pPr>
              <w:spacing w:beforeLines="0" w:afterLines="0" w:line="240" w:lineRule="auto"/>
              <w:ind w:firstLine="0"/>
              <w:jc w:val="center"/>
              <w:rPr>
                <w:rFonts w:hint="default" w:ascii="Times New Roman" w:hAnsi="Times New Roman" w:eastAsia="Calibri" w:cs="Times New Roman"/>
                <w:snapToGrid w:val="0"/>
                <w:color w:val="auto"/>
                <w:kern w:val="21"/>
                <w:sz w:val="21"/>
                <w:szCs w:val="21"/>
              </w:rPr>
            </w:pPr>
            <w:r>
              <w:rPr>
                <w:rFonts w:hint="default" w:ascii="Times New Roman" w:hAnsi="Times New Roman" w:eastAsia="Calibri" w:cs="Times New Roman"/>
                <w:snapToGrid w:val="0"/>
                <w:color w:val="auto"/>
                <w:kern w:val="21"/>
                <w:sz w:val="21"/>
                <w:szCs w:val="21"/>
              </w:rPr>
              <w:t>/</w:t>
            </w:r>
          </w:p>
        </w:tc>
        <w:tc>
          <w:tcPr>
            <w:tcW w:w="649" w:type="pct"/>
            <w:vAlign w:val="center"/>
          </w:tcPr>
          <w:p w14:paraId="2075942D">
            <w:pPr>
              <w:pStyle w:val="56"/>
              <w:spacing w:beforeLines="0" w:afterLines="0" w:line="240" w:lineRule="auto"/>
              <w:ind w:firstLine="0"/>
              <w:jc w:val="center"/>
              <w:rPr>
                <w:rFonts w:hint="default" w:ascii="Times New Roman" w:hAnsi="Times New Roman" w:cs="Times New Roman"/>
                <w:snapToGrid w:val="0"/>
                <w:color w:val="auto"/>
                <w:kern w:val="21"/>
                <w:sz w:val="21"/>
                <w:szCs w:val="21"/>
              </w:rPr>
            </w:pPr>
          </w:p>
        </w:tc>
        <w:tc>
          <w:tcPr>
            <w:tcW w:w="1820" w:type="dxa"/>
            <w:vAlign w:val="center"/>
          </w:tcPr>
          <w:p w14:paraId="5935004E">
            <w:pPr>
              <w:keepNext w:val="0"/>
              <w:keepLines w:val="0"/>
              <w:widowControl/>
              <w:suppressLineNumbers w:val="0"/>
              <w:jc w:val="center"/>
              <w:textAlignment w:val="center"/>
              <w:rPr>
                <w:rFonts w:hint="default" w:ascii="Times New Roman" w:hAnsi="Times New Roman" w:cs="Times New Roman"/>
                <w:snapToGrid w:val="0"/>
                <w:color w:val="auto"/>
                <w:kern w:val="21"/>
                <w:sz w:val="21"/>
                <w:szCs w:val="21"/>
              </w:rPr>
            </w:pPr>
            <w:r>
              <w:rPr>
                <w:rFonts w:hint="default" w:ascii="Times New Roman" w:hAnsi="Times New Roman" w:eastAsia="宋体" w:cs="Times New Roman"/>
                <w:i w:val="0"/>
                <w:iCs w:val="0"/>
                <w:color w:val="auto"/>
                <w:kern w:val="0"/>
                <w:sz w:val="21"/>
                <w:szCs w:val="21"/>
                <w:u w:val="none"/>
                <w:lang w:val="en-US" w:eastAsia="zh-CN" w:bidi="ar"/>
              </w:rPr>
              <w:t>0.249</w:t>
            </w:r>
          </w:p>
        </w:tc>
        <w:tc>
          <w:tcPr>
            <w:tcW w:w="583" w:type="pct"/>
            <w:vAlign w:val="center"/>
          </w:tcPr>
          <w:p w14:paraId="032C945D">
            <w:pPr>
              <w:pStyle w:val="56"/>
              <w:spacing w:beforeLines="0" w:afterLines="0" w:line="240" w:lineRule="auto"/>
              <w:ind w:firstLine="0"/>
              <w:jc w:val="center"/>
              <w:rPr>
                <w:rFonts w:hint="default" w:ascii="Times New Roman" w:hAnsi="Times New Roman" w:cs="Times New Roman"/>
                <w:snapToGrid w:val="0"/>
                <w:color w:val="auto"/>
                <w:kern w:val="21"/>
                <w:sz w:val="21"/>
                <w:szCs w:val="21"/>
              </w:rPr>
            </w:pPr>
          </w:p>
        </w:tc>
        <w:tc>
          <w:tcPr>
            <w:tcW w:w="1696" w:type="dxa"/>
            <w:vAlign w:val="center"/>
          </w:tcPr>
          <w:p w14:paraId="5A0F551B">
            <w:pPr>
              <w:keepNext w:val="0"/>
              <w:keepLines w:val="0"/>
              <w:widowControl/>
              <w:suppressLineNumbers w:val="0"/>
              <w:jc w:val="center"/>
              <w:textAlignment w:val="center"/>
              <w:rPr>
                <w:rFonts w:hint="default" w:ascii="Times New Roman" w:hAnsi="Times New Roman" w:cs="Times New Roman"/>
                <w:color w:val="auto"/>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0.249</w:t>
            </w:r>
          </w:p>
        </w:tc>
        <w:tc>
          <w:tcPr>
            <w:tcW w:w="974" w:type="dxa"/>
            <w:vAlign w:val="center"/>
          </w:tcPr>
          <w:p w14:paraId="6AF63515">
            <w:pPr>
              <w:keepNext w:val="0"/>
              <w:keepLines w:val="0"/>
              <w:widowControl/>
              <w:suppressLineNumbers w:val="0"/>
              <w:jc w:val="center"/>
              <w:textAlignment w:val="center"/>
              <w:rPr>
                <w:rFonts w:hint="default" w:ascii="Times New Roman" w:hAnsi="Times New Roman" w:cs="Times New Roman"/>
                <w:snapToGrid w:val="0"/>
                <w:color w:val="auto"/>
                <w:kern w:val="21"/>
                <w:sz w:val="21"/>
                <w:szCs w:val="21"/>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0.249</w:t>
            </w:r>
          </w:p>
        </w:tc>
      </w:tr>
      <w:tr w14:paraId="6D20F2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513" w:type="pct"/>
            <w:vMerge w:val="continue"/>
            <w:vAlign w:val="center"/>
          </w:tcPr>
          <w:p w14:paraId="4541387E">
            <w:pPr>
              <w:pStyle w:val="56"/>
              <w:spacing w:beforeLines="0" w:afterLines="0" w:line="240" w:lineRule="auto"/>
              <w:rPr>
                <w:rFonts w:hint="default" w:ascii="Times New Roman" w:hAnsi="Times New Roman" w:cs="Times New Roman"/>
                <w:snapToGrid w:val="0"/>
                <w:color w:val="auto"/>
                <w:kern w:val="21"/>
                <w:sz w:val="24"/>
                <w:szCs w:val="24"/>
              </w:rPr>
            </w:pPr>
          </w:p>
        </w:tc>
        <w:tc>
          <w:tcPr>
            <w:tcW w:w="643" w:type="pct"/>
            <w:vAlign w:val="center"/>
          </w:tcPr>
          <w:p w14:paraId="40A5F839">
            <w:pPr>
              <w:pStyle w:val="56"/>
              <w:spacing w:beforeLines="0" w:afterLines="0" w:line="240" w:lineRule="auto"/>
              <w:ind w:firstLine="0"/>
              <w:jc w:val="center"/>
              <w:rPr>
                <w:rFonts w:hint="default" w:ascii="Times New Roman" w:hAnsi="Times New Roman" w:cs="Times New Roman"/>
                <w:snapToGrid w:val="0"/>
                <w:color w:val="auto"/>
                <w:kern w:val="21"/>
                <w:sz w:val="21"/>
                <w:szCs w:val="21"/>
                <w:lang w:val="en-US" w:eastAsia="zh-CN"/>
              </w:rPr>
            </w:pPr>
            <w:r>
              <w:rPr>
                <w:rFonts w:hint="default" w:ascii="Times New Roman" w:hAnsi="Times New Roman" w:cs="Times New Roman"/>
                <w:snapToGrid w:val="0"/>
                <w:color w:val="auto"/>
                <w:kern w:val="21"/>
                <w:sz w:val="21"/>
                <w:szCs w:val="21"/>
                <w:lang w:val="en-US" w:eastAsia="zh-CN"/>
              </w:rPr>
              <w:t>总锌</w:t>
            </w:r>
          </w:p>
        </w:tc>
        <w:tc>
          <w:tcPr>
            <w:tcW w:w="583" w:type="pct"/>
            <w:vAlign w:val="center"/>
          </w:tcPr>
          <w:p w14:paraId="245B8A40">
            <w:pPr>
              <w:pStyle w:val="56"/>
              <w:spacing w:beforeLines="0" w:afterLines="0" w:line="240" w:lineRule="auto"/>
              <w:ind w:firstLine="0" w:firstLineChars="0"/>
              <w:jc w:val="center"/>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0</w:t>
            </w:r>
          </w:p>
        </w:tc>
        <w:tc>
          <w:tcPr>
            <w:tcW w:w="428" w:type="pct"/>
            <w:vAlign w:val="center"/>
          </w:tcPr>
          <w:p w14:paraId="34A266B9">
            <w:pPr>
              <w:spacing w:beforeLines="0" w:afterLines="0" w:line="240" w:lineRule="auto"/>
              <w:ind w:firstLine="0"/>
              <w:jc w:val="center"/>
              <w:rPr>
                <w:rFonts w:hint="default" w:ascii="Times New Roman" w:hAnsi="Times New Roman" w:eastAsia="Calibri" w:cs="Times New Roman"/>
                <w:snapToGrid w:val="0"/>
                <w:color w:val="auto"/>
                <w:kern w:val="21"/>
                <w:sz w:val="21"/>
                <w:szCs w:val="21"/>
              </w:rPr>
            </w:pPr>
            <w:r>
              <w:rPr>
                <w:rFonts w:hint="default" w:ascii="Times New Roman" w:hAnsi="Times New Roman" w:eastAsia="Calibri" w:cs="Times New Roman"/>
                <w:snapToGrid w:val="0"/>
                <w:color w:val="auto"/>
                <w:kern w:val="21"/>
                <w:sz w:val="21"/>
                <w:szCs w:val="21"/>
              </w:rPr>
              <w:t>/</w:t>
            </w:r>
          </w:p>
        </w:tc>
        <w:tc>
          <w:tcPr>
            <w:tcW w:w="649" w:type="pct"/>
            <w:vAlign w:val="center"/>
          </w:tcPr>
          <w:p w14:paraId="40F0790F">
            <w:pPr>
              <w:pStyle w:val="56"/>
              <w:spacing w:beforeLines="0" w:afterLines="0" w:line="240" w:lineRule="auto"/>
              <w:ind w:firstLine="0"/>
              <w:jc w:val="center"/>
              <w:rPr>
                <w:rFonts w:hint="default" w:ascii="Times New Roman" w:hAnsi="Times New Roman" w:cs="Times New Roman"/>
                <w:snapToGrid w:val="0"/>
                <w:color w:val="auto"/>
                <w:kern w:val="21"/>
                <w:sz w:val="21"/>
                <w:szCs w:val="21"/>
              </w:rPr>
            </w:pPr>
          </w:p>
        </w:tc>
        <w:tc>
          <w:tcPr>
            <w:tcW w:w="1820" w:type="dxa"/>
            <w:vAlign w:val="center"/>
          </w:tcPr>
          <w:p w14:paraId="07142564">
            <w:pPr>
              <w:keepNext w:val="0"/>
              <w:keepLines w:val="0"/>
              <w:widowControl/>
              <w:suppressLineNumbers w:val="0"/>
              <w:jc w:val="center"/>
              <w:textAlignment w:val="center"/>
              <w:rPr>
                <w:rFonts w:hint="default" w:ascii="Times New Roman" w:hAnsi="Times New Roman" w:cs="Times New Roman"/>
                <w:snapToGrid w:val="0"/>
                <w:color w:val="auto"/>
                <w:kern w:val="21"/>
                <w:sz w:val="21"/>
                <w:szCs w:val="21"/>
              </w:rPr>
            </w:pPr>
            <w:r>
              <w:rPr>
                <w:rFonts w:hint="default" w:ascii="Times New Roman" w:hAnsi="Times New Roman" w:eastAsia="宋体" w:cs="Times New Roman"/>
                <w:i w:val="0"/>
                <w:iCs w:val="0"/>
                <w:color w:val="auto"/>
                <w:kern w:val="0"/>
                <w:sz w:val="21"/>
                <w:szCs w:val="21"/>
                <w:u w:val="none"/>
                <w:lang w:val="en-US" w:eastAsia="zh-CN" w:bidi="ar"/>
              </w:rPr>
              <w:t>0.036</w:t>
            </w:r>
          </w:p>
        </w:tc>
        <w:tc>
          <w:tcPr>
            <w:tcW w:w="583" w:type="pct"/>
            <w:vAlign w:val="center"/>
          </w:tcPr>
          <w:p w14:paraId="77982DEF">
            <w:pPr>
              <w:pStyle w:val="56"/>
              <w:spacing w:beforeLines="0" w:afterLines="0" w:line="240" w:lineRule="auto"/>
              <w:ind w:firstLine="0"/>
              <w:jc w:val="center"/>
              <w:rPr>
                <w:rFonts w:hint="default" w:ascii="Times New Roman" w:hAnsi="Times New Roman" w:cs="Times New Roman"/>
                <w:snapToGrid w:val="0"/>
                <w:color w:val="auto"/>
                <w:kern w:val="21"/>
                <w:sz w:val="21"/>
                <w:szCs w:val="21"/>
              </w:rPr>
            </w:pPr>
          </w:p>
        </w:tc>
        <w:tc>
          <w:tcPr>
            <w:tcW w:w="1696" w:type="dxa"/>
            <w:vAlign w:val="center"/>
          </w:tcPr>
          <w:p w14:paraId="41178EF3">
            <w:pPr>
              <w:keepNext w:val="0"/>
              <w:keepLines w:val="0"/>
              <w:widowControl/>
              <w:suppressLineNumbers w:val="0"/>
              <w:jc w:val="center"/>
              <w:textAlignment w:val="center"/>
              <w:rPr>
                <w:rFonts w:hint="default" w:ascii="Times New Roman" w:hAnsi="Times New Roman" w:cs="Times New Roman"/>
                <w:color w:val="auto"/>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0.036</w:t>
            </w:r>
          </w:p>
        </w:tc>
        <w:tc>
          <w:tcPr>
            <w:tcW w:w="974" w:type="dxa"/>
            <w:vAlign w:val="center"/>
          </w:tcPr>
          <w:p w14:paraId="73599A7D">
            <w:pPr>
              <w:keepNext w:val="0"/>
              <w:keepLines w:val="0"/>
              <w:widowControl/>
              <w:suppressLineNumbers w:val="0"/>
              <w:jc w:val="center"/>
              <w:textAlignment w:val="center"/>
              <w:rPr>
                <w:rFonts w:hint="default" w:ascii="Times New Roman" w:hAnsi="Times New Roman" w:cs="Times New Roman"/>
                <w:snapToGrid w:val="0"/>
                <w:color w:val="auto"/>
                <w:kern w:val="21"/>
                <w:sz w:val="21"/>
                <w:szCs w:val="21"/>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0.036</w:t>
            </w:r>
          </w:p>
        </w:tc>
      </w:tr>
      <w:tr w14:paraId="05398E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513" w:type="pct"/>
            <w:vAlign w:val="center"/>
          </w:tcPr>
          <w:p w14:paraId="776C743B">
            <w:pPr>
              <w:pStyle w:val="56"/>
              <w:spacing w:beforeLines="0" w:afterLines="0" w:line="240" w:lineRule="auto"/>
              <w:ind w:firstLine="0"/>
              <w:rPr>
                <w:rFonts w:hint="default" w:ascii="Times New Roman" w:hAnsi="Times New Roman" w:cs="Times New Roman"/>
                <w:snapToGrid w:val="0"/>
                <w:color w:val="auto"/>
                <w:kern w:val="21"/>
                <w:sz w:val="24"/>
                <w:szCs w:val="24"/>
              </w:rPr>
            </w:pPr>
            <w:r>
              <w:rPr>
                <w:rFonts w:hint="default" w:ascii="Times New Roman" w:hAnsi="Times New Roman" w:cs="Times New Roman"/>
                <w:snapToGrid w:val="0"/>
                <w:color w:val="auto"/>
                <w:kern w:val="21"/>
                <w:sz w:val="24"/>
                <w:szCs w:val="24"/>
              </w:rPr>
              <w:t>一般工业固体废物</w:t>
            </w:r>
          </w:p>
        </w:tc>
        <w:tc>
          <w:tcPr>
            <w:tcW w:w="643" w:type="pct"/>
            <w:vAlign w:val="center"/>
          </w:tcPr>
          <w:p w14:paraId="2B3C5AA2">
            <w:pPr>
              <w:pStyle w:val="82"/>
              <w:spacing w:before="0" w:after="0" w:line="300" w:lineRule="exact"/>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包装线材、</w:t>
            </w:r>
            <w:r>
              <w:rPr>
                <w:rFonts w:hint="default" w:ascii="Times New Roman" w:hAnsi="Times New Roman" w:cs="Times New Roman"/>
                <w:color w:val="auto"/>
                <w:kern w:val="2"/>
                <w:sz w:val="21"/>
                <w:szCs w:val="21"/>
                <w:lang w:val="en-US" w:eastAsia="zh-CN"/>
              </w:rPr>
              <w:t>氧化铁皮</w:t>
            </w:r>
            <w:r>
              <w:rPr>
                <w:rFonts w:hint="default" w:ascii="Times New Roman" w:hAnsi="Times New Roman" w:cs="Times New Roman"/>
                <w:color w:val="auto"/>
                <w:kern w:val="2"/>
                <w:sz w:val="21"/>
                <w:szCs w:val="21"/>
              </w:rPr>
              <w:t>、除尘灰、</w:t>
            </w:r>
            <w:r>
              <w:rPr>
                <w:rFonts w:hint="default" w:ascii="Times New Roman" w:hAnsi="Times New Roman" w:cs="Times New Roman"/>
                <w:color w:val="auto"/>
                <w:kern w:val="2"/>
                <w:sz w:val="21"/>
                <w:szCs w:val="21"/>
                <w:lang w:val="en-US" w:eastAsia="zh-CN"/>
              </w:rPr>
              <w:t>废滤筒</w:t>
            </w:r>
            <w:r>
              <w:rPr>
                <w:rFonts w:hint="default" w:ascii="Times New Roman" w:hAnsi="Times New Roman" w:cs="Times New Roman"/>
                <w:color w:val="auto"/>
                <w:kern w:val="2"/>
                <w:sz w:val="21"/>
                <w:szCs w:val="21"/>
              </w:rPr>
              <w:t>等</w:t>
            </w:r>
          </w:p>
        </w:tc>
        <w:tc>
          <w:tcPr>
            <w:tcW w:w="583" w:type="pct"/>
            <w:vAlign w:val="center"/>
          </w:tcPr>
          <w:p w14:paraId="24AAAE8B">
            <w:pPr>
              <w:jc w:val="center"/>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cs="Times New Roman"/>
                <w:snapToGrid w:val="0"/>
                <w:color w:val="auto"/>
                <w:kern w:val="21"/>
                <w:sz w:val="21"/>
                <w:szCs w:val="21"/>
                <w:lang w:val="en-US" w:eastAsia="zh-CN"/>
              </w:rPr>
              <w:t>440</w:t>
            </w:r>
          </w:p>
        </w:tc>
        <w:tc>
          <w:tcPr>
            <w:tcW w:w="428" w:type="pct"/>
            <w:vAlign w:val="center"/>
          </w:tcPr>
          <w:p w14:paraId="4821DBE9">
            <w:pPr>
              <w:pStyle w:val="56"/>
              <w:spacing w:beforeLines="0" w:afterLines="0" w:line="240" w:lineRule="auto"/>
              <w:ind w:firstLine="0"/>
              <w:jc w:val="center"/>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649" w:type="pct"/>
            <w:vAlign w:val="center"/>
          </w:tcPr>
          <w:p w14:paraId="1ABD3FD0">
            <w:pPr>
              <w:pStyle w:val="56"/>
              <w:spacing w:beforeLines="0" w:afterLines="0" w:line="240" w:lineRule="auto"/>
              <w:ind w:firstLine="0"/>
              <w:jc w:val="center"/>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cs="Times New Roman"/>
                <w:snapToGrid w:val="0"/>
                <w:color w:val="auto"/>
                <w:kern w:val="21"/>
                <w:sz w:val="21"/>
                <w:szCs w:val="21"/>
                <w:lang w:val="en-US" w:eastAsia="zh-CN"/>
              </w:rPr>
              <w:t>304.94</w:t>
            </w:r>
          </w:p>
        </w:tc>
        <w:tc>
          <w:tcPr>
            <w:tcW w:w="647" w:type="pct"/>
            <w:vAlign w:val="center"/>
          </w:tcPr>
          <w:p w14:paraId="0CBE02BA">
            <w:pPr>
              <w:widowControl/>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698.79</w:t>
            </w:r>
          </w:p>
        </w:tc>
        <w:tc>
          <w:tcPr>
            <w:tcW w:w="583" w:type="pct"/>
            <w:vAlign w:val="center"/>
          </w:tcPr>
          <w:p w14:paraId="19C19D6E">
            <w:pPr>
              <w:pStyle w:val="56"/>
              <w:spacing w:beforeLines="0" w:afterLines="0" w:line="240" w:lineRule="auto"/>
              <w:ind w:firstLine="0"/>
              <w:jc w:val="center"/>
              <w:rPr>
                <w:rFonts w:hint="default" w:ascii="Times New Roman" w:hAnsi="Times New Roman" w:cs="Times New Roman"/>
                <w:snapToGrid w:val="0"/>
                <w:color w:val="auto"/>
                <w:kern w:val="21"/>
                <w:sz w:val="21"/>
                <w:szCs w:val="21"/>
              </w:rPr>
            </w:pPr>
            <w:r>
              <w:rPr>
                <w:rFonts w:hint="default" w:ascii="Times New Roman" w:hAnsi="Times New Roman" w:eastAsia="宋体" w:cs="Times New Roman"/>
                <w:i w:val="0"/>
                <w:iCs w:val="0"/>
                <w:color w:val="auto"/>
                <w:kern w:val="0"/>
                <w:sz w:val="21"/>
                <w:szCs w:val="21"/>
                <w:u w:val="none"/>
                <w:lang w:val="en-US" w:eastAsia="zh-CN" w:bidi="ar"/>
              </w:rPr>
              <w:t>-46.05</w:t>
            </w:r>
          </w:p>
        </w:tc>
        <w:tc>
          <w:tcPr>
            <w:tcW w:w="603" w:type="pct"/>
            <w:vAlign w:val="center"/>
          </w:tcPr>
          <w:p w14:paraId="1A361F60">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1397.68</w:t>
            </w:r>
          </w:p>
        </w:tc>
        <w:tc>
          <w:tcPr>
            <w:tcW w:w="346" w:type="pct"/>
            <w:vAlign w:val="center"/>
          </w:tcPr>
          <w:p w14:paraId="4348F567">
            <w:pPr>
              <w:widowControl/>
              <w:jc w:val="center"/>
              <w:textAlignment w:val="center"/>
              <w:rPr>
                <w:rFonts w:hint="default" w:ascii="Times New Roman" w:hAnsi="Times New Roman" w:cs="Times New Roman"/>
                <w:snapToGrid w:val="0"/>
                <w:color w:val="auto"/>
                <w:kern w:val="21"/>
                <w:sz w:val="21"/>
                <w:szCs w:val="21"/>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698.79</w:t>
            </w:r>
          </w:p>
        </w:tc>
      </w:tr>
      <w:tr w14:paraId="6A34BD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513" w:type="pct"/>
            <w:vAlign w:val="center"/>
          </w:tcPr>
          <w:p w14:paraId="6B0CFA78">
            <w:pPr>
              <w:pStyle w:val="56"/>
              <w:spacing w:beforeLines="0" w:afterLines="0" w:line="240" w:lineRule="auto"/>
              <w:ind w:firstLine="0"/>
              <w:rPr>
                <w:rFonts w:hint="default" w:ascii="Times New Roman" w:hAnsi="Times New Roman" w:cs="Times New Roman"/>
                <w:snapToGrid w:val="0"/>
                <w:color w:val="auto"/>
                <w:kern w:val="21"/>
                <w:sz w:val="24"/>
                <w:szCs w:val="24"/>
              </w:rPr>
            </w:pPr>
            <w:r>
              <w:rPr>
                <w:rFonts w:hint="default" w:ascii="Times New Roman" w:hAnsi="Times New Roman" w:cs="Times New Roman"/>
                <w:snapToGrid w:val="0"/>
                <w:color w:val="auto"/>
                <w:kern w:val="21"/>
                <w:sz w:val="24"/>
                <w:szCs w:val="24"/>
              </w:rPr>
              <w:t>危险废物</w:t>
            </w:r>
          </w:p>
        </w:tc>
        <w:tc>
          <w:tcPr>
            <w:tcW w:w="643" w:type="pct"/>
            <w:vAlign w:val="center"/>
          </w:tcPr>
          <w:p w14:paraId="05F8B253">
            <w:pPr>
              <w:pStyle w:val="82"/>
              <w:spacing w:before="0" w:after="0" w:line="300" w:lineRule="exact"/>
              <w:jc w:val="both"/>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废酸液</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磷渣、皂化废液、污泥等</w:t>
            </w:r>
          </w:p>
        </w:tc>
        <w:tc>
          <w:tcPr>
            <w:tcW w:w="583" w:type="pct"/>
            <w:vAlign w:val="center"/>
          </w:tcPr>
          <w:p w14:paraId="684E2217">
            <w:pPr>
              <w:jc w:val="center"/>
              <w:rPr>
                <w:rFonts w:hint="default" w:ascii="Times New Roman" w:hAnsi="Times New Roman" w:eastAsia="宋体" w:cs="Times New Roman"/>
                <w:snapToGrid w:val="0"/>
                <w:color w:val="auto"/>
                <w:kern w:val="21"/>
                <w:sz w:val="21"/>
                <w:szCs w:val="21"/>
                <w:lang w:eastAsia="zh-CN"/>
              </w:rPr>
            </w:pPr>
            <w:r>
              <w:rPr>
                <w:rFonts w:hint="default" w:ascii="Times New Roman" w:hAnsi="Times New Roman" w:cs="Times New Roman"/>
                <w:snapToGrid w:val="0"/>
                <w:color w:val="auto"/>
                <w:kern w:val="21"/>
                <w:sz w:val="21"/>
                <w:szCs w:val="21"/>
                <w:lang w:val="en-US" w:eastAsia="zh-CN"/>
              </w:rPr>
              <w:t>1</w:t>
            </w:r>
          </w:p>
        </w:tc>
        <w:tc>
          <w:tcPr>
            <w:tcW w:w="428" w:type="pct"/>
            <w:vAlign w:val="center"/>
          </w:tcPr>
          <w:p w14:paraId="0E683EB1">
            <w:pPr>
              <w:pStyle w:val="56"/>
              <w:spacing w:beforeLines="0" w:afterLines="0" w:line="240" w:lineRule="auto"/>
              <w:ind w:firstLine="0"/>
              <w:jc w:val="center"/>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649" w:type="pct"/>
            <w:vAlign w:val="center"/>
          </w:tcPr>
          <w:p w14:paraId="7A258B64">
            <w:pPr>
              <w:pStyle w:val="56"/>
              <w:spacing w:beforeLines="0" w:afterLines="0" w:line="240" w:lineRule="auto"/>
              <w:ind w:firstLine="0"/>
              <w:jc w:val="center"/>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cs="Times New Roman"/>
                <w:snapToGrid w:val="0"/>
                <w:color w:val="auto"/>
                <w:kern w:val="21"/>
                <w:sz w:val="21"/>
                <w:szCs w:val="21"/>
                <w:lang w:val="en-US" w:eastAsia="zh-CN"/>
              </w:rPr>
              <w:t>0.2</w:t>
            </w:r>
          </w:p>
        </w:tc>
        <w:tc>
          <w:tcPr>
            <w:tcW w:w="647" w:type="pct"/>
            <w:vAlign w:val="center"/>
          </w:tcPr>
          <w:p w14:paraId="588174B4">
            <w:pPr>
              <w:keepNext w:val="0"/>
              <w:keepLines w:val="0"/>
              <w:widowControl/>
              <w:suppressLineNumbers w:val="0"/>
              <w:jc w:val="center"/>
              <w:textAlignment w:val="center"/>
              <w:rPr>
                <w:rFonts w:hint="default" w:ascii="Times New Roman" w:hAnsi="Times New Roman" w:cs="Times New Roman"/>
                <w:snapToGrid w:val="0"/>
                <w:color w:val="auto"/>
                <w:kern w:val="21"/>
                <w:sz w:val="21"/>
                <w:szCs w:val="21"/>
              </w:rPr>
            </w:pPr>
            <w:r>
              <w:rPr>
                <w:rFonts w:hint="default" w:ascii="Times New Roman" w:hAnsi="Times New Roman" w:eastAsia="宋体" w:cs="Times New Roman"/>
                <w:i w:val="0"/>
                <w:iCs w:val="0"/>
                <w:color w:val="auto"/>
                <w:kern w:val="0"/>
                <w:sz w:val="21"/>
                <w:szCs w:val="21"/>
                <w:u w:val="none"/>
                <w:lang w:val="en-US" w:eastAsia="zh-CN" w:bidi="ar"/>
              </w:rPr>
              <w:t>4115.8</w:t>
            </w:r>
          </w:p>
        </w:tc>
        <w:tc>
          <w:tcPr>
            <w:tcW w:w="583" w:type="pct"/>
            <w:vAlign w:val="center"/>
          </w:tcPr>
          <w:p w14:paraId="3EAD4593">
            <w:pPr>
              <w:keepNext w:val="0"/>
              <w:keepLines w:val="0"/>
              <w:widowControl/>
              <w:suppressLineNumbers w:val="0"/>
              <w:jc w:val="center"/>
              <w:textAlignment w:val="center"/>
              <w:rPr>
                <w:rFonts w:hint="default" w:ascii="Times New Roman" w:hAnsi="Times New Roman" w:cs="Times New Roman"/>
                <w:snapToGrid w:val="0"/>
                <w:color w:val="auto"/>
                <w:kern w:val="21"/>
                <w:sz w:val="21"/>
                <w:szCs w:val="21"/>
              </w:rPr>
            </w:pPr>
          </w:p>
        </w:tc>
        <w:tc>
          <w:tcPr>
            <w:tcW w:w="603" w:type="pct"/>
            <w:vAlign w:val="center"/>
          </w:tcPr>
          <w:p w14:paraId="54D8AC21">
            <w:pPr>
              <w:keepNext w:val="0"/>
              <w:keepLines w:val="0"/>
              <w:widowControl/>
              <w:suppressLineNumbers w:val="0"/>
              <w:jc w:val="center"/>
              <w:textAlignment w:val="center"/>
              <w:rPr>
                <w:rFonts w:hint="default" w:ascii="Times New Roman" w:hAnsi="Times New Roman" w:cs="Times New Roman"/>
                <w:color w:val="auto"/>
                <w:sz w:val="21"/>
                <w:szCs w:val="21"/>
                <w:lang w:val="en-US" w:bidi="ar"/>
              </w:rPr>
            </w:pPr>
            <w:r>
              <w:rPr>
                <w:rFonts w:hint="default" w:ascii="Times New Roman" w:hAnsi="Times New Roman" w:eastAsia="宋体" w:cs="Times New Roman"/>
                <w:i w:val="0"/>
                <w:iCs w:val="0"/>
                <w:color w:val="auto"/>
                <w:kern w:val="0"/>
                <w:sz w:val="21"/>
                <w:szCs w:val="21"/>
                <w:u w:val="none"/>
                <w:lang w:val="en-US" w:eastAsia="zh-CN" w:bidi="ar"/>
              </w:rPr>
              <w:t>4117.0</w:t>
            </w:r>
            <w:r>
              <w:rPr>
                <w:rFonts w:hint="default" w:ascii="Times New Roman" w:hAnsi="Times New Roman" w:cs="Times New Roman"/>
                <w:i w:val="0"/>
                <w:iCs w:val="0"/>
                <w:color w:val="auto"/>
                <w:kern w:val="0"/>
                <w:sz w:val="21"/>
                <w:szCs w:val="21"/>
                <w:u w:val="none"/>
                <w:lang w:val="en-US" w:eastAsia="zh-CN" w:bidi="ar"/>
              </w:rPr>
              <w:t>1</w:t>
            </w:r>
          </w:p>
        </w:tc>
        <w:tc>
          <w:tcPr>
            <w:tcW w:w="346" w:type="pct"/>
            <w:vAlign w:val="center"/>
          </w:tcPr>
          <w:p w14:paraId="20EA106B">
            <w:pPr>
              <w:keepNext w:val="0"/>
              <w:keepLines w:val="0"/>
              <w:widowControl/>
              <w:suppressLineNumbers w:val="0"/>
              <w:jc w:val="center"/>
              <w:textAlignment w:val="center"/>
              <w:rPr>
                <w:rFonts w:hint="default" w:ascii="Times New Roman" w:hAnsi="Times New Roman" w:cs="Times New Roman"/>
                <w:snapToGrid w:val="0"/>
                <w:color w:val="auto"/>
                <w:kern w:val="21"/>
                <w:sz w:val="21"/>
                <w:szCs w:val="21"/>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4115.8</w:t>
            </w:r>
          </w:p>
        </w:tc>
      </w:tr>
    </w:tbl>
    <w:p w14:paraId="46E83212">
      <w:pPr>
        <w:pStyle w:val="56"/>
        <w:spacing w:before="113" w:beforeLines="30" w:after="37" w:line="260" w:lineRule="auto"/>
        <w:ind w:firstLine="0"/>
        <w:jc w:val="left"/>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kern w:val="21"/>
          <w:szCs w:val="21"/>
        </w:rPr>
        <w:t>注：</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6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⑥</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1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①</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3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③</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4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④</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5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⑤</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7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⑦</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6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⑥</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1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①</w:t>
      </w:r>
      <w:r>
        <w:rPr>
          <w:rFonts w:hint="default" w:ascii="Times New Roman" w:hAnsi="Times New Roman" w:cs="Times New Roman"/>
          <w:snapToGrid w:val="0"/>
          <w:color w:val="auto"/>
          <w:spacing w:val="-6"/>
          <w:kern w:val="21"/>
          <w:szCs w:val="21"/>
        </w:rPr>
        <w:fldChar w:fldCharType="end"/>
      </w:r>
    </w:p>
    <w:p w14:paraId="3DDB7FA8">
      <w:pPr>
        <w:rPr>
          <w:rFonts w:hint="default" w:ascii="Times New Roman" w:hAnsi="Times New Roman" w:cs="Times New Roman"/>
          <w:color w:val="auto"/>
        </w:rPr>
      </w:pPr>
    </w:p>
    <w:p w14:paraId="19A3F1CB">
      <w:pPr>
        <w:rPr>
          <w:rFonts w:hint="default" w:ascii="Times New Roman" w:hAnsi="Times New Roman" w:cs="Times New Roman"/>
          <w:color w:val="auto"/>
        </w:rPr>
        <w:sectPr>
          <w:footerReference r:id="rId6" w:type="default"/>
          <w:pgSz w:w="16838" w:h="11905" w:orient="landscape"/>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p w14:paraId="36DE36B8">
      <w:pPr>
        <w:bidi w:val="0"/>
        <w:jc w:val="center"/>
        <w:rPr>
          <w:rFonts w:hint="default"/>
          <w:color w:val="auto"/>
        </w:rPr>
      </w:pPr>
      <w:bookmarkStart w:id="436" w:name="_Toc30206"/>
      <w:bookmarkStart w:id="437" w:name="_Toc31935"/>
      <w:bookmarkStart w:id="438" w:name="_Toc14526"/>
      <w:bookmarkStart w:id="439" w:name="_Toc22223"/>
      <w:bookmarkStart w:id="440" w:name="_Toc3002"/>
      <w:bookmarkStart w:id="441" w:name="_Toc14645"/>
      <w:bookmarkStart w:id="442" w:name="_Toc16866"/>
      <w:bookmarkStart w:id="443" w:name="_Toc6329"/>
      <w:bookmarkStart w:id="444" w:name="_Toc14710"/>
    </w:p>
    <w:p w14:paraId="3CAA1869">
      <w:pPr>
        <w:bidi w:val="0"/>
        <w:jc w:val="center"/>
        <w:rPr>
          <w:rFonts w:hint="default"/>
          <w:color w:val="auto"/>
        </w:rPr>
      </w:pPr>
    </w:p>
    <w:p w14:paraId="2711CC6C">
      <w:pPr>
        <w:bidi w:val="0"/>
        <w:jc w:val="center"/>
        <w:rPr>
          <w:rFonts w:hint="default"/>
          <w:color w:val="auto"/>
        </w:rPr>
      </w:pPr>
    </w:p>
    <w:p w14:paraId="03A1DAC8">
      <w:pPr>
        <w:bidi w:val="0"/>
        <w:jc w:val="center"/>
        <w:rPr>
          <w:rFonts w:hint="default"/>
          <w:color w:val="auto"/>
        </w:rPr>
      </w:pPr>
    </w:p>
    <w:p w14:paraId="081AA68F">
      <w:pPr>
        <w:bidi w:val="0"/>
        <w:jc w:val="center"/>
        <w:rPr>
          <w:rFonts w:hint="default"/>
          <w:color w:val="auto"/>
        </w:rPr>
      </w:pPr>
    </w:p>
    <w:p w14:paraId="36215DA8">
      <w:pPr>
        <w:bidi w:val="0"/>
        <w:jc w:val="center"/>
        <w:rPr>
          <w:rFonts w:hint="default"/>
          <w:color w:val="auto"/>
        </w:rPr>
      </w:pPr>
    </w:p>
    <w:p w14:paraId="07A0BB9B">
      <w:pPr>
        <w:bidi w:val="0"/>
        <w:jc w:val="center"/>
        <w:rPr>
          <w:rFonts w:hint="default"/>
          <w:color w:val="auto"/>
        </w:rPr>
      </w:pPr>
    </w:p>
    <w:p w14:paraId="09C4CCC6">
      <w:pPr>
        <w:bidi w:val="0"/>
        <w:jc w:val="center"/>
        <w:rPr>
          <w:rFonts w:hint="default"/>
          <w:color w:val="auto"/>
        </w:rPr>
      </w:pPr>
    </w:p>
    <w:p w14:paraId="4C1080A1">
      <w:pPr>
        <w:bidi w:val="0"/>
        <w:jc w:val="center"/>
        <w:rPr>
          <w:rFonts w:hint="default"/>
          <w:color w:val="auto"/>
        </w:rPr>
      </w:pPr>
    </w:p>
    <w:p w14:paraId="3475D0EB">
      <w:pPr>
        <w:spacing w:before="120" w:beforeLines="50" w:after="120" w:afterLines="50" w:line="360" w:lineRule="auto"/>
        <w:jc w:val="center"/>
        <w:outlineLvl w:val="0"/>
        <w:rPr>
          <w:rFonts w:hint="default" w:ascii="Times New Roman" w:hAnsi="Times New Roman" w:cs="Times New Roman"/>
          <w:b/>
          <w:bCs/>
          <w:color w:val="auto"/>
          <w:sz w:val="52"/>
          <w:szCs w:val="52"/>
        </w:rPr>
      </w:pPr>
      <w:bookmarkStart w:id="445" w:name="_Toc29072"/>
      <w:r>
        <w:rPr>
          <w:rFonts w:hint="default" w:ascii="Times New Roman" w:hAnsi="Times New Roman" w:cs="Times New Roman"/>
          <w:b/>
          <w:bCs/>
          <w:color w:val="auto"/>
          <w:sz w:val="52"/>
          <w:szCs w:val="52"/>
        </w:rPr>
        <w:t>福建省明光新型材料有限公司</w:t>
      </w:r>
      <w:bookmarkEnd w:id="445"/>
    </w:p>
    <w:p w14:paraId="0C3FE30F">
      <w:pPr>
        <w:spacing w:before="120" w:beforeLines="50" w:after="120" w:afterLines="50" w:line="360" w:lineRule="auto"/>
        <w:jc w:val="center"/>
        <w:outlineLvl w:val="0"/>
        <w:rPr>
          <w:rFonts w:hint="default" w:ascii="Times New Roman" w:hAnsi="Times New Roman" w:cs="Times New Roman"/>
          <w:b/>
          <w:bCs/>
          <w:color w:val="auto"/>
          <w:sz w:val="52"/>
          <w:szCs w:val="52"/>
        </w:rPr>
      </w:pPr>
      <w:bookmarkStart w:id="446" w:name="_Toc10965"/>
      <w:r>
        <w:rPr>
          <w:rFonts w:hint="default" w:ascii="Times New Roman" w:hAnsi="Times New Roman" w:cs="Times New Roman"/>
          <w:b/>
          <w:bCs/>
          <w:color w:val="auto"/>
          <w:sz w:val="52"/>
          <w:szCs w:val="52"/>
        </w:rPr>
        <w:t>高端新材深加工项目</w:t>
      </w:r>
      <w:bookmarkEnd w:id="446"/>
    </w:p>
    <w:p w14:paraId="68212BDA">
      <w:pPr>
        <w:spacing w:before="120" w:beforeLines="50" w:after="120" w:afterLines="50" w:line="360" w:lineRule="auto"/>
        <w:jc w:val="center"/>
        <w:outlineLvl w:val="0"/>
        <w:rPr>
          <w:rFonts w:hint="default" w:ascii="Times New Roman" w:hAnsi="Times New Roman" w:cs="Times New Roman"/>
          <w:b/>
          <w:bCs/>
          <w:color w:val="auto"/>
          <w:sz w:val="52"/>
          <w:szCs w:val="52"/>
        </w:rPr>
      </w:pPr>
      <w:bookmarkStart w:id="447" w:name="_Toc1511"/>
      <w:r>
        <w:rPr>
          <w:rFonts w:hint="default" w:ascii="Times New Roman" w:hAnsi="Times New Roman" w:cs="Times New Roman"/>
          <w:b/>
          <w:bCs/>
          <w:color w:val="auto"/>
          <w:sz w:val="52"/>
          <w:szCs w:val="52"/>
        </w:rPr>
        <w:t>环境风险专项评价</w:t>
      </w:r>
      <w:bookmarkEnd w:id="436"/>
      <w:bookmarkEnd w:id="447"/>
    </w:p>
    <w:p w14:paraId="0E5EF8FC">
      <w:pPr>
        <w:pStyle w:val="30"/>
        <w:adjustRightInd w:val="0"/>
        <w:snapToGrid w:val="0"/>
        <w:jc w:val="center"/>
        <w:rPr>
          <w:rFonts w:hint="default" w:ascii="Times New Roman" w:hAnsi="Times New Roman" w:eastAsia="楷体_GB2312" w:cs="Times New Roman"/>
          <w:color w:val="auto"/>
          <w:sz w:val="36"/>
          <w:szCs w:val="36"/>
        </w:rPr>
      </w:pPr>
    </w:p>
    <w:p w14:paraId="2908225E">
      <w:pPr>
        <w:pStyle w:val="30"/>
        <w:adjustRightInd w:val="0"/>
        <w:snapToGrid w:val="0"/>
        <w:jc w:val="center"/>
        <w:rPr>
          <w:rFonts w:hint="default" w:ascii="Times New Roman" w:hAnsi="Times New Roman" w:eastAsia="楷体_GB2312" w:cs="Times New Roman"/>
          <w:color w:val="auto"/>
          <w:sz w:val="36"/>
          <w:szCs w:val="36"/>
        </w:rPr>
      </w:pPr>
    </w:p>
    <w:p w14:paraId="197CDE8D">
      <w:pPr>
        <w:pStyle w:val="28"/>
        <w:tabs>
          <w:tab w:val="right" w:leader="dot" w:pos="9072"/>
        </w:tabs>
        <w:adjustRightInd w:val="0"/>
        <w:snapToGrid w:val="0"/>
        <w:spacing w:line="320" w:lineRule="exact"/>
        <w:ind w:left="0" w:leftChars="0" w:firstLine="420" w:firstLineChars="200"/>
        <w:rPr>
          <w:rFonts w:hint="default" w:ascii="Times New Roman" w:hAnsi="Times New Roman" w:cs="Times New Roman"/>
          <w:color w:val="auto"/>
        </w:rPr>
      </w:pPr>
    </w:p>
    <w:p w14:paraId="0BBE4D2A">
      <w:pPr>
        <w:rPr>
          <w:rFonts w:hint="default" w:ascii="Times New Roman" w:hAnsi="Times New Roman" w:cs="Times New Roman"/>
          <w:color w:val="auto"/>
        </w:rPr>
        <w:sectPr>
          <w:pgSz w:w="11906" w:h="16838"/>
          <w:pgMar w:top="1417" w:right="1417" w:bottom="1417" w:left="1417" w:header="1020" w:footer="1020" w:gutter="0"/>
          <w:pgBorders>
            <w:top w:val="none" w:sz="0" w:space="0"/>
            <w:left w:val="none" w:sz="0" w:space="0"/>
            <w:bottom w:val="none" w:sz="0" w:space="0"/>
            <w:right w:val="none" w:sz="0" w:space="0"/>
          </w:pgBorders>
          <w:cols w:space="720" w:num="1"/>
          <w:docGrid w:linePitch="312" w:charSpace="0"/>
        </w:sectPr>
      </w:pPr>
    </w:p>
    <w:p w14:paraId="063A2CE5">
      <w:pPr>
        <w:pStyle w:val="3"/>
        <w:keepNext/>
        <w:keepLines w:val="0"/>
        <w:pageBreakBefore w:val="0"/>
        <w:widowControl w:val="0"/>
        <w:kinsoku/>
        <w:wordWrap/>
        <w:overflowPunct w:val="0"/>
        <w:topLinePunct w:val="0"/>
        <w:autoSpaceDE/>
        <w:autoSpaceDN/>
        <w:bidi w:val="0"/>
        <w:adjustRightInd w:val="0"/>
        <w:snapToGrid w:val="0"/>
        <w:spacing w:before="240" w:beforeLines="100" w:after="240" w:afterLines="100" w:line="240" w:lineRule="auto"/>
        <w:ind w:left="0" w:firstLine="0"/>
        <w:textAlignment w:val="auto"/>
        <w:rPr>
          <w:rFonts w:hint="default" w:ascii="Times New Roman" w:hAnsi="Times New Roman" w:eastAsia="黑体" w:cs="Times New Roman"/>
          <w:b w:val="0"/>
          <w:bCs w:val="0"/>
          <w:color w:val="auto"/>
          <w:sz w:val="32"/>
          <w:szCs w:val="32"/>
        </w:rPr>
      </w:pPr>
      <w:bookmarkStart w:id="448" w:name="_Toc18798"/>
      <w:bookmarkStart w:id="449" w:name="_Toc31169"/>
      <w:bookmarkStart w:id="450" w:name="_Toc27870"/>
      <w:bookmarkStart w:id="451" w:name="_Toc23438"/>
      <w:r>
        <w:rPr>
          <w:rFonts w:hint="default" w:ascii="Times New Roman" w:hAnsi="Times New Roman" w:eastAsia="黑体" w:cs="Times New Roman"/>
          <w:b w:val="0"/>
          <w:bCs w:val="0"/>
          <w:color w:val="auto"/>
          <w:sz w:val="32"/>
          <w:szCs w:val="32"/>
        </w:rPr>
        <w:t>11 环境风险评价自查表</w:t>
      </w:r>
      <w:bookmarkEnd w:id="448"/>
      <w:bookmarkEnd w:id="449"/>
      <w:bookmarkEnd w:id="450"/>
      <w:bookmarkEnd w:id="451"/>
    </w:p>
    <w:p w14:paraId="745FCA61">
      <w:pPr>
        <w:pStyle w:val="129"/>
        <w:keepNext w:val="0"/>
        <w:keepLines w:val="0"/>
        <w:pageBreakBefore w:val="0"/>
        <w:widowControl w:val="0"/>
        <w:kinsoku/>
        <w:wordWrap/>
        <w:overflowPunct/>
        <w:topLinePunct w:val="0"/>
        <w:autoSpaceDE/>
        <w:autoSpaceDN/>
        <w:bidi w:val="0"/>
        <w:adjustRightInd/>
        <w:snapToGrid w:val="0"/>
        <w:spacing w:before="115" w:beforeLines="30" w:after="115" w:afterLines="30"/>
        <w:textAlignment w:val="auto"/>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表11.1-1  环境风险评价自查表</w:t>
      </w:r>
    </w:p>
    <w:tbl>
      <w:tblPr>
        <w:tblStyle w:val="34"/>
        <w:tblW w:w="502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17"/>
        <w:gridCol w:w="1129"/>
        <w:gridCol w:w="1109"/>
        <w:gridCol w:w="579"/>
        <w:gridCol w:w="610"/>
        <w:gridCol w:w="281"/>
        <w:gridCol w:w="343"/>
        <w:gridCol w:w="95"/>
        <w:gridCol w:w="239"/>
        <w:gridCol w:w="90"/>
        <w:gridCol w:w="146"/>
        <w:gridCol w:w="586"/>
        <w:gridCol w:w="143"/>
        <w:gridCol w:w="135"/>
        <w:gridCol w:w="449"/>
        <w:gridCol w:w="338"/>
        <w:gridCol w:w="161"/>
        <w:gridCol w:w="311"/>
        <w:gridCol w:w="84"/>
        <w:gridCol w:w="180"/>
        <w:gridCol w:w="1210"/>
      </w:tblGrid>
      <w:tr w14:paraId="06A49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1120" w:type="pct"/>
            <w:gridSpan w:val="2"/>
            <w:tcBorders>
              <w:tl2br w:val="nil"/>
              <w:tr2bl w:val="nil"/>
            </w:tcBorders>
            <w:vAlign w:val="center"/>
          </w:tcPr>
          <w:p w14:paraId="4B3A5D3C">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工作内容</w:t>
            </w:r>
          </w:p>
        </w:tc>
        <w:tc>
          <w:tcPr>
            <w:tcW w:w="3879" w:type="pct"/>
            <w:gridSpan w:val="19"/>
            <w:tcBorders>
              <w:tl2br w:val="nil"/>
              <w:tr2bl w:val="nil"/>
            </w:tcBorders>
            <w:vAlign w:val="center"/>
          </w:tcPr>
          <w:p w14:paraId="5A38E2A6">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完成情况</w:t>
            </w:r>
          </w:p>
        </w:tc>
      </w:tr>
      <w:tr w14:paraId="037CB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502" w:type="pct"/>
            <w:vMerge w:val="restart"/>
            <w:tcBorders>
              <w:tl2br w:val="nil"/>
              <w:tr2bl w:val="nil"/>
            </w:tcBorders>
            <w:vAlign w:val="center"/>
          </w:tcPr>
          <w:p w14:paraId="113F3A9D">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风</w:t>
            </w:r>
          </w:p>
          <w:p w14:paraId="1D109FD2">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险</w:t>
            </w:r>
          </w:p>
          <w:p w14:paraId="41EDEDF8">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调</w:t>
            </w:r>
          </w:p>
          <w:p w14:paraId="1C7D91AF">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查</w:t>
            </w:r>
          </w:p>
        </w:tc>
        <w:tc>
          <w:tcPr>
            <w:tcW w:w="618" w:type="pct"/>
            <w:vMerge w:val="restart"/>
            <w:tcBorders>
              <w:tl2br w:val="nil"/>
              <w:tr2bl w:val="nil"/>
            </w:tcBorders>
            <w:vAlign w:val="center"/>
          </w:tcPr>
          <w:p w14:paraId="5F3197D5">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危险物质</w:t>
            </w:r>
          </w:p>
        </w:tc>
        <w:tc>
          <w:tcPr>
            <w:tcW w:w="607" w:type="pct"/>
            <w:tcBorders>
              <w:tl2br w:val="nil"/>
              <w:tr2bl w:val="nil"/>
            </w:tcBorders>
            <w:vAlign w:val="center"/>
          </w:tcPr>
          <w:p w14:paraId="68F55F07">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名称</w:t>
            </w:r>
          </w:p>
        </w:tc>
        <w:tc>
          <w:tcPr>
            <w:tcW w:w="651" w:type="pct"/>
            <w:gridSpan w:val="2"/>
            <w:tcBorders>
              <w:tl2br w:val="nil"/>
              <w:tr2bl w:val="nil"/>
            </w:tcBorders>
            <w:vAlign w:val="center"/>
          </w:tcPr>
          <w:p w14:paraId="20E63CAF">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rPr>
              <w:t>盐酸</w:t>
            </w:r>
          </w:p>
        </w:tc>
        <w:tc>
          <w:tcPr>
            <w:tcW w:w="653" w:type="pct"/>
            <w:gridSpan w:val="6"/>
            <w:tcBorders>
              <w:tl2br w:val="nil"/>
              <w:tr2bl w:val="nil"/>
            </w:tcBorders>
            <w:vAlign w:val="center"/>
          </w:tcPr>
          <w:p w14:paraId="45060A02">
            <w:pPr>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天然气</w:t>
            </w:r>
          </w:p>
        </w:tc>
        <w:tc>
          <w:tcPr>
            <w:tcW w:w="992" w:type="pct"/>
            <w:gridSpan w:val="6"/>
            <w:tcBorders>
              <w:tl2br w:val="nil"/>
              <w:tr2bl w:val="nil"/>
            </w:tcBorders>
            <w:vAlign w:val="center"/>
          </w:tcPr>
          <w:p w14:paraId="34E0D315">
            <w:pPr>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硝酸（磷化液中）</w:t>
            </w:r>
          </w:p>
        </w:tc>
        <w:tc>
          <w:tcPr>
            <w:tcW w:w="313" w:type="pct"/>
            <w:gridSpan w:val="3"/>
            <w:tcBorders>
              <w:tl2br w:val="nil"/>
              <w:tr2bl w:val="nil"/>
            </w:tcBorders>
            <w:vAlign w:val="center"/>
          </w:tcPr>
          <w:p w14:paraId="743521BA">
            <w:pPr>
              <w:snapToGrid w:val="0"/>
              <w:jc w:val="center"/>
              <w:rPr>
                <w:rFonts w:hint="default" w:ascii="Times New Roman" w:hAnsi="Times New Roman" w:cs="Times New Roman"/>
                <w:color w:val="auto"/>
                <w:szCs w:val="21"/>
              </w:rPr>
            </w:pPr>
          </w:p>
        </w:tc>
        <w:tc>
          <w:tcPr>
            <w:tcW w:w="661" w:type="pct"/>
            <w:tcBorders>
              <w:tl2br w:val="nil"/>
              <w:tr2bl w:val="nil"/>
            </w:tcBorders>
            <w:vAlign w:val="center"/>
          </w:tcPr>
          <w:p w14:paraId="062E1100">
            <w:pPr>
              <w:snapToGrid w:val="0"/>
              <w:jc w:val="center"/>
              <w:rPr>
                <w:rFonts w:hint="default" w:ascii="Times New Roman" w:hAnsi="Times New Roman" w:cs="Times New Roman"/>
                <w:color w:val="auto"/>
                <w:szCs w:val="21"/>
              </w:rPr>
            </w:pPr>
          </w:p>
        </w:tc>
      </w:tr>
      <w:tr w14:paraId="597BF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502" w:type="pct"/>
            <w:vMerge w:val="continue"/>
            <w:tcBorders>
              <w:tl2br w:val="nil"/>
              <w:tr2bl w:val="nil"/>
            </w:tcBorders>
            <w:vAlign w:val="center"/>
          </w:tcPr>
          <w:p w14:paraId="3A3FC331">
            <w:pPr>
              <w:snapToGrid w:val="0"/>
              <w:jc w:val="center"/>
              <w:rPr>
                <w:rFonts w:hint="default" w:ascii="Times New Roman" w:hAnsi="Times New Roman" w:cs="Times New Roman"/>
                <w:color w:val="auto"/>
                <w:szCs w:val="21"/>
                <w:lang w:val="zh-CN"/>
              </w:rPr>
            </w:pPr>
          </w:p>
        </w:tc>
        <w:tc>
          <w:tcPr>
            <w:tcW w:w="618" w:type="pct"/>
            <w:vMerge w:val="continue"/>
            <w:tcBorders>
              <w:tl2br w:val="nil"/>
              <w:tr2bl w:val="nil"/>
            </w:tcBorders>
            <w:vAlign w:val="center"/>
          </w:tcPr>
          <w:p w14:paraId="50D2C991">
            <w:pPr>
              <w:snapToGrid w:val="0"/>
              <w:jc w:val="center"/>
              <w:rPr>
                <w:rFonts w:hint="default" w:ascii="Times New Roman" w:hAnsi="Times New Roman" w:cs="Times New Roman"/>
                <w:color w:val="auto"/>
                <w:szCs w:val="21"/>
                <w:lang w:val="zh-CN"/>
              </w:rPr>
            </w:pPr>
          </w:p>
        </w:tc>
        <w:tc>
          <w:tcPr>
            <w:tcW w:w="607" w:type="pct"/>
            <w:tcBorders>
              <w:tl2br w:val="nil"/>
              <w:tr2bl w:val="nil"/>
            </w:tcBorders>
            <w:vAlign w:val="center"/>
          </w:tcPr>
          <w:p w14:paraId="20E812C9">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存在总量/t</w:t>
            </w:r>
          </w:p>
        </w:tc>
        <w:tc>
          <w:tcPr>
            <w:tcW w:w="651" w:type="pct"/>
            <w:gridSpan w:val="2"/>
            <w:tcBorders>
              <w:tl2br w:val="nil"/>
              <w:tr2bl w:val="nil"/>
            </w:tcBorders>
            <w:vAlign w:val="center"/>
          </w:tcPr>
          <w:p w14:paraId="01C934C2">
            <w:pPr>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8</w:t>
            </w:r>
            <w:r>
              <w:rPr>
                <w:rFonts w:hint="default" w:ascii="Times New Roman" w:hAnsi="Times New Roman" w:cs="Times New Roman"/>
                <w:color w:val="auto"/>
                <w:szCs w:val="21"/>
                <w:lang w:val="en-US" w:eastAsia="zh-CN"/>
              </w:rPr>
              <w:t>7.23</w:t>
            </w:r>
          </w:p>
        </w:tc>
        <w:tc>
          <w:tcPr>
            <w:tcW w:w="653" w:type="pct"/>
            <w:gridSpan w:val="6"/>
            <w:tcBorders>
              <w:tl2br w:val="nil"/>
              <w:tr2bl w:val="nil"/>
            </w:tcBorders>
            <w:vAlign w:val="center"/>
          </w:tcPr>
          <w:p w14:paraId="7D3E189A">
            <w:pPr>
              <w:snapToGrid w:val="0"/>
              <w:jc w:val="center"/>
              <w:rPr>
                <w:rFonts w:hint="default" w:ascii="Times New Roman" w:hAnsi="Times New Roman" w:cs="Times New Roman"/>
                <w:color w:val="auto"/>
                <w:szCs w:val="21"/>
              </w:rPr>
            </w:pPr>
            <w:r>
              <w:rPr>
                <w:rFonts w:hint="default" w:ascii="Times New Roman" w:hAnsi="Times New Roman" w:cs="Times New Roman"/>
                <w:color w:val="auto"/>
              </w:rPr>
              <w:t>0.015</w:t>
            </w:r>
          </w:p>
        </w:tc>
        <w:tc>
          <w:tcPr>
            <w:tcW w:w="992" w:type="pct"/>
            <w:gridSpan w:val="6"/>
            <w:tcBorders>
              <w:tl2br w:val="nil"/>
              <w:tr2bl w:val="nil"/>
            </w:tcBorders>
            <w:vAlign w:val="center"/>
          </w:tcPr>
          <w:p w14:paraId="4D64D479">
            <w:pPr>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lang w:val="en-US" w:eastAsia="zh-CN"/>
              </w:rPr>
              <w:t>0.27</w:t>
            </w:r>
          </w:p>
        </w:tc>
        <w:tc>
          <w:tcPr>
            <w:tcW w:w="313" w:type="pct"/>
            <w:gridSpan w:val="3"/>
            <w:tcBorders>
              <w:tl2br w:val="nil"/>
              <w:tr2bl w:val="nil"/>
            </w:tcBorders>
            <w:vAlign w:val="center"/>
          </w:tcPr>
          <w:p w14:paraId="0647E2BD">
            <w:pPr>
              <w:snapToGrid w:val="0"/>
              <w:jc w:val="center"/>
              <w:rPr>
                <w:rFonts w:hint="default" w:ascii="Times New Roman" w:hAnsi="Times New Roman" w:cs="Times New Roman"/>
                <w:color w:val="auto"/>
                <w:szCs w:val="21"/>
              </w:rPr>
            </w:pPr>
          </w:p>
        </w:tc>
        <w:tc>
          <w:tcPr>
            <w:tcW w:w="661" w:type="pct"/>
            <w:tcBorders>
              <w:tl2br w:val="nil"/>
              <w:tr2bl w:val="nil"/>
            </w:tcBorders>
            <w:vAlign w:val="center"/>
          </w:tcPr>
          <w:p w14:paraId="29607CB4">
            <w:pPr>
              <w:snapToGrid w:val="0"/>
              <w:jc w:val="center"/>
              <w:rPr>
                <w:rFonts w:hint="default" w:ascii="Times New Roman" w:hAnsi="Times New Roman" w:cs="Times New Roman"/>
                <w:color w:val="auto"/>
                <w:szCs w:val="21"/>
              </w:rPr>
            </w:pPr>
          </w:p>
        </w:tc>
      </w:tr>
      <w:tr w14:paraId="7F541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502" w:type="pct"/>
            <w:vMerge w:val="continue"/>
            <w:tcBorders>
              <w:tl2br w:val="nil"/>
              <w:tr2bl w:val="nil"/>
            </w:tcBorders>
            <w:vAlign w:val="center"/>
          </w:tcPr>
          <w:p w14:paraId="62F11BBE">
            <w:pPr>
              <w:snapToGrid w:val="0"/>
              <w:jc w:val="center"/>
              <w:rPr>
                <w:rFonts w:hint="default" w:ascii="Times New Roman" w:hAnsi="Times New Roman" w:cs="Times New Roman"/>
                <w:color w:val="auto"/>
                <w:szCs w:val="21"/>
                <w:lang w:val="zh-CN"/>
              </w:rPr>
            </w:pPr>
          </w:p>
        </w:tc>
        <w:tc>
          <w:tcPr>
            <w:tcW w:w="618" w:type="pct"/>
            <w:vMerge w:val="restart"/>
            <w:tcBorders>
              <w:tl2br w:val="nil"/>
              <w:tr2bl w:val="nil"/>
            </w:tcBorders>
            <w:vAlign w:val="center"/>
          </w:tcPr>
          <w:p w14:paraId="4C693901">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环境敏感性</w:t>
            </w:r>
          </w:p>
        </w:tc>
        <w:tc>
          <w:tcPr>
            <w:tcW w:w="607" w:type="pct"/>
            <w:vMerge w:val="restart"/>
            <w:tcBorders>
              <w:tl2br w:val="nil"/>
              <w:tr2bl w:val="nil"/>
            </w:tcBorders>
            <w:vAlign w:val="center"/>
          </w:tcPr>
          <w:p w14:paraId="3532FF7B">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大气</w:t>
            </w:r>
          </w:p>
        </w:tc>
        <w:tc>
          <w:tcPr>
            <w:tcW w:w="1626" w:type="pct"/>
            <w:gridSpan w:val="9"/>
            <w:tcBorders>
              <w:tl2br w:val="nil"/>
              <w:tr2bl w:val="nil"/>
            </w:tcBorders>
            <w:vAlign w:val="center"/>
          </w:tcPr>
          <w:p w14:paraId="0F6B32B9">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500m范围内人口数</w:t>
            </w:r>
            <w:r>
              <w:rPr>
                <w:rFonts w:hint="default" w:ascii="Times New Roman" w:hAnsi="Times New Roman" w:cs="Times New Roman"/>
                <w:color w:val="auto"/>
                <w:szCs w:val="21"/>
                <w:u w:val="single"/>
                <w:lang w:val="zh-CN"/>
              </w:rPr>
              <w:t>约</w:t>
            </w:r>
            <w:r>
              <w:rPr>
                <w:rFonts w:hint="default" w:ascii="Times New Roman" w:hAnsi="Times New Roman" w:cs="Times New Roman"/>
                <w:color w:val="auto"/>
                <w:szCs w:val="21"/>
                <w:u w:val="single"/>
              </w:rPr>
              <w:t>758</w:t>
            </w:r>
            <w:r>
              <w:rPr>
                <w:rFonts w:hint="default" w:ascii="Times New Roman" w:hAnsi="Times New Roman" w:cs="Times New Roman"/>
                <w:color w:val="auto"/>
                <w:szCs w:val="21"/>
                <w:lang w:val="zh-CN"/>
              </w:rPr>
              <w:t>人</w:t>
            </w:r>
          </w:p>
        </w:tc>
        <w:tc>
          <w:tcPr>
            <w:tcW w:w="1645" w:type="pct"/>
            <w:gridSpan w:val="9"/>
            <w:tcBorders>
              <w:tl2br w:val="nil"/>
              <w:tr2bl w:val="nil"/>
            </w:tcBorders>
            <w:vAlign w:val="center"/>
          </w:tcPr>
          <w:p w14:paraId="61D02CB6">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5km范围内人口数</w:t>
            </w:r>
            <w:r>
              <w:rPr>
                <w:rFonts w:hint="default" w:ascii="Times New Roman" w:hAnsi="Times New Roman" w:cs="Times New Roman"/>
                <w:color w:val="auto"/>
                <w:szCs w:val="21"/>
                <w:u w:val="single"/>
                <w:lang w:val="zh-CN"/>
              </w:rPr>
              <w:t>约</w:t>
            </w:r>
            <w:r>
              <w:rPr>
                <w:rFonts w:hint="default" w:ascii="Times New Roman" w:hAnsi="Times New Roman" w:cs="Times New Roman"/>
                <w:color w:val="auto"/>
                <w:szCs w:val="21"/>
                <w:u w:val="single"/>
              </w:rPr>
              <w:t>19万</w:t>
            </w:r>
            <w:r>
              <w:rPr>
                <w:rFonts w:hint="default" w:ascii="Times New Roman" w:hAnsi="Times New Roman" w:cs="Times New Roman"/>
                <w:color w:val="auto"/>
                <w:szCs w:val="21"/>
                <w:lang w:val="zh-CN"/>
              </w:rPr>
              <w:t>人</w:t>
            </w:r>
          </w:p>
        </w:tc>
      </w:tr>
      <w:tr w14:paraId="6C1FF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502" w:type="pct"/>
            <w:vMerge w:val="continue"/>
            <w:tcBorders>
              <w:tl2br w:val="nil"/>
              <w:tr2bl w:val="nil"/>
            </w:tcBorders>
            <w:vAlign w:val="center"/>
          </w:tcPr>
          <w:p w14:paraId="318E06CD">
            <w:pPr>
              <w:snapToGrid w:val="0"/>
              <w:jc w:val="center"/>
              <w:rPr>
                <w:rFonts w:hint="default" w:ascii="Times New Roman" w:hAnsi="Times New Roman" w:cs="Times New Roman"/>
                <w:color w:val="auto"/>
                <w:szCs w:val="21"/>
                <w:lang w:val="zh-CN"/>
              </w:rPr>
            </w:pPr>
          </w:p>
        </w:tc>
        <w:tc>
          <w:tcPr>
            <w:tcW w:w="618" w:type="pct"/>
            <w:vMerge w:val="continue"/>
            <w:tcBorders>
              <w:tl2br w:val="nil"/>
              <w:tr2bl w:val="nil"/>
            </w:tcBorders>
            <w:vAlign w:val="center"/>
          </w:tcPr>
          <w:p w14:paraId="0B6D395E">
            <w:pPr>
              <w:snapToGrid w:val="0"/>
              <w:jc w:val="center"/>
              <w:rPr>
                <w:rFonts w:hint="default" w:ascii="Times New Roman" w:hAnsi="Times New Roman" w:cs="Times New Roman"/>
                <w:color w:val="auto"/>
                <w:szCs w:val="21"/>
                <w:lang w:val="zh-CN"/>
              </w:rPr>
            </w:pPr>
          </w:p>
        </w:tc>
        <w:tc>
          <w:tcPr>
            <w:tcW w:w="607" w:type="pct"/>
            <w:vMerge w:val="continue"/>
            <w:tcBorders>
              <w:tl2br w:val="nil"/>
              <w:tr2bl w:val="nil"/>
            </w:tcBorders>
            <w:vAlign w:val="center"/>
          </w:tcPr>
          <w:p w14:paraId="4B2123DE">
            <w:pPr>
              <w:snapToGrid w:val="0"/>
              <w:jc w:val="center"/>
              <w:rPr>
                <w:rFonts w:hint="default" w:ascii="Times New Roman" w:hAnsi="Times New Roman" w:cs="Times New Roman"/>
                <w:color w:val="auto"/>
                <w:szCs w:val="21"/>
                <w:lang w:val="zh-CN"/>
              </w:rPr>
            </w:pPr>
          </w:p>
        </w:tc>
        <w:tc>
          <w:tcPr>
            <w:tcW w:w="2467" w:type="pct"/>
            <w:gridSpan w:val="15"/>
            <w:tcBorders>
              <w:tl2br w:val="nil"/>
              <w:tr2bl w:val="nil"/>
            </w:tcBorders>
            <w:vAlign w:val="center"/>
          </w:tcPr>
          <w:p w14:paraId="044827EC">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每公里管段周边200m范围内人口数（最大）</w:t>
            </w:r>
          </w:p>
        </w:tc>
        <w:tc>
          <w:tcPr>
            <w:tcW w:w="804" w:type="pct"/>
            <w:gridSpan w:val="3"/>
            <w:tcBorders>
              <w:tl2br w:val="nil"/>
              <w:tr2bl w:val="nil"/>
            </w:tcBorders>
            <w:vAlign w:val="center"/>
          </w:tcPr>
          <w:p w14:paraId="73C29817">
            <w:pPr>
              <w:snapToGrid w:val="0"/>
              <w:ind w:left="360"/>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人</w:t>
            </w:r>
          </w:p>
        </w:tc>
      </w:tr>
      <w:tr w14:paraId="4C0D5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502" w:type="pct"/>
            <w:vMerge w:val="continue"/>
            <w:tcBorders>
              <w:tl2br w:val="nil"/>
              <w:tr2bl w:val="nil"/>
            </w:tcBorders>
            <w:vAlign w:val="center"/>
          </w:tcPr>
          <w:p w14:paraId="27E3588A">
            <w:pPr>
              <w:snapToGrid w:val="0"/>
              <w:jc w:val="center"/>
              <w:rPr>
                <w:rFonts w:hint="default" w:ascii="Times New Roman" w:hAnsi="Times New Roman" w:cs="Times New Roman"/>
                <w:color w:val="auto"/>
                <w:szCs w:val="21"/>
                <w:lang w:val="zh-CN"/>
              </w:rPr>
            </w:pPr>
          </w:p>
        </w:tc>
        <w:tc>
          <w:tcPr>
            <w:tcW w:w="618" w:type="pct"/>
            <w:vMerge w:val="continue"/>
            <w:tcBorders>
              <w:tl2br w:val="nil"/>
              <w:tr2bl w:val="nil"/>
            </w:tcBorders>
            <w:vAlign w:val="center"/>
          </w:tcPr>
          <w:p w14:paraId="11D67279">
            <w:pPr>
              <w:snapToGrid w:val="0"/>
              <w:jc w:val="center"/>
              <w:rPr>
                <w:rFonts w:hint="default" w:ascii="Times New Roman" w:hAnsi="Times New Roman" w:cs="Times New Roman"/>
                <w:color w:val="auto"/>
                <w:szCs w:val="21"/>
                <w:lang w:val="zh-CN"/>
              </w:rPr>
            </w:pPr>
          </w:p>
        </w:tc>
        <w:tc>
          <w:tcPr>
            <w:tcW w:w="607" w:type="pct"/>
            <w:vMerge w:val="restart"/>
            <w:tcBorders>
              <w:tl2br w:val="nil"/>
              <w:tr2bl w:val="nil"/>
            </w:tcBorders>
            <w:vAlign w:val="center"/>
          </w:tcPr>
          <w:p w14:paraId="24967D77">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地表水</w:t>
            </w:r>
          </w:p>
        </w:tc>
        <w:tc>
          <w:tcPr>
            <w:tcW w:w="993" w:type="pct"/>
            <w:gridSpan w:val="4"/>
            <w:tcBorders>
              <w:tl2br w:val="nil"/>
              <w:tr2bl w:val="nil"/>
            </w:tcBorders>
            <w:vAlign w:val="center"/>
          </w:tcPr>
          <w:p w14:paraId="31112017">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地表水功能敏感性</w:t>
            </w:r>
          </w:p>
        </w:tc>
        <w:tc>
          <w:tcPr>
            <w:tcW w:w="711" w:type="pct"/>
            <w:gridSpan w:val="6"/>
            <w:tcBorders>
              <w:tl2br w:val="nil"/>
              <w:tr2bl w:val="nil"/>
            </w:tcBorders>
            <w:vAlign w:val="center"/>
          </w:tcPr>
          <w:p w14:paraId="7D068A4D">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F1 □</w:t>
            </w:r>
          </w:p>
        </w:tc>
        <w:tc>
          <w:tcPr>
            <w:tcW w:w="762" w:type="pct"/>
            <w:gridSpan w:val="5"/>
            <w:tcBorders>
              <w:tl2br w:val="nil"/>
              <w:tr2bl w:val="nil"/>
            </w:tcBorders>
            <w:vAlign w:val="center"/>
          </w:tcPr>
          <w:p w14:paraId="7A15B7C6">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F2 </w:t>
            </w:r>
            <w:r>
              <w:rPr>
                <w:rFonts w:hint="default" w:ascii="Times New Roman" w:hAnsi="Times New Roman" w:cs="Times New Roman"/>
                <w:color w:val="auto"/>
                <w:szCs w:val="21"/>
                <w:lang w:val="zh-CN"/>
              </w:rPr>
              <w:sym w:font="Wingdings 2" w:char="0052"/>
            </w:r>
          </w:p>
        </w:tc>
        <w:tc>
          <w:tcPr>
            <w:tcW w:w="804" w:type="pct"/>
            <w:gridSpan w:val="3"/>
            <w:tcBorders>
              <w:tl2br w:val="nil"/>
              <w:tr2bl w:val="nil"/>
            </w:tcBorders>
            <w:vAlign w:val="center"/>
          </w:tcPr>
          <w:p w14:paraId="074A8D3A">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F3 □</w:t>
            </w:r>
          </w:p>
        </w:tc>
      </w:tr>
      <w:tr w14:paraId="1ED18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502" w:type="pct"/>
            <w:vMerge w:val="continue"/>
            <w:tcBorders>
              <w:tl2br w:val="nil"/>
              <w:tr2bl w:val="nil"/>
            </w:tcBorders>
            <w:vAlign w:val="center"/>
          </w:tcPr>
          <w:p w14:paraId="5211A176">
            <w:pPr>
              <w:snapToGrid w:val="0"/>
              <w:jc w:val="center"/>
              <w:rPr>
                <w:rFonts w:hint="default" w:ascii="Times New Roman" w:hAnsi="Times New Roman" w:cs="Times New Roman"/>
                <w:color w:val="auto"/>
                <w:szCs w:val="21"/>
                <w:lang w:val="zh-CN"/>
              </w:rPr>
            </w:pPr>
          </w:p>
        </w:tc>
        <w:tc>
          <w:tcPr>
            <w:tcW w:w="618" w:type="pct"/>
            <w:vMerge w:val="continue"/>
            <w:tcBorders>
              <w:tl2br w:val="nil"/>
              <w:tr2bl w:val="nil"/>
            </w:tcBorders>
            <w:vAlign w:val="center"/>
          </w:tcPr>
          <w:p w14:paraId="4602B750">
            <w:pPr>
              <w:snapToGrid w:val="0"/>
              <w:jc w:val="center"/>
              <w:rPr>
                <w:rFonts w:hint="default" w:ascii="Times New Roman" w:hAnsi="Times New Roman" w:cs="Times New Roman"/>
                <w:color w:val="auto"/>
                <w:szCs w:val="21"/>
                <w:lang w:val="zh-CN"/>
              </w:rPr>
            </w:pPr>
          </w:p>
        </w:tc>
        <w:tc>
          <w:tcPr>
            <w:tcW w:w="607" w:type="pct"/>
            <w:vMerge w:val="continue"/>
            <w:tcBorders>
              <w:tl2br w:val="nil"/>
              <w:tr2bl w:val="nil"/>
            </w:tcBorders>
            <w:vAlign w:val="center"/>
          </w:tcPr>
          <w:p w14:paraId="36E640E3">
            <w:pPr>
              <w:snapToGrid w:val="0"/>
              <w:jc w:val="center"/>
              <w:rPr>
                <w:rFonts w:hint="default" w:ascii="Times New Roman" w:hAnsi="Times New Roman" w:cs="Times New Roman"/>
                <w:color w:val="auto"/>
                <w:szCs w:val="21"/>
                <w:lang w:val="zh-CN"/>
              </w:rPr>
            </w:pPr>
          </w:p>
        </w:tc>
        <w:tc>
          <w:tcPr>
            <w:tcW w:w="993" w:type="pct"/>
            <w:gridSpan w:val="4"/>
            <w:tcBorders>
              <w:tl2br w:val="nil"/>
              <w:tr2bl w:val="nil"/>
            </w:tcBorders>
            <w:vAlign w:val="center"/>
          </w:tcPr>
          <w:p w14:paraId="3F2B2F51">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环境敏感目标分级</w:t>
            </w:r>
          </w:p>
        </w:tc>
        <w:tc>
          <w:tcPr>
            <w:tcW w:w="711" w:type="pct"/>
            <w:gridSpan w:val="6"/>
            <w:tcBorders>
              <w:tl2br w:val="nil"/>
              <w:tr2bl w:val="nil"/>
            </w:tcBorders>
            <w:vAlign w:val="center"/>
          </w:tcPr>
          <w:p w14:paraId="22061346">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S1</w:t>
            </w:r>
            <w:r>
              <w:rPr>
                <w:rFonts w:hint="default" w:ascii="Times New Roman" w:hAnsi="Times New Roman" w:cs="Times New Roman"/>
                <w:color w:val="auto"/>
                <w:szCs w:val="21"/>
              </w:rPr>
              <w:t xml:space="preserve"> </w:t>
            </w:r>
            <w:r>
              <w:rPr>
                <w:rFonts w:hint="default" w:ascii="Times New Roman" w:hAnsi="Times New Roman" w:cs="Times New Roman"/>
                <w:color w:val="auto"/>
                <w:szCs w:val="21"/>
                <w:lang w:val="zh-CN"/>
              </w:rPr>
              <w:t>□</w:t>
            </w:r>
          </w:p>
        </w:tc>
        <w:tc>
          <w:tcPr>
            <w:tcW w:w="762" w:type="pct"/>
            <w:gridSpan w:val="5"/>
            <w:tcBorders>
              <w:tl2br w:val="nil"/>
              <w:tr2bl w:val="nil"/>
            </w:tcBorders>
            <w:vAlign w:val="center"/>
          </w:tcPr>
          <w:p w14:paraId="0478D428">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S2 </w:t>
            </w:r>
            <w:r>
              <w:rPr>
                <w:rFonts w:hint="default" w:ascii="Times New Roman" w:hAnsi="Times New Roman" w:cs="Times New Roman"/>
                <w:color w:val="auto"/>
                <w:szCs w:val="21"/>
                <w:lang w:val="zh-CN"/>
              </w:rPr>
              <w:sym w:font="Wingdings 2" w:char="00A3"/>
            </w:r>
          </w:p>
        </w:tc>
        <w:tc>
          <w:tcPr>
            <w:tcW w:w="804" w:type="pct"/>
            <w:gridSpan w:val="3"/>
            <w:tcBorders>
              <w:tl2br w:val="nil"/>
              <w:tr2bl w:val="nil"/>
            </w:tcBorders>
            <w:vAlign w:val="center"/>
          </w:tcPr>
          <w:p w14:paraId="2D64F853">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S3 </w:t>
            </w:r>
            <w:r>
              <w:rPr>
                <w:rFonts w:hint="default" w:ascii="Times New Roman" w:hAnsi="Times New Roman" w:cs="Times New Roman"/>
                <w:color w:val="auto"/>
                <w:szCs w:val="21"/>
                <w:lang w:val="zh-CN"/>
              </w:rPr>
              <w:sym w:font="Wingdings 2" w:char="0052"/>
            </w:r>
          </w:p>
        </w:tc>
      </w:tr>
      <w:tr w14:paraId="326DA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502" w:type="pct"/>
            <w:vMerge w:val="continue"/>
            <w:tcBorders>
              <w:tl2br w:val="nil"/>
              <w:tr2bl w:val="nil"/>
            </w:tcBorders>
            <w:vAlign w:val="center"/>
          </w:tcPr>
          <w:p w14:paraId="5402D962">
            <w:pPr>
              <w:snapToGrid w:val="0"/>
              <w:jc w:val="center"/>
              <w:rPr>
                <w:rFonts w:hint="default" w:ascii="Times New Roman" w:hAnsi="Times New Roman" w:cs="Times New Roman"/>
                <w:color w:val="auto"/>
                <w:szCs w:val="21"/>
                <w:lang w:val="zh-CN"/>
              </w:rPr>
            </w:pPr>
          </w:p>
        </w:tc>
        <w:tc>
          <w:tcPr>
            <w:tcW w:w="618" w:type="pct"/>
            <w:vMerge w:val="continue"/>
            <w:tcBorders>
              <w:tl2br w:val="nil"/>
              <w:tr2bl w:val="nil"/>
            </w:tcBorders>
            <w:vAlign w:val="center"/>
          </w:tcPr>
          <w:p w14:paraId="4BC35291">
            <w:pPr>
              <w:snapToGrid w:val="0"/>
              <w:jc w:val="center"/>
              <w:rPr>
                <w:rFonts w:hint="default" w:ascii="Times New Roman" w:hAnsi="Times New Roman" w:cs="Times New Roman"/>
                <w:color w:val="auto"/>
                <w:szCs w:val="21"/>
                <w:lang w:val="zh-CN"/>
              </w:rPr>
            </w:pPr>
          </w:p>
        </w:tc>
        <w:tc>
          <w:tcPr>
            <w:tcW w:w="607" w:type="pct"/>
            <w:vMerge w:val="restart"/>
            <w:tcBorders>
              <w:tl2br w:val="nil"/>
              <w:tr2bl w:val="nil"/>
            </w:tcBorders>
            <w:vAlign w:val="center"/>
          </w:tcPr>
          <w:p w14:paraId="128D3C29">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地下水</w:t>
            </w:r>
          </w:p>
        </w:tc>
        <w:tc>
          <w:tcPr>
            <w:tcW w:w="993" w:type="pct"/>
            <w:gridSpan w:val="4"/>
            <w:tcBorders>
              <w:tl2br w:val="nil"/>
              <w:tr2bl w:val="nil"/>
            </w:tcBorders>
            <w:vAlign w:val="center"/>
          </w:tcPr>
          <w:p w14:paraId="2489803B">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地下水功能敏感性</w:t>
            </w:r>
          </w:p>
        </w:tc>
        <w:tc>
          <w:tcPr>
            <w:tcW w:w="711" w:type="pct"/>
            <w:gridSpan w:val="6"/>
            <w:tcBorders>
              <w:tl2br w:val="nil"/>
              <w:tr2bl w:val="nil"/>
            </w:tcBorders>
            <w:vAlign w:val="center"/>
          </w:tcPr>
          <w:p w14:paraId="1A285401">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G1 </w:t>
            </w:r>
            <w:r>
              <w:rPr>
                <w:rFonts w:hint="default" w:ascii="Times New Roman" w:hAnsi="Times New Roman" w:cs="Times New Roman"/>
                <w:color w:val="auto"/>
                <w:szCs w:val="21"/>
                <w:lang w:val="zh-CN"/>
              </w:rPr>
              <w:sym w:font="Wingdings 2" w:char="00A3"/>
            </w:r>
          </w:p>
        </w:tc>
        <w:tc>
          <w:tcPr>
            <w:tcW w:w="762" w:type="pct"/>
            <w:gridSpan w:val="5"/>
            <w:tcBorders>
              <w:tl2br w:val="nil"/>
              <w:tr2bl w:val="nil"/>
            </w:tcBorders>
            <w:vAlign w:val="center"/>
          </w:tcPr>
          <w:p w14:paraId="6A2AE914">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G2 □</w:t>
            </w:r>
          </w:p>
        </w:tc>
        <w:tc>
          <w:tcPr>
            <w:tcW w:w="804" w:type="pct"/>
            <w:gridSpan w:val="3"/>
            <w:tcBorders>
              <w:tl2br w:val="nil"/>
              <w:tr2bl w:val="nil"/>
            </w:tcBorders>
            <w:vAlign w:val="center"/>
          </w:tcPr>
          <w:p w14:paraId="11D9DFBB">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G3 </w:t>
            </w:r>
            <w:r>
              <w:rPr>
                <w:rFonts w:hint="default" w:ascii="Times New Roman" w:hAnsi="Times New Roman" w:cs="Times New Roman"/>
                <w:color w:val="auto"/>
                <w:szCs w:val="21"/>
                <w:lang w:val="zh-CN"/>
              </w:rPr>
              <w:sym w:font="Wingdings 2" w:char="0052"/>
            </w:r>
          </w:p>
        </w:tc>
      </w:tr>
      <w:tr w14:paraId="1E230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502" w:type="pct"/>
            <w:vMerge w:val="continue"/>
            <w:tcBorders>
              <w:tl2br w:val="nil"/>
              <w:tr2bl w:val="nil"/>
            </w:tcBorders>
            <w:vAlign w:val="center"/>
          </w:tcPr>
          <w:p w14:paraId="1869C144">
            <w:pPr>
              <w:snapToGrid w:val="0"/>
              <w:jc w:val="center"/>
              <w:rPr>
                <w:rFonts w:hint="default" w:ascii="Times New Roman" w:hAnsi="Times New Roman" w:cs="Times New Roman"/>
                <w:color w:val="auto"/>
                <w:szCs w:val="21"/>
                <w:lang w:val="zh-CN"/>
              </w:rPr>
            </w:pPr>
          </w:p>
        </w:tc>
        <w:tc>
          <w:tcPr>
            <w:tcW w:w="618" w:type="pct"/>
            <w:vMerge w:val="continue"/>
            <w:tcBorders>
              <w:tl2br w:val="nil"/>
              <w:tr2bl w:val="nil"/>
            </w:tcBorders>
            <w:vAlign w:val="center"/>
          </w:tcPr>
          <w:p w14:paraId="489C0788">
            <w:pPr>
              <w:snapToGrid w:val="0"/>
              <w:jc w:val="center"/>
              <w:rPr>
                <w:rFonts w:hint="default" w:ascii="Times New Roman" w:hAnsi="Times New Roman" w:cs="Times New Roman"/>
                <w:color w:val="auto"/>
                <w:szCs w:val="21"/>
                <w:lang w:val="zh-CN"/>
              </w:rPr>
            </w:pPr>
          </w:p>
        </w:tc>
        <w:tc>
          <w:tcPr>
            <w:tcW w:w="607" w:type="pct"/>
            <w:vMerge w:val="continue"/>
            <w:tcBorders>
              <w:tl2br w:val="nil"/>
              <w:tr2bl w:val="nil"/>
            </w:tcBorders>
            <w:vAlign w:val="center"/>
          </w:tcPr>
          <w:p w14:paraId="4F14E369">
            <w:pPr>
              <w:snapToGrid w:val="0"/>
              <w:jc w:val="center"/>
              <w:rPr>
                <w:rFonts w:hint="default" w:ascii="Times New Roman" w:hAnsi="Times New Roman" w:cs="Times New Roman"/>
                <w:color w:val="auto"/>
                <w:szCs w:val="21"/>
                <w:lang w:val="zh-CN"/>
              </w:rPr>
            </w:pPr>
          </w:p>
        </w:tc>
        <w:tc>
          <w:tcPr>
            <w:tcW w:w="993" w:type="pct"/>
            <w:gridSpan w:val="4"/>
            <w:tcBorders>
              <w:tl2br w:val="nil"/>
              <w:tr2bl w:val="nil"/>
            </w:tcBorders>
            <w:vAlign w:val="center"/>
          </w:tcPr>
          <w:p w14:paraId="7E5D39A2">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包气带防污性能</w:t>
            </w:r>
          </w:p>
        </w:tc>
        <w:tc>
          <w:tcPr>
            <w:tcW w:w="711" w:type="pct"/>
            <w:gridSpan w:val="6"/>
            <w:tcBorders>
              <w:tl2br w:val="nil"/>
              <w:tr2bl w:val="nil"/>
            </w:tcBorders>
            <w:vAlign w:val="center"/>
          </w:tcPr>
          <w:p w14:paraId="06F473C5">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D1 </w:t>
            </w:r>
            <w:r>
              <w:rPr>
                <w:rFonts w:hint="default" w:ascii="Times New Roman" w:hAnsi="Times New Roman" w:cs="Times New Roman"/>
                <w:color w:val="auto"/>
                <w:szCs w:val="21"/>
                <w:lang w:val="zh-CN"/>
              </w:rPr>
              <w:sym w:font="Wingdings 2" w:char="0052"/>
            </w:r>
          </w:p>
        </w:tc>
        <w:tc>
          <w:tcPr>
            <w:tcW w:w="762" w:type="pct"/>
            <w:gridSpan w:val="5"/>
            <w:tcBorders>
              <w:tl2br w:val="nil"/>
              <w:tr2bl w:val="nil"/>
            </w:tcBorders>
            <w:vAlign w:val="center"/>
          </w:tcPr>
          <w:p w14:paraId="7B605398">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D2 □</w:t>
            </w:r>
          </w:p>
        </w:tc>
        <w:tc>
          <w:tcPr>
            <w:tcW w:w="804" w:type="pct"/>
            <w:gridSpan w:val="3"/>
            <w:tcBorders>
              <w:tl2br w:val="nil"/>
              <w:tr2bl w:val="nil"/>
            </w:tcBorders>
            <w:vAlign w:val="center"/>
          </w:tcPr>
          <w:p w14:paraId="79A37B02">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D3 </w:t>
            </w:r>
            <w:r>
              <w:rPr>
                <w:rFonts w:hint="default" w:ascii="Times New Roman" w:hAnsi="Times New Roman" w:cs="Times New Roman"/>
                <w:color w:val="auto"/>
                <w:szCs w:val="21"/>
                <w:lang w:val="zh-CN"/>
              </w:rPr>
              <w:sym w:font="Wingdings 2" w:char="00A3"/>
            </w:r>
          </w:p>
        </w:tc>
      </w:tr>
      <w:tr w14:paraId="5C5D0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1120" w:type="pct"/>
            <w:gridSpan w:val="2"/>
            <w:vMerge w:val="restart"/>
            <w:tcBorders>
              <w:tl2br w:val="nil"/>
              <w:tr2bl w:val="nil"/>
            </w:tcBorders>
            <w:vAlign w:val="center"/>
          </w:tcPr>
          <w:p w14:paraId="7686E215">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物质及工艺系统</w:t>
            </w:r>
          </w:p>
          <w:p w14:paraId="088FC263">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危险性</w:t>
            </w:r>
          </w:p>
        </w:tc>
        <w:tc>
          <w:tcPr>
            <w:tcW w:w="607" w:type="pct"/>
            <w:tcBorders>
              <w:tl2br w:val="nil"/>
              <w:tr2bl w:val="nil"/>
            </w:tcBorders>
            <w:vAlign w:val="center"/>
          </w:tcPr>
          <w:p w14:paraId="390F51CA">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Q值</w:t>
            </w:r>
          </w:p>
        </w:tc>
        <w:tc>
          <w:tcPr>
            <w:tcW w:w="993" w:type="pct"/>
            <w:gridSpan w:val="4"/>
            <w:tcBorders>
              <w:tl2br w:val="nil"/>
              <w:tr2bl w:val="nil"/>
            </w:tcBorders>
            <w:vAlign w:val="center"/>
          </w:tcPr>
          <w:p w14:paraId="557BE6A2">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Q＜1 □</w:t>
            </w:r>
          </w:p>
        </w:tc>
        <w:tc>
          <w:tcPr>
            <w:tcW w:w="711" w:type="pct"/>
            <w:gridSpan w:val="6"/>
            <w:tcBorders>
              <w:tl2br w:val="nil"/>
              <w:tr2bl w:val="nil"/>
            </w:tcBorders>
            <w:vAlign w:val="center"/>
          </w:tcPr>
          <w:p w14:paraId="1B15729C">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1≤Q＜10 □</w:t>
            </w:r>
          </w:p>
        </w:tc>
        <w:tc>
          <w:tcPr>
            <w:tcW w:w="762" w:type="pct"/>
            <w:gridSpan w:val="5"/>
            <w:tcBorders>
              <w:tl2br w:val="nil"/>
              <w:tr2bl w:val="nil"/>
            </w:tcBorders>
            <w:vAlign w:val="center"/>
          </w:tcPr>
          <w:p w14:paraId="31BC7745">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10≤Q＜100 </w:t>
            </w:r>
            <w:r>
              <w:rPr>
                <w:rFonts w:hint="default" w:ascii="Times New Roman" w:hAnsi="Times New Roman" w:cs="Times New Roman"/>
                <w:color w:val="auto"/>
                <w:szCs w:val="21"/>
                <w:lang w:val="zh-CN"/>
              </w:rPr>
              <w:sym w:font="Wingdings 2" w:char="0052"/>
            </w:r>
          </w:p>
        </w:tc>
        <w:tc>
          <w:tcPr>
            <w:tcW w:w="804" w:type="pct"/>
            <w:gridSpan w:val="3"/>
            <w:tcBorders>
              <w:tl2br w:val="nil"/>
              <w:tr2bl w:val="nil"/>
            </w:tcBorders>
            <w:vAlign w:val="center"/>
          </w:tcPr>
          <w:p w14:paraId="71C0E334">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Q＞100 </w:t>
            </w:r>
            <w:r>
              <w:rPr>
                <w:rFonts w:hint="default" w:ascii="Times New Roman" w:hAnsi="Times New Roman" w:cs="Times New Roman"/>
                <w:color w:val="auto"/>
                <w:szCs w:val="21"/>
                <w:lang w:val="zh-CN"/>
              </w:rPr>
              <w:sym w:font="Wingdings 2" w:char="00A3"/>
            </w:r>
          </w:p>
        </w:tc>
      </w:tr>
      <w:tr w14:paraId="26C71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1120" w:type="pct"/>
            <w:gridSpan w:val="2"/>
            <w:vMerge w:val="continue"/>
            <w:tcBorders>
              <w:tl2br w:val="nil"/>
              <w:tr2bl w:val="nil"/>
            </w:tcBorders>
            <w:vAlign w:val="center"/>
          </w:tcPr>
          <w:p w14:paraId="7FA18F08">
            <w:pPr>
              <w:snapToGrid w:val="0"/>
              <w:jc w:val="center"/>
              <w:rPr>
                <w:rFonts w:hint="default" w:ascii="Times New Roman" w:hAnsi="Times New Roman" w:cs="Times New Roman"/>
                <w:color w:val="auto"/>
                <w:szCs w:val="21"/>
                <w:lang w:val="zh-CN"/>
              </w:rPr>
            </w:pPr>
          </w:p>
        </w:tc>
        <w:tc>
          <w:tcPr>
            <w:tcW w:w="607" w:type="pct"/>
            <w:tcBorders>
              <w:tl2br w:val="nil"/>
              <w:tr2bl w:val="nil"/>
            </w:tcBorders>
            <w:vAlign w:val="center"/>
          </w:tcPr>
          <w:p w14:paraId="322BAAF8">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M值</w:t>
            </w:r>
          </w:p>
        </w:tc>
        <w:tc>
          <w:tcPr>
            <w:tcW w:w="993" w:type="pct"/>
            <w:gridSpan w:val="4"/>
            <w:tcBorders>
              <w:tl2br w:val="nil"/>
              <w:tr2bl w:val="nil"/>
            </w:tcBorders>
            <w:vAlign w:val="center"/>
          </w:tcPr>
          <w:p w14:paraId="387EBFD4">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M1 □</w:t>
            </w:r>
          </w:p>
        </w:tc>
        <w:tc>
          <w:tcPr>
            <w:tcW w:w="711" w:type="pct"/>
            <w:gridSpan w:val="6"/>
            <w:tcBorders>
              <w:tl2br w:val="nil"/>
              <w:tr2bl w:val="nil"/>
            </w:tcBorders>
            <w:vAlign w:val="center"/>
          </w:tcPr>
          <w:p w14:paraId="0CF7BC5D">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M2 </w:t>
            </w:r>
            <w:r>
              <w:rPr>
                <w:rFonts w:hint="default" w:ascii="Times New Roman" w:hAnsi="Times New Roman" w:cs="Times New Roman"/>
                <w:color w:val="auto"/>
                <w:szCs w:val="21"/>
                <w:lang w:val="zh-CN"/>
              </w:rPr>
              <w:sym w:font="Wingdings 2" w:char="00A3"/>
            </w:r>
          </w:p>
        </w:tc>
        <w:tc>
          <w:tcPr>
            <w:tcW w:w="762" w:type="pct"/>
            <w:gridSpan w:val="5"/>
            <w:tcBorders>
              <w:tl2br w:val="nil"/>
              <w:tr2bl w:val="nil"/>
            </w:tcBorders>
            <w:vAlign w:val="center"/>
          </w:tcPr>
          <w:p w14:paraId="43219605">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M3□</w:t>
            </w:r>
          </w:p>
        </w:tc>
        <w:tc>
          <w:tcPr>
            <w:tcW w:w="804" w:type="pct"/>
            <w:gridSpan w:val="3"/>
            <w:tcBorders>
              <w:tl2br w:val="nil"/>
              <w:tr2bl w:val="nil"/>
            </w:tcBorders>
            <w:vAlign w:val="center"/>
          </w:tcPr>
          <w:p w14:paraId="3B649407">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M4 </w:t>
            </w:r>
            <w:r>
              <w:rPr>
                <w:rFonts w:hint="default" w:ascii="Times New Roman" w:hAnsi="Times New Roman" w:cs="Times New Roman"/>
                <w:color w:val="auto"/>
                <w:szCs w:val="21"/>
                <w:lang w:val="zh-CN"/>
              </w:rPr>
              <w:sym w:font="Wingdings 2" w:char="0052"/>
            </w:r>
          </w:p>
        </w:tc>
      </w:tr>
      <w:tr w14:paraId="14B03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1120" w:type="pct"/>
            <w:gridSpan w:val="2"/>
            <w:vMerge w:val="continue"/>
            <w:tcBorders>
              <w:tl2br w:val="nil"/>
              <w:tr2bl w:val="nil"/>
            </w:tcBorders>
            <w:vAlign w:val="center"/>
          </w:tcPr>
          <w:p w14:paraId="5A70EF40">
            <w:pPr>
              <w:snapToGrid w:val="0"/>
              <w:jc w:val="center"/>
              <w:rPr>
                <w:rFonts w:hint="default" w:ascii="Times New Roman" w:hAnsi="Times New Roman" w:cs="Times New Roman"/>
                <w:color w:val="auto"/>
                <w:szCs w:val="21"/>
                <w:lang w:val="zh-CN"/>
              </w:rPr>
            </w:pPr>
          </w:p>
        </w:tc>
        <w:tc>
          <w:tcPr>
            <w:tcW w:w="607" w:type="pct"/>
            <w:tcBorders>
              <w:tl2br w:val="nil"/>
              <w:tr2bl w:val="nil"/>
            </w:tcBorders>
            <w:vAlign w:val="center"/>
          </w:tcPr>
          <w:p w14:paraId="69EF42A0">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P值</w:t>
            </w:r>
          </w:p>
        </w:tc>
        <w:tc>
          <w:tcPr>
            <w:tcW w:w="993" w:type="pct"/>
            <w:gridSpan w:val="4"/>
            <w:tcBorders>
              <w:tl2br w:val="nil"/>
              <w:tr2bl w:val="nil"/>
            </w:tcBorders>
            <w:vAlign w:val="center"/>
          </w:tcPr>
          <w:p w14:paraId="24671D99">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P1 □</w:t>
            </w:r>
          </w:p>
        </w:tc>
        <w:tc>
          <w:tcPr>
            <w:tcW w:w="711" w:type="pct"/>
            <w:gridSpan w:val="6"/>
            <w:tcBorders>
              <w:tl2br w:val="nil"/>
              <w:tr2bl w:val="nil"/>
            </w:tcBorders>
            <w:vAlign w:val="center"/>
          </w:tcPr>
          <w:p w14:paraId="21264119">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P2 </w:t>
            </w:r>
            <w:r>
              <w:rPr>
                <w:rFonts w:hint="default" w:ascii="Times New Roman" w:hAnsi="Times New Roman" w:cs="Times New Roman"/>
                <w:color w:val="auto"/>
                <w:szCs w:val="21"/>
                <w:lang w:val="zh-CN"/>
              </w:rPr>
              <w:sym w:font="Wingdings 2" w:char="00A3"/>
            </w:r>
          </w:p>
        </w:tc>
        <w:tc>
          <w:tcPr>
            <w:tcW w:w="762" w:type="pct"/>
            <w:gridSpan w:val="5"/>
            <w:tcBorders>
              <w:tl2br w:val="nil"/>
              <w:tr2bl w:val="nil"/>
            </w:tcBorders>
            <w:vAlign w:val="center"/>
          </w:tcPr>
          <w:p w14:paraId="2CF522DA">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P3 </w:t>
            </w:r>
            <w:r>
              <w:rPr>
                <w:rFonts w:hint="default" w:ascii="Times New Roman" w:hAnsi="Times New Roman" w:cs="Times New Roman"/>
                <w:color w:val="auto"/>
                <w:szCs w:val="21"/>
                <w:lang w:val="zh-CN"/>
              </w:rPr>
              <w:sym w:font="Wingdings 2" w:char="00A3"/>
            </w:r>
          </w:p>
        </w:tc>
        <w:tc>
          <w:tcPr>
            <w:tcW w:w="804" w:type="pct"/>
            <w:gridSpan w:val="3"/>
            <w:tcBorders>
              <w:tl2br w:val="nil"/>
              <w:tr2bl w:val="nil"/>
            </w:tcBorders>
            <w:vAlign w:val="center"/>
          </w:tcPr>
          <w:p w14:paraId="57C74827">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P4 </w:t>
            </w:r>
            <w:r>
              <w:rPr>
                <w:rFonts w:hint="default" w:ascii="Times New Roman" w:hAnsi="Times New Roman" w:cs="Times New Roman"/>
                <w:color w:val="auto"/>
                <w:szCs w:val="21"/>
                <w:lang w:val="zh-CN"/>
              </w:rPr>
              <w:sym w:font="Wingdings 2" w:char="0052"/>
            </w:r>
          </w:p>
        </w:tc>
      </w:tr>
      <w:tr w14:paraId="355E2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1120" w:type="pct"/>
            <w:gridSpan w:val="2"/>
            <w:vMerge w:val="restart"/>
            <w:tcBorders>
              <w:tl2br w:val="nil"/>
              <w:tr2bl w:val="nil"/>
            </w:tcBorders>
            <w:vAlign w:val="center"/>
          </w:tcPr>
          <w:p w14:paraId="11D910B6">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环境敏感</w:t>
            </w:r>
          </w:p>
          <w:p w14:paraId="33DB7236">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程度</w:t>
            </w:r>
          </w:p>
        </w:tc>
        <w:tc>
          <w:tcPr>
            <w:tcW w:w="607" w:type="pct"/>
            <w:tcBorders>
              <w:tl2br w:val="nil"/>
              <w:tr2bl w:val="nil"/>
            </w:tcBorders>
            <w:vAlign w:val="center"/>
          </w:tcPr>
          <w:p w14:paraId="53E3A4C0">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大气</w:t>
            </w:r>
          </w:p>
        </w:tc>
        <w:tc>
          <w:tcPr>
            <w:tcW w:w="1176" w:type="pct"/>
            <w:gridSpan w:val="6"/>
            <w:tcBorders>
              <w:tl2br w:val="nil"/>
              <w:tr2bl w:val="nil"/>
            </w:tcBorders>
            <w:vAlign w:val="center"/>
          </w:tcPr>
          <w:p w14:paraId="5B2FEE8C">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E1 </w:t>
            </w:r>
            <w:r>
              <w:rPr>
                <w:rFonts w:hint="default" w:ascii="Times New Roman" w:hAnsi="Times New Roman" w:cs="Times New Roman"/>
                <w:color w:val="auto"/>
                <w:szCs w:val="21"/>
                <w:lang w:val="zh-CN"/>
              </w:rPr>
              <w:sym w:font="Wingdings 2" w:char="0052"/>
            </w:r>
          </w:p>
        </w:tc>
        <w:tc>
          <w:tcPr>
            <w:tcW w:w="1033" w:type="pct"/>
            <w:gridSpan w:val="7"/>
            <w:tcBorders>
              <w:tl2br w:val="nil"/>
              <w:tr2bl w:val="nil"/>
            </w:tcBorders>
            <w:vAlign w:val="center"/>
          </w:tcPr>
          <w:p w14:paraId="5D44F836">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E2 □</w:t>
            </w:r>
          </w:p>
        </w:tc>
        <w:tc>
          <w:tcPr>
            <w:tcW w:w="1061" w:type="pct"/>
            <w:gridSpan w:val="5"/>
            <w:tcBorders>
              <w:tl2br w:val="nil"/>
              <w:tr2bl w:val="nil"/>
            </w:tcBorders>
            <w:vAlign w:val="center"/>
          </w:tcPr>
          <w:p w14:paraId="7D2FF3CC">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E3 </w:t>
            </w:r>
            <w:r>
              <w:rPr>
                <w:rFonts w:hint="default" w:ascii="Times New Roman" w:hAnsi="Times New Roman" w:cs="Times New Roman"/>
                <w:color w:val="auto"/>
                <w:szCs w:val="21"/>
                <w:lang w:val="zh-CN"/>
              </w:rPr>
              <w:sym w:font="Wingdings 2" w:char="00A3"/>
            </w:r>
          </w:p>
        </w:tc>
      </w:tr>
      <w:tr w14:paraId="124B3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1120" w:type="pct"/>
            <w:gridSpan w:val="2"/>
            <w:vMerge w:val="continue"/>
            <w:tcBorders>
              <w:tl2br w:val="nil"/>
              <w:tr2bl w:val="nil"/>
            </w:tcBorders>
            <w:vAlign w:val="center"/>
          </w:tcPr>
          <w:p w14:paraId="64C406BC">
            <w:pPr>
              <w:snapToGrid w:val="0"/>
              <w:jc w:val="center"/>
              <w:rPr>
                <w:rFonts w:hint="default" w:ascii="Times New Roman" w:hAnsi="Times New Roman" w:cs="Times New Roman"/>
                <w:color w:val="auto"/>
                <w:szCs w:val="21"/>
                <w:lang w:val="zh-CN"/>
              </w:rPr>
            </w:pPr>
          </w:p>
        </w:tc>
        <w:tc>
          <w:tcPr>
            <w:tcW w:w="607" w:type="pct"/>
            <w:tcBorders>
              <w:tl2br w:val="nil"/>
              <w:tr2bl w:val="nil"/>
            </w:tcBorders>
            <w:vAlign w:val="center"/>
          </w:tcPr>
          <w:p w14:paraId="29571341">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地表水</w:t>
            </w:r>
          </w:p>
        </w:tc>
        <w:tc>
          <w:tcPr>
            <w:tcW w:w="1176" w:type="pct"/>
            <w:gridSpan w:val="6"/>
            <w:tcBorders>
              <w:tl2br w:val="nil"/>
              <w:tr2bl w:val="nil"/>
            </w:tcBorders>
            <w:vAlign w:val="center"/>
          </w:tcPr>
          <w:p w14:paraId="083E58B4">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E1</w:t>
            </w:r>
            <w:r>
              <w:rPr>
                <w:rFonts w:hint="default" w:ascii="Times New Roman" w:hAnsi="Times New Roman" w:cs="Times New Roman"/>
                <w:color w:val="auto"/>
                <w:szCs w:val="21"/>
              </w:rPr>
              <w:t xml:space="preserve"> </w:t>
            </w:r>
            <w:r>
              <w:rPr>
                <w:rFonts w:hint="default" w:ascii="Times New Roman" w:hAnsi="Times New Roman" w:cs="Times New Roman"/>
                <w:color w:val="auto"/>
                <w:szCs w:val="21"/>
                <w:lang w:val="zh-CN"/>
              </w:rPr>
              <w:t>□</w:t>
            </w:r>
          </w:p>
        </w:tc>
        <w:tc>
          <w:tcPr>
            <w:tcW w:w="1033" w:type="pct"/>
            <w:gridSpan w:val="7"/>
            <w:tcBorders>
              <w:tl2br w:val="nil"/>
              <w:tr2bl w:val="nil"/>
            </w:tcBorders>
            <w:vAlign w:val="center"/>
          </w:tcPr>
          <w:p w14:paraId="5CE22444">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E2 </w:t>
            </w:r>
            <w:r>
              <w:rPr>
                <w:rFonts w:hint="default" w:ascii="Times New Roman" w:hAnsi="Times New Roman" w:cs="Times New Roman"/>
                <w:color w:val="auto"/>
                <w:szCs w:val="21"/>
                <w:lang w:val="zh-CN"/>
              </w:rPr>
              <w:sym w:font="Wingdings 2" w:char="0052"/>
            </w:r>
          </w:p>
        </w:tc>
        <w:tc>
          <w:tcPr>
            <w:tcW w:w="1061" w:type="pct"/>
            <w:gridSpan w:val="5"/>
            <w:tcBorders>
              <w:tl2br w:val="nil"/>
              <w:tr2bl w:val="nil"/>
            </w:tcBorders>
            <w:vAlign w:val="center"/>
          </w:tcPr>
          <w:p w14:paraId="00E93EAE">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E3 □</w:t>
            </w:r>
          </w:p>
        </w:tc>
      </w:tr>
      <w:tr w14:paraId="13E73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1120" w:type="pct"/>
            <w:gridSpan w:val="2"/>
            <w:vMerge w:val="continue"/>
            <w:tcBorders>
              <w:tl2br w:val="nil"/>
              <w:tr2bl w:val="nil"/>
            </w:tcBorders>
            <w:vAlign w:val="center"/>
          </w:tcPr>
          <w:p w14:paraId="0BC1C41D">
            <w:pPr>
              <w:snapToGrid w:val="0"/>
              <w:jc w:val="center"/>
              <w:rPr>
                <w:rFonts w:hint="default" w:ascii="Times New Roman" w:hAnsi="Times New Roman" w:cs="Times New Roman"/>
                <w:color w:val="auto"/>
                <w:szCs w:val="21"/>
                <w:lang w:val="zh-CN"/>
              </w:rPr>
            </w:pPr>
          </w:p>
        </w:tc>
        <w:tc>
          <w:tcPr>
            <w:tcW w:w="607" w:type="pct"/>
            <w:tcBorders>
              <w:tl2br w:val="nil"/>
              <w:tr2bl w:val="nil"/>
            </w:tcBorders>
            <w:vAlign w:val="center"/>
          </w:tcPr>
          <w:p w14:paraId="22B6A0A4">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地下水</w:t>
            </w:r>
          </w:p>
        </w:tc>
        <w:tc>
          <w:tcPr>
            <w:tcW w:w="1176" w:type="pct"/>
            <w:gridSpan w:val="6"/>
            <w:tcBorders>
              <w:tl2br w:val="nil"/>
              <w:tr2bl w:val="nil"/>
            </w:tcBorders>
            <w:vAlign w:val="center"/>
          </w:tcPr>
          <w:p w14:paraId="784861DD">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E1 □</w:t>
            </w:r>
          </w:p>
        </w:tc>
        <w:tc>
          <w:tcPr>
            <w:tcW w:w="1033" w:type="pct"/>
            <w:gridSpan w:val="7"/>
            <w:tcBorders>
              <w:tl2br w:val="nil"/>
              <w:tr2bl w:val="nil"/>
            </w:tcBorders>
            <w:vAlign w:val="center"/>
          </w:tcPr>
          <w:p w14:paraId="5B6AEDAE">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E2 </w:t>
            </w:r>
            <w:r>
              <w:rPr>
                <w:rFonts w:hint="default" w:ascii="Times New Roman" w:hAnsi="Times New Roman" w:cs="Times New Roman"/>
                <w:color w:val="auto"/>
                <w:szCs w:val="21"/>
                <w:lang w:val="zh-CN"/>
              </w:rPr>
              <w:sym w:font="Wingdings 2" w:char="0052"/>
            </w:r>
          </w:p>
        </w:tc>
        <w:tc>
          <w:tcPr>
            <w:tcW w:w="1061" w:type="pct"/>
            <w:gridSpan w:val="5"/>
            <w:tcBorders>
              <w:tl2br w:val="nil"/>
              <w:tr2bl w:val="nil"/>
            </w:tcBorders>
            <w:vAlign w:val="center"/>
          </w:tcPr>
          <w:p w14:paraId="3B345AE2">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E3 </w:t>
            </w:r>
            <w:r>
              <w:rPr>
                <w:rFonts w:hint="default" w:ascii="Times New Roman" w:hAnsi="Times New Roman" w:cs="Times New Roman"/>
                <w:color w:val="auto"/>
                <w:szCs w:val="21"/>
                <w:lang w:val="zh-CN"/>
              </w:rPr>
              <w:sym w:font="Wingdings 2" w:char="00A3"/>
            </w:r>
          </w:p>
        </w:tc>
      </w:tr>
      <w:tr w14:paraId="7D239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1120" w:type="pct"/>
            <w:gridSpan w:val="2"/>
            <w:tcBorders>
              <w:tl2br w:val="nil"/>
              <w:tr2bl w:val="nil"/>
            </w:tcBorders>
            <w:vAlign w:val="center"/>
          </w:tcPr>
          <w:p w14:paraId="3EF30F19">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环境风险潜势</w:t>
            </w:r>
          </w:p>
        </w:tc>
        <w:tc>
          <w:tcPr>
            <w:tcW w:w="924" w:type="pct"/>
            <w:gridSpan w:val="2"/>
            <w:tcBorders>
              <w:tl2br w:val="nil"/>
              <w:tr2bl w:val="nil"/>
            </w:tcBorders>
            <w:vAlign w:val="center"/>
          </w:tcPr>
          <w:p w14:paraId="3F4CAD14">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Ⅳ</w:t>
            </w:r>
            <w:r>
              <w:rPr>
                <w:rFonts w:hint="default" w:ascii="Times New Roman" w:hAnsi="Times New Roman" w:cs="Times New Roman"/>
                <w:color w:val="auto"/>
                <w:szCs w:val="21"/>
                <w:vertAlign w:val="superscript"/>
                <w:lang w:val="zh-CN"/>
              </w:rPr>
              <w:t>+</w:t>
            </w:r>
            <w:r>
              <w:rPr>
                <w:rFonts w:hint="default" w:ascii="Times New Roman" w:hAnsi="Times New Roman" w:cs="Times New Roman"/>
                <w:color w:val="auto"/>
                <w:szCs w:val="21"/>
                <w:lang w:val="zh-CN"/>
              </w:rPr>
              <w:sym w:font="Wingdings 2" w:char="00A3"/>
            </w:r>
          </w:p>
        </w:tc>
        <w:tc>
          <w:tcPr>
            <w:tcW w:w="728" w:type="pct"/>
            <w:gridSpan w:val="4"/>
            <w:tcBorders>
              <w:tl2br w:val="nil"/>
              <w:tr2bl w:val="nil"/>
            </w:tcBorders>
            <w:vAlign w:val="center"/>
          </w:tcPr>
          <w:p w14:paraId="21FE9470">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Ⅳ </w:t>
            </w:r>
            <w:r>
              <w:rPr>
                <w:rFonts w:hint="default" w:ascii="Times New Roman" w:hAnsi="Times New Roman" w:cs="Times New Roman"/>
                <w:color w:val="auto"/>
                <w:szCs w:val="21"/>
                <w:lang w:val="zh-CN"/>
              </w:rPr>
              <w:sym w:font="Wingdings 2" w:char="00A3"/>
            </w:r>
          </w:p>
        </w:tc>
        <w:tc>
          <w:tcPr>
            <w:tcW w:w="733" w:type="pct"/>
            <w:gridSpan w:val="6"/>
            <w:tcBorders>
              <w:tl2br w:val="nil"/>
              <w:tr2bl w:val="nil"/>
            </w:tcBorders>
            <w:vAlign w:val="center"/>
          </w:tcPr>
          <w:p w14:paraId="25B00D50">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Ⅲ </w:t>
            </w:r>
            <w:r>
              <w:rPr>
                <w:rFonts w:hint="default" w:ascii="Times New Roman" w:hAnsi="Times New Roman" w:cs="Times New Roman"/>
                <w:color w:val="auto"/>
                <w:szCs w:val="21"/>
                <w:lang w:val="zh-CN"/>
              </w:rPr>
              <w:sym w:font="Wingdings 2" w:char="0052"/>
            </w:r>
          </w:p>
        </w:tc>
        <w:tc>
          <w:tcPr>
            <w:tcW w:w="734" w:type="pct"/>
            <w:gridSpan w:val="5"/>
            <w:tcBorders>
              <w:tl2br w:val="nil"/>
              <w:tr2bl w:val="nil"/>
            </w:tcBorders>
            <w:vAlign w:val="center"/>
          </w:tcPr>
          <w:p w14:paraId="7CF32C39">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Ⅱ□</w:t>
            </w:r>
          </w:p>
        </w:tc>
        <w:tc>
          <w:tcPr>
            <w:tcW w:w="758" w:type="pct"/>
            <w:gridSpan w:val="2"/>
            <w:tcBorders>
              <w:tl2br w:val="nil"/>
              <w:tr2bl w:val="nil"/>
            </w:tcBorders>
            <w:vAlign w:val="center"/>
          </w:tcPr>
          <w:p w14:paraId="38AD06CC">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I □</w:t>
            </w:r>
          </w:p>
        </w:tc>
      </w:tr>
      <w:tr w14:paraId="7BC60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1120" w:type="pct"/>
            <w:gridSpan w:val="2"/>
            <w:tcBorders>
              <w:tl2br w:val="nil"/>
              <w:tr2bl w:val="nil"/>
            </w:tcBorders>
            <w:vAlign w:val="center"/>
          </w:tcPr>
          <w:p w14:paraId="599A5D85">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评价等级</w:t>
            </w:r>
          </w:p>
        </w:tc>
        <w:tc>
          <w:tcPr>
            <w:tcW w:w="924" w:type="pct"/>
            <w:gridSpan w:val="2"/>
            <w:tcBorders>
              <w:tl2br w:val="nil"/>
              <w:tr2bl w:val="nil"/>
            </w:tcBorders>
            <w:vAlign w:val="center"/>
          </w:tcPr>
          <w:p w14:paraId="6CBCE47C">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一级 </w:t>
            </w:r>
            <w:r>
              <w:rPr>
                <w:rFonts w:hint="default" w:ascii="Times New Roman" w:hAnsi="Times New Roman" w:cs="Times New Roman"/>
                <w:color w:val="auto"/>
                <w:szCs w:val="21"/>
                <w:lang w:val="zh-CN"/>
              </w:rPr>
              <w:sym w:font="Wingdings 2" w:char="00A3"/>
            </w:r>
          </w:p>
        </w:tc>
        <w:tc>
          <w:tcPr>
            <w:tcW w:w="907" w:type="pct"/>
            <w:gridSpan w:val="6"/>
            <w:tcBorders>
              <w:tl2br w:val="nil"/>
              <w:tr2bl w:val="nil"/>
            </w:tcBorders>
            <w:vAlign w:val="center"/>
          </w:tcPr>
          <w:p w14:paraId="4CF53813">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二级 </w:t>
            </w:r>
            <w:r>
              <w:rPr>
                <w:rFonts w:hint="default" w:ascii="Times New Roman" w:hAnsi="Times New Roman" w:cs="Times New Roman"/>
                <w:color w:val="auto"/>
                <w:szCs w:val="21"/>
                <w:lang w:val="zh-CN"/>
              </w:rPr>
              <w:sym w:font="Wingdings 2" w:char="0052"/>
            </w:r>
          </w:p>
        </w:tc>
        <w:tc>
          <w:tcPr>
            <w:tcW w:w="1072" w:type="pct"/>
            <w:gridSpan w:val="7"/>
            <w:tcBorders>
              <w:tl2br w:val="nil"/>
              <w:tr2bl w:val="nil"/>
            </w:tcBorders>
            <w:vAlign w:val="center"/>
          </w:tcPr>
          <w:p w14:paraId="235356D9">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三级□</w:t>
            </w:r>
          </w:p>
        </w:tc>
        <w:tc>
          <w:tcPr>
            <w:tcW w:w="974" w:type="pct"/>
            <w:gridSpan w:val="4"/>
            <w:tcBorders>
              <w:tl2br w:val="nil"/>
              <w:tr2bl w:val="nil"/>
            </w:tcBorders>
            <w:vAlign w:val="center"/>
          </w:tcPr>
          <w:p w14:paraId="12E5878B">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简单分析 □</w:t>
            </w:r>
          </w:p>
        </w:tc>
      </w:tr>
      <w:tr w14:paraId="5E8FC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502" w:type="pct"/>
            <w:vMerge w:val="restart"/>
            <w:tcBorders>
              <w:tl2br w:val="nil"/>
              <w:tr2bl w:val="nil"/>
            </w:tcBorders>
            <w:vAlign w:val="center"/>
          </w:tcPr>
          <w:p w14:paraId="56CC3D42">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风</w:t>
            </w:r>
          </w:p>
          <w:p w14:paraId="75E0DB66">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险</w:t>
            </w:r>
          </w:p>
          <w:p w14:paraId="09B841FB">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识</w:t>
            </w:r>
          </w:p>
          <w:p w14:paraId="1321A8DC">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别</w:t>
            </w:r>
          </w:p>
        </w:tc>
        <w:tc>
          <w:tcPr>
            <w:tcW w:w="618" w:type="pct"/>
            <w:tcBorders>
              <w:tl2br w:val="nil"/>
              <w:tr2bl w:val="nil"/>
            </w:tcBorders>
            <w:vAlign w:val="center"/>
          </w:tcPr>
          <w:p w14:paraId="62355B0B">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物质危险性</w:t>
            </w:r>
          </w:p>
        </w:tc>
        <w:tc>
          <w:tcPr>
            <w:tcW w:w="1832" w:type="pct"/>
            <w:gridSpan w:val="8"/>
            <w:tcBorders>
              <w:tl2br w:val="nil"/>
              <w:tr2bl w:val="nil"/>
            </w:tcBorders>
            <w:vAlign w:val="center"/>
          </w:tcPr>
          <w:p w14:paraId="7578EBCA">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有毒有害 </w:t>
            </w:r>
            <w:r>
              <w:rPr>
                <w:rFonts w:hint="default" w:ascii="Times New Roman" w:hAnsi="Times New Roman" w:cs="Times New Roman"/>
                <w:color w:val="auto"/>
                <w:szCs w:val="21"/>
                <w:lang w:val="zh-CN"/>
              </w:rPr>
              <w:sym w:font="Wingdings 2" w:char="0052"/>
            </w:r>
          </w:p>
        </w:tc>
        <w:tc>
          <w:tcPr>
            <w:tcW w:w="2046" w:type="pct"/>
            <w:gridSpan w:val="11"/>
            <w:tcBorders>
              <w:tl2br w:val="nil"/>
              <w:tr2bl w:val="nil"/>
            </w:tcBorders>
            <w:vAlign w:val="center"/>
          </w:tcPr>
          <w:p w14:paraId="2C2EA8F3">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易燃易爆 </w:t>
            </w:r>
            <w:r>
              <w:rPr>
                <w:rFonts w:hint="default" w:ascii="Times New Roman" w:hAnsi="Times New Roman" w:cs="Times New Roman"/>
                <w:color w:val="auto"/>
                <w:szCs w:val="21"/>
                <w:lang w:val="zh-CN"/>
              </w:rPr>
              <w:sym w:font="Wingdings 2" w:char="0052"/>
            </w:r>
          </w:p>
        </w:tc>
      </w:tr>
      <w:tr w14:paraId="20022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502" w:type="pct"/>
            <w:vMerge w:val="continue"/>
            <w:tcBorders>
              <w:tl2br w:val="nil"/>
              <w:tr2bl w:val="nil"/>
            </w:tcBorders>
            <w:vAlign w:val="center"/>
          </w:tcPr>
          <w:p w14:paraId="5221B0AC">
            <w:pPr>
              <w:snapToGrid w:val="0"/>
              <w:jc w:val="center"/>
              <w:rPr>
                <w:rFonts w:hint="default" w:ascii="Times New Roman" w:hAnsi="Times New Roman" w:cs="Times New Roman"/>
                <w:color w:val="auto"/>
                <w:szCs w:val="21"/>
                <w:lang w:val="zh-CN"/>
              </w:rPr>
            </w:pPr>
          </w:p>
        </w:tc>
        <w:tc>
          <w:tcPr>
            <w:tcW w:w="618" w:type="pct"/>
            <w:tcBorders>
              <w:tl2br w:val="nil"/>
              <w:tr2bl w:val="nil"/>
            </w:tcBorders>
            <w:vAlign w:val="center"/>
          </w:tcPr>
          <w:p w14:paraId="403D04DB">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环境风险</w:t>
            </w:r>
          </w:p>
          <w:p w14:paraId="48C4FFC1">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类型</w:t>
            </w:r>
          </w:p>
        </w:tc>
        <w:tc>
          <w:tcPr>
            <w:tcW w:w="1832" w:type="pct"/>
            <w:gridSpan w:val="8"/>
            <w:tcBorders>
              <w:tl2br w:val="nil"/>
              <w:tr2bl w:val="nil"/>
            </w:tcBorders>
            <w:vAlign w:val="center"/>
          </w:tcPr>
          <w:p w14:paraId="6459CBF4">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泄漏 </w:t>
            </w:r>
            <w:r>
              <w:rPr>
                <w:rFonts w:hint="default" w:ascii="Times New Roman" w:hAnsi="Times New Roman" w:cs="Times New Roman"/>
                <w:color w:val="auto"/>
                <w:szCs w:val="21"/>
                <w:lang w:val="zh-CN"/>
              </w:rPr>
              <w:sym w:font="Wingdings 2" w:char="0052"/>
            </w:r>
            <w:r>
              <w:rPr>
                <w:rFonts w:hint="default" w:ascii="Times New Roman" w:hAnsi="Times New Roman" w:cs="Times New Roman"/>
                <w:color w:val="auto"/>
                <w:szCs w:val="21"/>
                <w:lang w:val="zh-CN"/>
              </w:rPr>
              <w:t xml:space="preserve"> </w:t>
            </w:r>
          </w:p>
        </w:tc>
        <w:tc>
          <w:tcPr>
            <w:tcW w:w="2046" w:type="pct"/>
            <w:gridSpan w:val="11"/>
            <w:tcBorders>
              <w:tl2br w:val="nil"/>
              <w:tr2bl w:val="nil"/>
            </w:tcBorders>
            <w:vAlign w:val="center"/>
          </w:tcPr>
          <w:p w14:paraId="0690FA0A">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火灾、爆炸引发伴生/次生污染物排放 </w:t>
            </w:r>
            <w:r>
              <w:rPr>
                <w:rFonts w:hint="default" w:ascii="Times New Roman" w:hAnsi="Times New Roman" w:cs="Times New Roman"/>
                <w:color w:val="auto"/>
                <w:szCs w:val="21"/>
                <w:lang w:val="zh-CN"/>
              </w:rPr>
              <w:sym w:font="Wingdings 2" w:char="0052"/>
            </w:r>
          </w:p>
        </w:tc>
      </w:tr>
      <w:tr w14:paraId="6837D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502" w:type="pct"/>
            <w:vMerge w:val="continue"/>
            <w:tcBorders>
              <w:tl2br w:val="nil"/>
              <w:tr2bl w:val="nil"/>
            </w:tcBorders>
            <w:vAlign w:val="center"/>
          </w:tcPr>
          <w:p w14:paraId="7039B877">
            <w:pPr>
              <w:snapToGrid w:val="0"/>
              <w:jc w:val="center"/>
              <w:rPr>
                <w:rFonts w:hint="default" w:ascii="Times New Roman" w:hAnsi="Times New Roman" w:cs="Times New Roman"/>
                <w:color w:val="auto"/>
                <w:szCs w:val="21"/>
                <w:lang w:val="zh-CN"/>
              </w:rPr>
            </w:pPr>
          </w:p>
        </w:tc>
        <w:tc>
          <w:tcPr>
            <w:tcW w:w="618" w:type="pct"/>
            <w:tcBorders>
              <w:tl2br w:val="nil"/>
              <w:tr2bl w:val="nil"/>
            </w:tcBorders>
            <w:vAlign w:val="center"/>
          </w:tcPr>
          <w:p w14:paraId="33451366">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影响途径</w:t>
            </w:r>
          </w:p>
        </w:tc>
        <w:tc>
          <w:tcPr>
            <w:tcW w:w="1412" w:type="pct"/>
            <w:gridSpan w:val="4"/>
            <w:tcBorders>
              <w:tl2br w:val="nil"/>
              <w:tr2bl w:val="nil"/>
            </w:tcBorders>
            <w:vAlign w:val="center"/>
          </w:tcPr>
          <w:p w14:paraId="64965808">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大气 </w:t>
            </w:r>
            <w:r>
              <w:rPr>
                <w:rFonts w:hint="default" w:ascii="Times New Roman" w:hAnsi="Times New Roman" w:cs="Times New Roman"/>
                <w:color w:val="auto"/>
                <w:szCs w:val="21"/>
                <w:lang w:val="zh-CN"/>
              </w:rPr>
              <w:sym w:font="Wingdings 2" w:char="0052"/>
            </w:r>
          </w:p>
        </w:tc>
        <w:tc>
          <w:tcPr>
            <w:tcW w:w="1219" w:type="pct"/>
            <w:gridSpan w:val="9"/>
            <w:tcBorders>
              <w:tl2br w:val="nil"/>
              <w:tr2bl w:val="nil"/>
            </w:tcBorders>
            <w:vAlign w:val="center"/>
          </w:tcPr>
          <w:p w14:paraId="67FF2D4F">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地表水 </w:t>
            </w:r>
            <w:r>
              <w:rPr>
                <w:rFonts w:hint="default" w:ascii="Times New Roman" w:hAnsi="Times New Roman" w:cs="Times New Roman"/>
                <w:color w:val="auto"/>
                <w:szCs w:val="21"/>
                <w:lang w:val="zh-CN"/>
              </w:rPr>
              <w:sym w:font="Wingdings 2" w:char="0052"/>
            </w:r>
          </w:p>
        </w:tc>
        <w:tc>
          <w:tcPr>
            <w:tcW w:w="1246" w:type="pct"/>
            <w:gridSpan w:val="6"/>
            <w:tcBorders>
              <w:tl2br w:val="nil"/>
              <w:tr2bl w:val="nil"/>
            </w:tcBorders>
            <w:vAlign w:val="center"/>
          </w:tcPr>
          <w:p w14:paraId="429A4848">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地下水 </w:t>
            </w:r>
            <w:r>
              <w:rPr>
                <w:rFonts w:hint="default" w:ascii="Times New Roman" w:hAnsi="Times New Roman" w:cs="Times New Roman"/>
                <w:color w:val="auto"/>
                <w:szCs w:val="21"/>
                <w:lang w:val="zh-CN"/>
              </w:rPr>
              <w:sym w:font="Wingdings 2" w:char="0052"/>
            </w:r>
          </w:p>
        </w:tc>
      </w:tr>
      <w:tr w14:paraId="3342A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1120" w:type="pct"/>
            <w:gridSpan w:val="2"/>
            <w:tcBorders>
              <w:tl2br w:val="nil"/>
              <w:tr2bl w:val="nil"/>
            </w:tcBorders>
            <w:vAlign w:val="center"/>
          </w:tcPr>
          <w:p w14:paraId="08663604">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事故情形分析 </w:t>
            </w:r>
          </w:p>
        </w:tc>
        <w:tc>
          <w:tcPr>
            <w:tcW w:w="924" w:type="pct"/>
            <w:gridSpan w:val="2"/>
            <w:tcBorders>
              <w:tl2br w:val="nil"/>
              <w:tr2bl w:val="nil"/>
            </w:tcBorders>
            <w:vAlign w:val="center"/>
          </w:tcPr>
          <w:p w14:paraId="51A69376">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源强设定方法</w:t>
            </w:r>
          </w:p>
        </w:tc>
        <w:tc>
          <w:tcPr>
            <w:tcW w:w="907" w:type="pct"/>
            <w:gridSpan w:val="6"/>
            <w:tcBorders>
              <w:tl2br w:val="nil"/>
              <w:tr2bl w:val="nil"/>
            </w:tcBorders>
            <w:vAlign w:val="center"/>
          </w:tcPr>
          <w:p w14:paraId="23E09F1E">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计算法 </w:t>
            </w:r>
            <w:r>
              <w:rPr>
                <w:rFonts w:hint="default" w:ascii="Times New Roman" w:hAnsi="Times New Roman" w:cs="Times New Roman"/>
                <w:color w:val="auto"/>
                <w:szCs w:val="21"/>
                <w:lang w:val="zh-CN"/>
              </w:rPr>
              <w:sym w:font="Wingdings 2" w:char="0052"/>
            </w:r>
          </w:p>
        </w:tc>
        <w:tc>
          <w:tcPr>
            <w:tcW w:w="1072" w:type="pct"/>
            <w:gridSpan w:val="7"/>
            <w:tcBorders>
              <w:tl2br w:val="nil"/>
              <w:tr2bl w:val="nil"/>
            </w:tcBorders>
            <w:vAlign w:val="center"/>
          </w:tcPr>
          <w:p w14:paraId="10D70F87">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经验估算法 □</w:t>
            </w:r>
          </w:p>
        </w:tc>
        <w:tc>
          <w:tcPr>
            <w:tcW w:w="974" w:type="pct"/>
            <w:gridSpan w:val="4"/>
            <w:tcBorders>
              <w:tl2br w:val="nil"/>
              <w:tr2bl w:val="nil"/>
            </w:tcBorders>
            <w:vAlign w:val="center"/>
          </w:tcPr>
          <w:p w14:paraId="6D5C658D">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其他估算法 □</w:t>
            </w:r>
          </w:p>
        </w:tc>
      </w:tr>
      <w:tr w14:paraId="7C2CB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502" w:type="pct"/>
            <w:vMerge w:val="restart"/>
            <w:tcBorders>
              <w:tl2br w:val="nil"/>
              <w:tr2bl w:val="nil"/>
            </w:tcBorders>
            <w:vAlign w:val="center"/>
          </w:tcPr>
          <w:p w14:paraId="6C5E3C91">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风险</w:t>
            </w:r>
          </w:p>
          <w:p w14:paraId="4772B281">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预测</w:t>
            </w:r>
          </w:p>
          <w:p w14:paraId="1FBC1BFD">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与评价</w:t>
            </w:r>
          </w:p>
        </w:tc>
        <w:tc>
          <w:tcPr>
            <w:tcW w:w="618" w:type="pct"/>
            <w:vMerge w:val="restart"/>
            <w:tcBorders>
              <w:tl2br w:val="nil"/>
              <w:tr2bl w:val="nil"/>
            </w:tcBorders>
            <w:vAlign w:val="center"/>
          </w:tcPr>
          <w:p w14:paraId="28221E65">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大气</w:t>
            </w:r>
          </w:p>
        </w:tc>
        <w:tc>
          <w:tcPr>
            <w:tcW w:w="924" w:type="pct"/>
            <w:gridSpan w:val="2"/>
            <w:tcBorders>
              <w:tl2br w:val="nil"/>
              <w:tr2bl w:val="nil"/>
            </w:tcBorders>
            <w:vAlign w:val="center"/>
          </w:tcPr>
          <w:p w14:paraId="3D50D584">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预测模型</w:t>
            </w:r>
          </w:p>
        </w:tc>
        <w:tc>
          <w:tcPr>
            <w:tcW w:w="907" w:type="pct"/>
            <w:gridSpan w:val="6"/>
            <w:tcBorders>
              <w:tl2br w:val="nil"/>
              <w:tr2bl w:val="nil"/>
            </w:tcBorders>
            <w:vAlign w:val="center"/>
          </w:tcPr>
          <w:p w14:paraId="6E5EB850">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SLAB </w:t>
            </w:r>
            <w:r>
              <w:rPr>
                <w:rFonts w:hint="default" w:ascii="Times New Roman" w:hAnsi="Times New Roman" w:cs="Times New Roman"/>
                <w:color w:val="auto"/>
                <w:szCs w:val="21"/>
                <w:lang w:val="zh-CN"/>
              </w:rPr>
              <w:sym w:font="Wingdings 2" w:char="00A3"/>
            </w:r>
          </w:p>
        </w:tc>
        <w:tc>
          <w:tcPr>
            <w:tcW w:w="1072" w:type="pct"/>
            <w:gridSpan w:val="7"/>
            <w:tcBorders>
              <w:tl2br w:val="nil"/>
              <w:tr2bl w:val="nil"/>
            </w:tcBorders>
            <w:vAlign w:val="center"/>
          </w:tcPr>
          <w:p w14:paraId="0F1FBAA0">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 xml:space="preserve">AFTOX </w:t>
            </w:r>
            <w:r>
              <w:rPr>
                <w:rFonts w:hint="default" w:ascii="Times New Roman" w:hAnsi="Times New Roman" w:cs="Times New Roman"/>
                <w:color w:val="auto"/>
                <w:szCs w:val="21"/>
                <w:lang w:val="zh-CN"/>
              </w:rPr>
              <w:sym w:font="Wingdings 2" w:char="0052"/>
            </w:r>
          </w:p>
        </w:tc>
        <w:tc>
          <w:tcPr>
            <w:tcW w:w="974" w:type="pct"/>
            <w:gridSpan w:val="4"/>
            <w:tcBorders>
              <w:tl2br w:val="nil"/>
              <w:tr2bl w:val="nil"/>
            </w:tcBorders>
            <w:vAlign w:val="center"/>
          </w:tcPr>
          <w:p w14:paraId="1BE68269">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其他 □</w:t>
            </w:r>
          </w:p>
        </w:tc>
      </w:tr>
      <w:tr w14:paraId="31D9F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6" w:hRule="atLeast"/>
          <w:jc w:val="center"/>
        </w:trPr>
        <w:tc>
          <w:tcPr>
            <w:tcW w:w="502" w:type="pct"/>
            <w:vMerge w:val="continue"/>
            <w:tcBorders>
              <w:tl2br w:val="nil"/>
              <w:tr2bl w:val="nil"/>
            </w:tcBorders>
            <w:vAlign w:val="center"/>
          </w:tcPr>
          <w:p w14:paraId="340AB153">
            <w:pPr>
              <w:snapToGrid w:val="0"/>
              <w:jc w:val="center"/>
              <w:rPr>
                <w:rFonts w:hint="default" w:ascii="Times New Roman" w:hAnsi="Times New Roman" w:cs="Times New Roman"/>
                <w:color w:val="auto"/>
                <w:szCs w:val="21"/>
                <w:lang w:val="zh-CN"/>
              </w:rPr>
            </w:pPr>
          </w:p>
        </w:tc>
        <w:tc>
          <w:tcPr>
            <w:tcW w:w="618" w:type="pct"/>
            <w:vMerge w:val="continue"/>
            <w:tcBorders>
              <w:tl2br w:val="nil"/>
              <w:tr2bl w:val="nil"/>
            </w:tcBorders>
            <w:vAlign w:val="center"/>
          </w:tcPr>
          <w:p w14:paraId="1158E871">
            <w:pPr>
              <w:snapToGrid w:val="0"/>
              <w:jc w:val="center"/>
              <w:rPr>
                <w:rFonts w:hint="default" w:ascii="Times New Roman" w:hAnsi="Times New Roman" w:cs="Times New Roman"/>
                <w:color w:val="auto"/>
                <w:szCs w:val="21"/>
                <w:lang w:val="zh-CN"/>
              </w:rPr>
            </w:pPr>
          </w:p>
        </w:tc>
        <w:tc>
          <w:tcPr>
            <w:tcW w:w="924" w:type="pct"/>
            <w:gridSpan w:val="2"/>
            <w:tcBorders>
              <w:tl2br w:val="nil"/>
              <w:tr2bl w:val="nil"/>
            </w:tcBorders>
            <w:vAlign w:val="center"/>
          </w:tcPr>
          <w:p w14:paraId="3EBFE48B">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预测结果</w:t>
            </w:r>
          </w:p>
        </w:tc>
        <w:tc>
          <w:tcPr>
            <w:tcW w:w="2954" w:type="pct"/>
            <w:gridSpan w:val="17"/>
            <w:tcBorders>
              <w:tl2br w:val="nil"/>
              <w:tr2bl w:val="nil"/>
            </w:tcBorders>
            <w:vAlign w:val="center"/>
          </w:tcPr>
          <w:p w14:paraId="17343D39">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大气毒性终点浓度-</w:t>
            </w:r>
            <w:r>
              <w:rPr>
                <w:rFonts w:hint="default" w:ascii="Times New Roman" w:hAnsi="Times New Roman" w:cs="Times New Roman"/>
                <w:color w:val="auto"/>
                <w:szCs w:val="21"/>
              </w:rPr>
              <w:t>1</w:t>
            </w:r>
            <w:r>
              <w:rPr>
                <w:rFonts w:hint="default" w:ascii="Times New Roman" w:hAnsi="Times New Roman" w:cs="Times New Roman"/>
                <w:color w:val="auto"/>
                <w:szCs w:val="21"/>
                <w:lang w:val="zh-CN"/>
              </w:rPr>
              <w:t xml:space="preserve"> 最大影响范围</w:t>
            </w:r>
            <w:r>
              <w:rPr>
                <w:rFonts w:hint="default" w:ascii="Times New Roman" w:hAnsi="Times New Roman" w:cs="Times New Roman"/>
                <w:color w:val="auto"/>
                <w:szCs w:val="21"/>
                <w:u w:val="single"/>
              </w:rPr>
              <w:t>200</w:t>
            </w:r>
            <w:r>
              <w:rPr>
                <w:rFonts w:hint="default" w:ascii="Times New Roman" w:hAnsi="Times New Roman" w:cs="Times New Roman"/>
                <w:color w:val="auto"/>
                <w:szCs w:val="21"/>
                <w:u w:val="single"/>
                <w:lang w:val="zh-CN"/>
              </w:rPr>
              <w:t xml:space="preserve"> </w:t>
            </w:r>
            <w:r>
              <w:rPr>
                <w:rFonts w:hint="default" w:ascii="Times New Roman" w:hAnsi="Times New Roman" w:cs="Times New Roman"/>
                <w:color w:val="auto"/>
                <w:szCs w:val="21"/>
                <w:lang w:val="zh-CN"/>
              </w:rPr>
              <w:t>m</w:t>
            </w:r>
          </w:p>
          <w:p w14:paraId="56560426">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大气毒性终点浓度-2 最大影响范围</w:t>
            </w:r>
            <w:r>
              <w:rPr>
                <w:rFonts w:hint="default" w:ascii="Times New Roman" w:hAnsi="Times New Roman" w:cs="Times New Roman"/>
                <w:color w:val="auto"/>
                <w:szCs w:val="21"/>
                <w:u w:val="single"/>
              </w:rPr>
              <w:t xml:space="preserve">500 </w:t>
            </w:r>
            <w:r>
              <w:rPr>
                <w:rFonts w:hint="default" w:ascii="Times New Roman" w:hAnsi="Times New Roman" w:cs="Times New Roman"/>
                <w:color w:val="auto"/>
                <w:szCs w:val="21"/>
                <w:lang w:val="zh-CN"/>
              </w:rPr>
              <w:t>m</w:t>
            </w:r>
          </w:p>
        </w:tc>
      </w:tr>
      <w:tr w14:paraId="3EECC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502" w:type="pct"/>
            <w:vMerge w:val="continue"/>
            <w:tcBorders>
              <w:tl2br w:val="nil"/>
              <w:tr2bl w:val="nil"/>
            </w:tcBorders>
            <w:vAlign w:val="center"/>
          </w:tcPr>
          <w:p w14:paraId="173DC4A0">
            <w:pPr>
              <w:snapToGrid w:val="0"/>
              <w:jc w:val="center"/>
              <w:rPr>
                <w:rFonts w:hint="default" w:ascii="Times New Roman" w:hAnsi="Times New Roman" w:cs="Times New Roman"/>
                <w:color w:val="auto"/>
                <w:szCs w:val="21"/>
                <w:lang w:val="zh-CN"/>
              </w:rPr>
            </w:pPr>
          </w:p>
        </w:tc>
        <w:tc>
          <w:tcPr>
            <w:tcW w:w="618" w:type="pct"/>
            <w:tcBorders>
              <w:tl2br w:val="nil"/>
              <w:tr2bl w:val="nil"/>
            </w:tcBorders>
            <w:vAlign w:val="center"/>
          </w:tcPr>
          <w:p w14:paraId="13368565">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地表水</w:t>
            </w:r>
          </w:p>
        </w:tc>
        <w:tc>
          <w:tcPr>
            <w:tcW w:w="3879" w:type="pct"/>
            <w:gridSpan w:val="19"/>
            <w:tcBorders>
              <w:tl2br w:val="nil"/>
              <w:tr2bl w:val="nil"/>
            </w:tcBorders>
            <w:vAlign w:val="center"/>
          </w:tcPr>
          <w:p w14:paraId="20BDACF3">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最近环境敏感目标</w:t>
            </w:r>
            <w:r>
              <w:rPr>
                <w:rFonts w:hint="default" w:ascii="Times New Roman" w:hAnsi="Times New Roman" w:cs="Times New Roman"/>
                <w:color w:val="auto"/>
                <w:szCs w:val="21"/>
                <w:u w:val="single"/>
              </w:rPr>
              <w:t xml:space="preserve">   </w:t>
            </w:r>
            <w:r>
              <w:rPr>
                <w:rFonts w:hint="default" w:ascii="Times New Roman" w:hAnsi="Times New Roman" w:cs="Times New Roman"/>
                <w:color w:val="auto"/>
                <w:szCs w:val="21"/>
                <w:lang w:val="zh-CN"/>
              </w:rPr>
              <w:t>，到达时间</w:t>
            </w:r>
            <w:r>
              <w:rPr>
                <w:rFonts w:hint="default" w:ascii="Times New Roman" w:hAnsi="Times New Roman" w:cs="Times New Roman"/>
                <w:color w:val="auto"/>
                <w:szCs w:val="21"/>
                <w:u w:val="single"/>
              </w:rPr>
              <w:t xml:space="preserve">   </w:t>
            </w:r>
            <w:r>
              <w:rPr>
                <w:rFonts w:hint="default" w:ascii="Times New Roman" w:hAnsi="Times New Roman" w:cs="Times New Roman"/>
                <w:color w:val="auto"/>
                <w:szCs w:val="21"/>
                <w:lang w:val="zh-CN"/>
              </w:rPr>
              <w:t>h</w:t>
            </w:r>
          </w:p>
        </w:tc>
      </w:tr>
      <w:tr w14:paraId="655DB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502" w:type="pct"/>
            <w:vMerge w:val="continue"/>
            <w:tcBorders>
              <w:tl2br w:val="nil"/>
              <w:tr2bl w:val="nil"/>
            </w:tcBorders>
            <w:vAlign w:val="center"/>
          </w:tcPr>
          <w:p w14:paraId="32E44BAD">
            <w:pPr>
              <w:snapToGrid w:val="0"/>
              <w:jc w:val="center"/>
              <w:rPr>
                <w:rFonts w:hint="default" w:ascii="Times New Roman" w:hAnsi="Times New Roman" w:cs="Times New Roman"/>
                <w:color w:val="auto"/>
                <w:szCs w:val="21"/>
                <w:lang w:val="zh-CN"/>
              </w:rPr>
            </w:pPr>
          </w:p>
        </w:tc>
        <w:tc>
          <w:tcPr>
            <w:tcW w:w="618" w:type="pct"/>
            <w:vMerge w:val="restart"/>
            <w:tcBorders>
              <w:tl2br w:val="nil"/>
              <w:tr2bl w:val="nil"/>
            </w:tcBorders>
            <w:vAlign w:val="center"/>
          </w:tcPr>
          <w:p w14:paraId="389E5A20">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地下水</w:t>
            </w:r>
          </w:p>
        </w:tc>
        <w:tc>
          <w:tcPr>
            <w:tcW w:w="3879" w:type="pct"/>
            <w:gridSpan w:val="19"/>
            <w:tcBorders>
              <w:tl2br w:val="nil"/>
              <w:tr2bl w:val="nil"/>
            </w:tcBorders>
            <w:vAlign w:val="center"/>
          </w:tcPr>
          <w:p w14:paraId="0C8D3E2C">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下游厂区边界到达时间</w:t>
            </w:r>
            <w:r>
              <w:rPr>
                <w:rFonts w:hint="default" w:ascii="Times New Roman" w:hAnsi="Times New Roman" w:cs="Times New Roman"/>
                <w:color w:val="auto"/>
                <w:szCs w:val="21"/>
                <w:u w:val="single"/>
              </w:rPr>
              <w:t xml:space="preserve">   </w:t>
            </w:r>
            <w:r>
              <w:rPr>
                <w:rFonts w:hint="default" w:ascii="Times New Roman" w:hAnsi="Times New Roman" w:cs="Times New Roman"/>
                <w:color w:val="auto"/>
                <w:szCs w:val="21"/>
                <w:lang w:val="zh-CN"/>
              </w:rPr>
              <w:t>d</w:t>
            </w:r>
          </w:p>
        </w:tc>
      </w:tr>
      <w:tr w14:paraId="5A6F3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502" w:type="pct"/>
            <w:vMerge w:val="continue"/>
            <w:tcBorders>
              <w:tl2br w:val="nil"/>
              <w:tr2bl w:val="nil"/>
            </w:tcBorders>
            <w:vAlign w:val="center"/>
          </w:tcPr>
          <w:p w14:paraId="46E130F2">
            <w:pPr>
              <w:snapToGrid w:val="0"/>
              <w:jc w:val="center"/>
              <w:rPr>
                <w:rFonts w:hint="default" w:ascii="Times New Roman" w:hAnsi="Times New Roman" w:cs="Times New Roman"/>
                <w:color w:val="auto"/>
                <w:szCs w:val="21"/>
                <w:lang w:val="zh-CN"/>
              </w:rPr>
            </w:pPr>
          </w:p>
        </w:tc>
        <w:tc>
          <w:tcPr>
            <w:tcW w:w="618" w:type="pct"/>
            <w:vMerge w:val="continue"/>
            <w:tcBorders>
              <w:tl2br w:val="nil"/>
              <w:tr2bl w:val="nil"/>
            </w:tcBorders>
            <w:vAlign w:val="center"/>
          </w:tcPr>
          <w:p w14:paraId="368C451E">
            <w:pPr>
              <w:snapToGrid w:val="0"/>
              <w:jc w:val="center"/>
              <w:rPr>
                <w:rFonts w:hint="default" w:ascii="Times New Roman" w:hAnsi="Times New Roman" w:cs="Times New Roman"/>
                <w:color w:val="auto"/>
                <w:szCs w:val="21"/>
                <w:lang w:val="zh-CN"/>
              </w:rPr>
            </w:pPr>
          </w:p>
        </w:tc>
        <w:tc>
          <w:tcPr>
            <w:tcW w:w="3879" w:type="pct"/>
            <w:gridSpan w:val="19"/>
            <w:tcBorders>
              <w:tl2br w:val="nil"/>
              <w:tr2bl w:val="nil"/>
            </w:tcBorders>
            <w:vAlign w:val="center"/>
          </w:tcPr>
          <w:p w14:paraId="46953642">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最近环境敏感目标</w:t>
            </w:r>
            <w:r>
              <w:rPr>
                <w:rFonts w:hint="default" w:ascii="Times New Roman" w:hAnsi="Times New Roman" w:cs="Times New Roman"/>
                <w:color w:val="auto"/>
                <w:szCs w:val="21"/>
                <w:u w:val="single"/>
              </w:rPr>
              <w:t xml:space="preserve">   </w:t>
            </w:r>
            <w:r>
              <w:rPr>
                <w:rFonts w:hint="default" w:ascii="Times New Roman" w:hAnsi="Times New Roman" w:cs="Times New Roman"/>
                <w:color w:val="auto"/>
                <w:szCs w:val="21"/>
                <w:lang w:val="zh-CN"/>
              </w:rPr>
              <w:t>，到达时间</w:t>
            </w:r>
            <w:r>
              <w:rPr>
                <w:rFonts w:hint="default" w:ascii="Times New Roman" w:hAnsi="Times New Roman" w:cs="Times New Roman"/>
                <w:color w:val="auto"/>
                <w:szCs w:val="21"/>
                <w:u w:val="single"/>
              </w:rPr>
              <w:t xml:space="preserve">   </w:t>
            </w:r>
            <w:r>
              <w:rPr>
                <w:rFonts w:hint="default" w:ascii="Times New Roman" w:hAnsi="Times New Roman" w:cs="Times New Roman"/>
                <w:color w:val="auto"/>
                <w:szCs w:val="21"/>
                <w:lang w:val="zh-CN"/>
              </w:rPr>
              <w:t>d</w:t>
            </w:r>
          </w:p>
        </w:tc>
      </w:tr>
      <w:tr w14:paraId="3C02E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5" w:hRule="atLeast"/>
          <w:jc w:val="center"/>
        </w:trPr>
        <w:tc>
          <w:tcPr>
            <w:tcW w:w="1120" w:type="pct"/>
            <w:gridSpan w:val="2"/>
            <w:tcBorders>
              <w:tl2br w:val="nil"/>
              <w:tr2bl w:val="nil"/>
            </w:tcBorders>
            <w:vAlign w:val="center"/>
          </w:tcPr>
          <w:p w14:paraId="32FFF45A">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重点风险</w:t>
            </w:r>
          </w:p>
          <w:p w14:paraId="13F2C89A">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防范措施</w:t>
            </w:r>
          </w:p>
        </w:tc>
        <w:tc>
          <w:tcPr>
            <w:tcW w:w="3879" w:type="pct"/>
            <w:gridSpan w:val="19"/>
            <w:tcBorders>
              <w:tl2br w:val="nil"/>
              <w:tr2bl w:val="nil"/>
            </w:tcBorders>
            <w:vAlign w:val="center"/>
          </w:tcPr>
          <w:p w14:paraId="4062A87A">
            <w:pPr>
              <w:adjustRightInd w:val="0"/>
              <w:snapToGrid w:val="0"/>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（1）盐酸、</w:t>
            </w:r>
            <w:r>
              <w:rPr>
                <w:rFonts w:hint="default" w:ascii="Times New Roman" w:hAnsi="Times New Roman" w:cs="Times New Roman"/>
                <w:color w:val="auto"/>
                <w:szCs w:val="21"/>
              </w:rPr>
              <w:t>废酸</w:t>
            </w:r>
            <w:r>
              <w:rPr>
                <w:rFonts w:hint="default" w:ascii="Times New Roman" w:hAnsi="Times New Roman" w:cs="Times New Roman"/>
                <w:color w:val="auto"/>
                <w:szCs w:val="21"/>
                <w:lang w:val="zh-CN"/>
              </w:rPr>
              <w:t>罐区设立</w:t>
            </w:r>
            <w:r>
              <w:rPr>
                <w:rFonts w:hint="default" w:ascii="Times New Roman" w:hAnsi="Times New Roman" w:cs="Times New Roman"/>
                <w:color w:val="auto"/>
                <w:szCs w:val="21"/>
                <w:lang w:val="en-US" w:eastAsia="zh-CN"/>
              </w:rPr>
              <w:t>9.6</w:t>
            </w:r>
            <w:r>
              <w:rPr>
                <w:rFonts w:hint="default" w:ascii="Times New Roman" w:hAnsi="Times New Roman" w:cs="Times New Roman"/>
                <w:color w:val="auto"/>
                <w:szCs w:val="21"/>
              </w:rPr>
              <w:t>和</w:t>
            </w:r>
            <w:r>
              <w:rPr>
                <w:rFonts w:hint="default" w:ascii="Times New Roman" w:hAnsi="Times New Roman" w:cs="Times New Roman"/>
                <w:color w:val="auto"/>
                <w:szCs w:val="21"/>
                <w:lang w:val="en-US" w:eastAsia="zh-CN"/>
              </w:rPr>
              <w:t>270</w:t>
            </w:r>
            <w:r>
              <w:rPr>
                <w:rFonts w:hint="default" w:ascii="Times New Roman" w:hAnsi="Times New Roman" w:cs="Times New Roman"/>
                <w:color w:val="auto"/>
                <w:szCs w:val="21"/>
                <w:lang w:val="zh-CN"/>
              </w:rPr>
              <w:t>m</w:t>
            </w:r>
            <w:r>
              <w:rPr>
                <w:rFonts w:hint="default" w:ascii="Times New Roman" w:hAnsi="Times New Roman" w:cs="Times New Roman"/>
                <w:color w:val="auto"/>
                <w:szCs w:val="21"/>
                <w:vertAlign w:val="superscript"/>
                <w:lang w:val="zh-CN"/>
              </w:rPr>
              <w:t>3</w:t>
            </w:r>
            <w:r>
              <w:rPr>
                <w:rFonts w:hint="default" w:ascii="Times New Roman" w:hAnsi="Times New Roman" w:cs="Times New Roman"/>
                <w:color w:val="auto"/>
                <w:szCs w:val="21"/>
                <w:lang w:val="zh-CN"/>
              </w:rPr>
              <w:t>围堰，按重点防渗区要求建设，防渗性能不应低于6.0m厚渗透系数为1.0×10</w:t>
            </w:r>
            <w:r>
              <w:rPr>
                <w:rFonts w:hint="default" w:ascii="Times New Roman" w:hAnsi="Times New Roman" w:cs="Times New Roman"/>
                <w:color w:val="auto"/>
                <w:szCs w:val="21"/>
                <w:vertAlign w:val="superscript"/>
                <w:lang w:val="zh-CN"/>
              </w:rPr>
              <w:t>-7</w:t>
            </w:r>
            <w:r>
              <w:rPr>
                <w:rFonts w:hint="default" w:ascii="Times New Roman" w:hAnsi="Times New Roman" w:cs="Times New Roman"/>
                <w:color w:val="auto"/>
                <w:szCs w:val="21"/>
                <w:lang w:val="zh-CN"/>
              </w:rPr>
              <w:t>cm/s黏土层。</w:t>
            </w:r>
          </w:p>
          <w:p w14:paraId="4B63EC40">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lang w:val="zh-CN"/>
              </w:rPr>
              <w:t>（2）</w:t>
            </w:r>
            <w:r>
              <w:rPr>
                <w:rFonts w:hint="default" w:ascii="Times New Roman" w:hAnsi="Times New Roman" w:cs="Times New Roman"/>
                <w:color w:val="auto"/>
                <w:szCs w:val="21"/>
              </w:rPr>
              <w:t>厂区进行分区防渗，盐酸储罐围堰、浸泡提纯系统、危险废物仓库、初期雨水池进行重点防渗，等效黏土防渗层Mb≥6.0m，K≤1×10</w:t>
            </w:r>
            <w:r>
              <w:rPr>
                <w:rFonts w:hint="default" w:ascii="Times New Roman" w:hAnsi="Times New Roman" w:cs="Times New Roman"/>
                <w:color w:val="auto"/>
                <w:szCs w:val="21"/>
                <w:vertAlign w:val="superscript"/>
              </w:rPr>
              <w:t>-7</w:t>
            </w:r>
            <w:r>
              <w:rPr>
                <w:rFonts w:hint="default" w:ascii="Times New Roman" w:hAnsi="Times New Roman" w:cs="Times New Roman"/>
                <w:color w:val="auto"/>
                <w:szCs w:val="21"/>
              </w:rPr>
              <w:t>cm/s；或参照GB18598执行。其他车间地面、废水处理设施、事故应急池、碱喷淋塔围堰进行一般防渗，等效黏土防渗层Mb≥1.5m，K≤1×10</w:t>
            </w:r>
            <w:r>
              <w:rPr>
                <w:rFonts w:hint="default" w:ascii="Times New Roman" w:hAnsi="Times New Roman" w:cs="Times New Roman"/>
                <w:color w:val="auto"/>
                <w:szCs w:val="21"/>
                <w:vertAlign w:val="superscript"/>
              </w:rPr>
              <w:t>-7</w:t>
            </w:r>
            <w:r>
              <w:rPr>
                <w:rFonts w:hint="default" w:ascii="Times New Roman" w:hAnsi="Times New Roman" w:cs="Times New Roman"/>
                <w:color w:val="auto"/>
                <w:szCs w:val="21"/>
              </w:rPr>
              <w:t>cm/s；或参照GB16889执行。</w:t>
            </w:r>
          </w:p>
          <w:p w14:paraId="7FB279E5">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（3）</w:t>
            </w:r>
            <w:r>
              <w:rPr>
                <w:rFonts w:hint="default" w:ascii="Times New Roman" w:hAnsi="Times New Roman" w:cs="Times New Roman"/>
                <w:color w:val="auto"/>
                <w:kern w:val="0"/>
                <w:sz w:val="21"/>
                <w:szCs w:val="21"/>
              </w:rPr>
              <w:t>建设单位拟在</w:t>
            </w:r>
            <w:r>
              <w:rPr>
                <w:rFonts w:hint="default" w:ascii="Times New Roman" w:hAnsi="Times New Roman" w:cs="Times New Roman"/>
                <w:color w:val="auto"/>
                <w:kern w:val="0"/>
                <w:sz w:val="21"/>
                <w:szCs w:val="21"/>
                <w:lang w:val="en-US" w:eastAsia="zh-CN"/>
              </w:rPr>
              <w:t>表面处理车间污水处理站旁设置1个100m</w:t>
            </w:r>
            <w:r>
              <w:rPr>
                <w:rFonts w:hint="default" w:ascii="Times New Roman" w:hAnsi="Times New Roman" w:cs="Times New Roman"/>
                <w:color w:val="auto"/>
                <w:kern w:val="0"/>
                <w:sz w:val="21"/>
                <w:szCs w:val="21"/>
                <w:vertAlign w:val="superscript"/>
                <w:lang w:val="en-US" w:eastAsia="zh-CN"/>
              </w:rPr>
              <w:t>3</w:t>
            </w:r>
            <w:r>
              <w:rPr>
                <w:rFonts w:hint="default" w:ascii="Times New Roman" w:hAnsi="Times New Roman" w:cs="Times New Roman"/>
                <w:color w:val="auto"/>
                <w:kern w:val="0"/>
                <w:sz w:val="21"/>
                <w:szCs w:val="21"/>
                <w:lang w:val="en-US" w:eastAsia="zh-CN"/>
              </w:rPr>
              <w:t>事故池，</w:t>
            </w:r>
            <w:r>
              <w:rPr>
                <w:rFonts w:hint="default" w:ascii="Times New Roman" w:hAnsi="Times New Roman" w:cs="Times New Roman"/>
                <w:color w:val="auto"/>
                <w:kern w:val="0"/>
                <w:sz w:val="21"/>
                <w:szCs w:val="21"/>
              </w:rPr>
              <w:t>厂区</w:t>
            </w:r>
            <w:r>
              <w:rPr>
                <w:rFonts w:hint="default" w:ascii="Times New Roman" w:hAnsi="Times New Roman" w:cs="Times New Roman"/>
                <w:color w:val="auto"/>
                <w:sz w:val="21"/>
                <w:szCs w:val="21"/>
              </w:rPr>
              <w:t>地势低洼处</w:t>
            </w:r>
            <w:r>
              <w:rPr>
                <w:rFonts w:hint="default" w:ascii="Times New Roman" w:hAnsi="Times New Roman" w:cs="Times New Roman"/>
                <w:color w:val="auto"/>
                <w:kern w:val="0"/>
                <w:sz w:val="21"/>
                <w:szCs w:val="21"/>
              </w:rPr>
              <w:t>设置1个</w:t>
            </w:r>
            <w:r>
              <w:rPr>
                <w:rFonts w:hint="default" w:ascii="Times New Roman" w:hAnsi="Times New Roman" w:cs="Times New Roman"/>
                <w:color w:val="auto"/>
                <w:kern w:val="0"/>
                <w:sz w:val="21"/>
                <w:szCs w:val="21"/>
                <w:lang w:val="en-US" w:eastAsia="zh-CN"/>
              </w:rPr>
              <w:t>302</w:t>
            </w:r>
            <w:r>
              <w:rPr>
                <w:rFonts w:hint="default" w:ascii="Times New Roman" w:hAnsi="Times New Roman" w:cs="Times New Roman"/>
                <w:color w:val="auto"/>
                <w:kern w:val="0"/>
                <w:sz w:val="21"/>
                <w:szCs w:val="21"/>
              </w:rPr>
              <w:t>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的事故池</w:t>
            </w:r>
            <w:r>
              <w:rPr>
                <w:rFonts w:hint="default" w:ascii="Times New Roman" w:hAnsi="Times New Roman" w:cs="Times New Roman"/>
                <w:color w:val="auto"/>
                <w:sz w:val="21"/>
                <w:szCs w:val="21"/>
              </w:rPr>
              <w:t>。</w:t>
            </w:r>
          </w:p>
        </w:tc>
      </w:tr>
      <w:tr w14:paraId="58DC5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58" w:hRule="atLeast"/>
          <w:jc w:val="center"/>
        </w:trPr>
        <w:tc>
          <w:tcPr>
            <w:tcW w:w="1120" w:type="pct"/>
            <w:gridSpan w:val="2"/>
            <w:tcBorders>
              <w:tl2br w:val="nil"/>
              <w:tr2bl w:val="nil"/>
            </w:tcBorders>
            <w:vAlign w:val="center"/>
          </w:tcPr>
          <w:p w14:paraId="368AE1CB">
            <w:pPr>
              <w:snapToGrid w:val="0"/>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评价结论与建议</w:t>
            </w:r>
          </w:p>
        </w:tc>
        <w:tc>
          <w:tcPr>
            <w:tcW w:w="3879" w:type="pct"/>
            <w:gridSpan w:val="19"/>
            <w:tcBorders>
              <w:tl2br w:val="nil"/>
              <w:tr2bl w:val="nil"/>
            </w:tcBorders>
            <w:vAlign w:val="center"/>
          </w:tcPr>
          <w:p w14:paraId="00E4F8ED">
            <w:pPr>
              <w:snapToGrid w:val="0"/>
              <w:jc w:val="left"/>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由于事故触发因素具有不确定性，因此环境风险事故情形的设定并不能包含全部可能的环境风险，本评价通过代表性的事故情形分析可为项目风险管理提供技术支持。项目在良好的生产运营中管理，完善应急联动机制和应急措施的前提下，可较大程度上的控制环境风险。若发生风险事故，应及时启动风险应急救援预案，将事故影响减少到最低。</w:t>
            </w:r>
          </w:p>
        </w:tc>
      </w:tr>
      <w:tr w14:paraId="466E0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5000" w:type="pct"/>
            <w:gridSpan w:val="21"/>
            <w:tcBorders>
              <w:tl2br w:val="nil"/>
              <w:tr2bl w:val="nil"/>
            </w:tcBorders>
            <w:vAlign w:val="center"/>
          </w:tcPr>
          <w:p w14:paraId="64F7737E">
            <w:pPr>
              <w:snapToGrid w:val="0"/>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注：“□”为勾选项，“ ”为填写项。</w:t>
            </w:r>
          </w:p>
        </w:tc>
      </w:tr>
    </w:tbl>
    <w:p w14:paraId="15FC8B79">
      <w:pPr>
        <w:adjustRightInd w:val="0"/>
        <w:snapToGrid w:val="0"/>
        <w:spacing w:before="120" w:beforeLines="50" w:after="120" w:afterLines="50"/>
        <w:jc w:val="center"/>
        <w:rPr>
          <w:rFonts w:hint="default" w:ascii="Times New Roman" w:hAnsi="Times New Roman" w:cs="Times New Roman"/>
          <w:b/>
          <w:bCs/>
          <w:color w:val="auto"/>
          <w:sz w:val="24"/>
        </w:rPr>
      </w:pPr>
    </w:p>
    <w:p w14:paraId="492BDC70">
      <w:pPr>
        <w:rPr>
          <w:rFonts w:hint="default" w:ascii="Times New Roman" w:hAnsi="Times New Roman" w:cs="Times New Roman"/>
          <w:color w:val="auto"/>
        </w:rPr>
        <w:sectPr>
          <w:headerReference r:id="rId7" w:type="default"/>
          <w:footerReference r:id="rId8" w:type="default"/>
          <w:pgSz w:w="11906" w:h="16838"/>
          <w:pgMar w:top="1417" w:right="1417" w:bottom="1417" w:left="1417" w:header="851" w:footer="851" w:gutter="0"/>
          <w:pgBorders>
            <w:top w:val="none" w:sz="0" w:space="0"/>
            <w:left w:val="none" w:sz="0" w:space="0"/>
            <w:bottom w:val="none" w:sz="0" w:space="0"/>
            <w:right w:val="none" w:sz="0" w:space="0"/>
          </w:pgBorders>
          <w:cols w:space="720" w:num="1"/>
          <w:docGrid w:linePitch="312" w:charSpace="0"/>
        </w:sectPr>
      </w:pPr>
    </w:p>
    <w:p w14:paraId="4BF4BCB9">
      <w:pPr>
        <w:pStyle w:val="3"/>
        <w:overflowPunct/>
        <w:adjustRightInd w:val="0"/>
        <w:spacing w:before="113" w:beforeLines="30" w:after="120" w:line="260" w:lineRule="auto"/>
        <w:ind w:left="431" w:hanging="431"/>
        <w:rPr>
          <w:rFonts w:hint="default" w:ascii="Times New Roman" w:hAnsi="Times New Roman" w:cs="Times New Roman"/>
          <w:b w:val="0"/>
          <w:bCs w:val="0"/>
          <w:color w:val="auto"/>
          <w:sz w:val="28"/>
        </w:rPr>
      </w:pPr>
      <w:bookmarkStart w:id="452" w:name="_Toc15257"/>
      <w:r>
        <w:rPr>
          <w:rFonts w:hint="default" w:ascii="Times New Roman" w:hAnsi="Times New Roman" w:cs="Times New Roman"/>
          <w:b w:val="0"/>
          <w:bCs w:val="0"/>
          <w:color w:val="auto"/>
          <w:sz w:val="28"/>
        </w:rPr>
        <w:t>附图一  地理位置图</w:t>
      </w:r>
      <w:bookmarkEnd w:id="437"/>
      <w:bookmarkEnd w:id="438"/>
      <w:bookmarkEnd w:id="439"/>
      <w:bookmarkEnd w:id="440"/>
      <w:bookmarkEnd w:id="441"/>
      <w:bookmarkEnd w:id="442"/>
      <w:bookmarkEnd w:id="443"/>
      <w:bookmarkEnd w:id="444"/>
      <w:bookmarkEnd w:id="452"/>
    </w:p>
    <w:p w14:paraId="2B9C9E41">
      <w:pPr>
        <w:spacing w:line="360" w:lineRule="auto"/>
        <w:rPr>
          <w:rFonts w:hint="default" w:ascii="Times New Roman" w:hAnsi="Times New Roman" w:cs="Times New Roman"/>
          <w:color w:val="auto"/>
          <w:sz w:val="24"/>
        </w:rPr>
        <w:sectPr>
          <w:footerReference r:id="rId9" w:type="default"/>
          <w:pgSz w:w="11905" w:h="16838"/>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r>
        <w:rPr>
          <w:rFonts w:hint="default" w:ascii="Times New Roman" w:hAnsi="Times New Roman" w:cs="Times New Roman"/>
          <w:color w:val="auto"/>
        </w:rPr>
        <mc:AlternateContent>
          <mc:Choice Requires="wpg">
            <w:drawing>
              <wp:anchor distT="0" distB="0" distL="114300" distR="114300" simplePos="0" relativeHeight="251665408" behindDoc="0" locked="0" layoutInCell="1" allowOverlap="1">
                <wp:simplePos x="0" y="0"/>
                <wp:positionH relativeFrom="column">
                  <wp:posOffset>161925</wp:posOffset>
                </wp:positionH>
                <wp:positionV relativeFrom="paragraph">
                  <wp:posOffset>391795</wp:posOffset>
                </wp:positionV>
                <wp:extent cx="5395595" cy="6285865"/>
                <wp:effectExtent l="12700" t="12700" r="20955" b="26035"/>
                <wp:wrapNone/>
                <wp:docPr id="11" name="组合 11"/>
                <wp:cNvGraphicFramePr/>
                <a:graphic xmlns:a="http://schemas.openxmlformats.org/drawingml/2006/main">
                  <a:graphicData uri="http://schemas.microsoft.com/office/word/2010/wordprocessingGroup">
                    <wpg:wgp>
                      <wpg:cNvGrpSpPr/>
                      <wpg:grpSpPr>
                        <a:xfrm>
                          <a:off x="0" y="0"/>
                          <a:ext cx="5395595" cy="6285853"/>
                          <a:chOff x="5631" y="1104170"/>
                          <a:chExt cx="9096" cy="10095"/>
                        </a:xfrm>
                      </wpg:grpSpPr>
                      <wps:wsp>
                        <wps:cNvPr id="25" name="圆角矩形标注 25"/>
                        <wps:cNvSpPr/>
                        <wps:spPr>
                          <a:xfrm>
                            <a:off x="8823" y="1107998"/>
                            <a:ext cx="1300" cy="690"/>
                          </a:xfrm>
                          <a:prstGeom prst="wedgeRoundRectCallout">
                            <a:avLst>
                              <a:gd name="adj1" fmla="val 59000"/>
                              <a:gd name="adj2" fmla="val 104057"/>
                              <a:gd name="adj3" fmla="val 16667"/>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091C56">
                              <w:pPr>
                                <w:jc w:val="center"/>
                                <w:rPr>
                                  <w:b/>
                                  <w:bCs/>
                                  <w:color w:val="FF0000"/>
                                </w:rPr>
                              </w:pPr>
                              <w:r>
                                <w:rPr>
                                  <w:rFonts w:hint="eastAsia"/>
                                  <w:b/>
                                  <w:bCs/>
                                  <w:color w:val="FF0000"/>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 name="五角星 2"/>
                        <wps:cNvSpPr/>
                        <wps:spPr>
                          <a:xfrm>
                            <a:off x="10139" y="1108909"/>
                            <a:ext cx="249" cy="230"/>
                          </a:xfrm>
                          <a:prstGeom prst="star5">
                            <a:avLst>
                              <a:gd name="adj" fmla="val 10280"/>
                              <a:gd name="hf" fmla="val 105146"/>
                              <a:gd name="vf" fmla="val 110557"/>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 name="矩形 8"/>
                        <wps:cNvSpPr/>
                        <wps:spPr>
                          <a:xfrm>
                            <a:off x="5631" y="1104170"/>
                            <a:ext cx="9096" cy="100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2.75pt;margin-top:30.85pt;height:494.95pt;width:424.85pt;z-index:251665408;mso-width-relative:page;mso-height-relative:page;" coordorigin="5631,1104170" coordsize="9096,10095" o:gfxdata="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">
                <o:lock v:ext="edit" aspectratio="f"/>
                <v:shape id="_x0000_s1026" o:spid="_x0000_s1026" o:spt="62" type="#_x0000_t62" style="position:absolute;left:8823;top:1107998;height:690;width:1300;v-text-anchor:middle;" filled="f" stroked="t" coordsize="21600,21600" o:gfxdata="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SQQSLsAAADb&#10;AAAADwAAAAAAAAABACAAAAAiAAAAZHJzL2Rvd25yZXYueG1sUEsBAhQAFAAAAAgAh07iQDMvBZ47&#10;AAAAOQAAABAAAAAAAAAAAQAgAAAACgEAAGRycy9zaGFwZXhtbC54bWxQSwUGAAAAAAYABgBbAQAA&#10;tAMAAAAA&#10;" adj="23544,33276,14400">
                  <v:fill on="f" focussize="0,0"/>
                  <v:stroke color="#FF0000 [3204]" joinstyle="round"/>
                  <v:imagedata o:title=""/>
                  <o:lock v:ext="edit" aspectratio="f"/>
                  <v:textbox>
                    <w:txbxContent>
                      <w:p w14:paraId="3E091C56">
                        <w:pPr>
                          <w:jc w:val="center"/>
                          <w:rPr>
                            <w:b/>
                            <w:bCs/>
                            <w:color w:val="FF0000"/>
                          </w:rPr>
                        </w:pPr>
                        <w:r>
                          <w:rPr>
                            <w:rFonts w:hint="eastAsia"/>
                            <w:b/>
                            <w:bCs/>
                            <w:color w:val="FF0000"/>
                          </w:rPr>
                          <w:t>本项目</w:t>
                        </w:r>
                      </w:p>
                    </w:txbxContent>
                  </v:textbox>
                </v:shape>
                <v:shape id="_x0000_s1026" o:spid="_x0000_s1026" style="position:absolute;left:10139;top:1108909;height:230;width:249;v-text-anchor:middle;" fillcolor="#FF0000" filled="t" stroked="t" coordsize="249,230" o:gfxdata="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0YVzvQAA&#10;ANoAAAAPAAAAAAAAAAEAIAAAACIAAABkcnMvZG93bnJldi54bWxQSwECFAAUAAAACACHTuJAMy8F&#10;njsAAAA5AAAAEAAAAAAAAAABACAAAAAMAQAAZHJzL3NoYXBleG1sLnhtbFBLBQYAAAAABgAGAFsB&#10;AAC2AwAAAAA=&#10;" path="m0,87l108,105,124,0,140,105,248,87,150,135,201,229,124,153,47,229,98,135xe">
                  <v:path o:connectlocs="124,0;0,87;47,229;201,229;248,87" o:connectangles="247,164,82,82,0"/>
                  <v:fill on="t" focussize="0,0"/>
                  <v:stroke weight="2pt" color="#FF0000 [3204]" joinstyle="round"/>
                  <v:imagedata o:title=""/>
                  <o:lock v:ext="edit" aspectratio="f"/>
                </v:shape>
                <v:rect id="_x0000_s1026" o:spid="_x0000_s1026" o:spt="1" style="position:absolute;left:5631;top:1104170;height:10095;width:9096;v-text-anchor:middle;" filled="f" stroked="t" coordsize="21600,21600" o:gfxdata="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JjVxbsAAADa&#10;AAAADwAAAAAAAAABACAAAAAiAAAAZHJzL2Rvd25yZXYueG1sUEsBAhQAFAAAAAgAh07iQDMvBZ47&#10;AAAAOQAAABAAAAAAAAAAAQAgAAAACgEAAGRycy9zaGFwZXhtbC54bWxQSwUGAAAAAAYABgBbAQAA&#10;tAMAAAAA&#10;">
                  <v:fill on="f" focussize="0,0"/>
                  <v:stroke weight="2pt" color="#000000 [3213]" joinstyle="round"/>
                  <v:imagedata o:title=""/>
                  <o:lock v:ext="edit" aspectratio="f"/>
                </v:rect>
              </v:group>
            </w:pict>
          </mc:Fallback>
        </mc:AlternateContent>
      </w:r>
      <w:r>
        <w:rPr>
          <w:rFonts w:hint="default" w:ascii="Times New Roman" w:hAnsi="Times New Roman" w:cs="Times New Roman"/>
          <w:color w:val="auto"/>
        </w:rPr>
        <w:drawing>
          <wp:inline distT="0" distB="0" distL="114300" distR="114300">
            <wp:extent cx="5788025" cy="6863080"/>
            <wp:effectExtent l="0" t="0" r="3175" b="13970"/>
            <wp:docPr id="23" name="图片 23" descr="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地图"/>
                    <pic:cNvPicPr>
                      <a:picLocks noChangeAspect="1"/>
                    </pic:cNvPicPr>
                  </pic:nvPicPr>
                  <pic:blipFill>
                    <a:blip r:embed="rId36"/>
                    <a:srcRect l="1247" t="7856" r="10601" b="7463"/>
                    <a:stretch>
                      <a:fillRect/>
                    </a:stretch>
                  </pic:blipFill>
                  <pic:spPr>
                    <a:xfrm>
                      <a:off x="0" y="0"/>
                      <a:ext cx="5788025" cy="6863080"/>
                    </a:xfrm>
                    <a:prstGeom prst="rect">
                      <a:avLst/>
                    </a:prstGeom>
                  </pic:spPr>
                </pic:pic>
              </a:graphicData>
            </a:graphic>
          </wp:inline>
        </w:drawing>
      </w:r>
    </w:p>
    <w:p w14:paraId="4E05743E">
      <w:pPr>
        <w:pStyle w:val="3"/>
        <w:spacing w:before="72" w:beforeLines="30" w:after="120" w:line="260" w:lineRule="auto"/>
        <w:ind w:left="431" w:hanging="431"/>
        <w:rPr>
          <w:rFonts w:hint="default" w:ascii="Times New Roman" w:hAnsi="Times New Roman" w:cs="Times New Roman"/>
          <w:b w:val="0"/>
          <w:bCs w:val="0"/>
          <w:color w:val="auto"/>
          <w:sz w:val="28"/>
        </w:rPr>
      </w:pPr>
      <w:bookmarkStart w:id="453" w:name="_Toc18497"/>
      <w:bookmarkStart w:id="454" w:name="_Toc15110"/>
      <w:bookmarkStart w:id="455" w:name="_Toc17546"/>
      <w:bookmarkStart w:id="456" w:name="_Toc27196"/>
      <w:bookmarkStart w:id="457" w:name="_Toc20614"/>
      <w:r>
        <w:rPr>
          <w:rFonts w:hint="default" w:ascii="Times New Roman" w:hAnsi="Times New Roman" w:cs="Times New Roman"/>
          <w:b w:val="0"/>
          <w:bCs w:val="0"/>
          <w:color w:val="auto"/>
          <w:sz w:val="28"/>
        </w:rPr>
        <w:t>附图二  土地利用图</w:t>
      </w:r>
      <w:bookmarkEnd w:id="453"/>
      <w:bookmarkEnd w:id="454"/>
      <w:bookmarkEnd w:id="455"/>
      <w:bookmarkEnd w:id="456"/>
      <w:bookmarkEnd w:id="457"/>
      <w:bookmarkStart w:id="458" w:name="_Toc32465"/>
      <w:bookmarkStart w:id="459" w:name="_Toc894"/>
      <w:bookmarkStart w:id="460" w:name="_Toc19178"/>
      <w:bookmarkStart w:id="461" w:name="_Toc31534"/>
    </w:p>
    <w:bookmarkEnd w:id="458"/>
    <w:bookmarkEnd w:id="459"/>
    <w:bookmarkEnd w:id="460"/>
    <w:bookmarkEnd w:id="461"/>
    <w:p w14:paraId="4596D927">
      <w:pPr>
        <w:spacing w:before="120" w:beforeLines="50" w:after="120" w:afterLines="50"/>
        <w:jc w:val="left"/>
        <w:outlineLvl w:val="0"/>
        <w:rPr>
          <w:rFonts w:hint="default" w:ascii="Times New Roman" w:hAnsi="Times New Roman" w:eastAsia="宋体" w:cs="Times New Roman"/>
          <w:b/>
          <w:bCs/>
          <w:color w:val="auto"/>
          <w:sz w:val="24"/>
          <w:lang w:eastAsia="zh-CN"/>
        </w:rPr>
        <w:sectPr>
          <w:footerReference r:id="rId10" w:type="default"/>
          <w:pgSz w:w="16838" w:h="11906" w:orient="landscape"/>
          <w:pgMar w:top="1417" w:right="1417" w:bottom="1417" w:left="1417" w:header="851" w:footer="851" w:gutter="0"/>
          <w:pgBorders>
            <w:top w:val="none" w:sz="0" w:space="0"/>
            <w:left w:val="none" w:sz="0" w:space="0"/>
            <w:bottom w:val="none" w:sz="0" w:space="0"/>
            <w:right w:val="none" w:sz="0" w:space="0"/>
          </w:pgBorders>
          <w:cols w:space="720" w:num="1"/>
          <w:docGrid w:linePitch="312" w:charSpace="0"/>
        </w:sectPr>
      </w:pPr>
    </w:p>
    <w:p w14:paraId="1C01A221">
      <w:pPr>
        <w:pStyle w:val="3"/>
        <w:spacing w:before="113" w:beforeLines="30" w:after="120" w:line="260" w:lineRule="auto"/>
        <w:ind w:left="431" w:hanging="431"/>
        <w:rPr>
          <w:rFonts w:hint="default" w:ascii="Times New Roman" w:hAnsi="Times New Roman" w:cs="Times New Roman"/>
          <w:b w:val="0"/>
          <w:bCs w:val="0"/>
          <w:color w:val="auto"/>
          <w:sz w:val="28"/>
        </w:rPr>
      </w:pPr>
      <w:bookmarkStart w:id="462" w:name="_Toc19516"/>
      <w:bookmarkStart w:id="463" w:name="_Toc26212"/>
      <w:bookmarkStart w:id="464" w:name="_Toc25861"/>
      <w:bookmarkStart w:id="465" w:name="_Toc23993"/>
      <w:bookmarkStart w:id="466" w:name="_Toc7441"/>
      <w:r>
        <w:rPr>
          <w:rFonts w:hint="default" w:ascii="Times New Roman" w:hAnsi="Times New Roman" w:cs="Times New Roman"/>
          <w:b w:val="0"/>
          <w:bCs w:val="0"/>
          <w:color w:val="auto"/>
          <w:sz w:val="28"/>
        </w:rPr>
        <w:t xml:space="preserve">附图三 </w:t>
      </w:r>
      <w:bookmarkEnd w:id="462"/>
      <w:r>
        <w:rPr>
          <w:rFonts w:hint="default" w:ascii="Times New Roman" w:hAnsi="Times New Roman" w:cs="Times New Roman"/>
          <w:b w:val="0"/>
          <w:bCs w:val="0"/>
          <w:color w:val="auto"/>
          <w:sz w:val="28"/>
        </w:rPr>
        <w:t xml:space="preserve"> 产业规划空间布局</w:t>
      </w:r>
      <w:bookmarkEnd w:id="463"/>
      <w:bookmarkEnd w:id="464"/>
      <w:bookmarkEnd w:id="465"/>
      <w:bookmarkEnd w:id="466"/>
    </w:p>
    <w:p w14:paraId="79EF57FB">
      <w:pPr>
        <w:pStyle w:val="4"/>
        <w:keepNext w:val="0"/>
        <w:snapToGrid/>
        <w:spacing w:beforeLines="0" w:after="189"/>
        <w:rPr>
          <w:rFonts w:hint="default" w:ascii="Times New Roman" w:hAnsi="Times New Roman" w:eastAsia="黑体" w:cs="Times New Roman"/>
          <w:bCs/>
          <w:color w:val="auto"/>
          <w:sz w:val="28"/>
          <w:lang w:eastAsia="zh-CN"/>
        </w:rPr>
        <w:sectPr>
          <w:pgSz w:w="16838" w:h="11905" w:orient="landscape"/>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p w14:paraId="48E034C1">
      <w:pPr>
        <w:pStyle w:val="3"/>
        <w:spacing w:before="113" w:beforeLines="30" w:after="120" w:line="260" w:lineRule="auto"/>
        <w:ind w:left="431" w:hanging="431"/>
        <w:rPr>
          <w:rFonts w:hint="default" w:ascii="Times New Roman" w:hAnsi="Times New Roman" w:cs="Times New Roman"/>
          <w:b w:val="0"/>
          <w:bCs w:val="0"/>
          <w:color w:val="auto"/>
          <w:sz w:val="28"/>
        </w:rPr>
      </w:pPr>
      <w:bookmarkStart w:id="467" w:name="_Toc351"/>
      <w:bookmarkStart w:id="468" w:name="_Toc4828"/>
      <w:bookmarkStart w:id="469" w:name="_Toc1608"/>
      <w:bookmarkStart w:id="470" w:name="_Toc22520"/>
      <w:r>
        <w:rPr>
          <w:rFonts w:hint="default" w:ascii="Times New Roman" w:hAnsi="Times New Roman" w:cs="Times New Roman"/>
          <w:b w:val="0"/>
          <w:bCs w:val="0"/>
          <w:color w:val="auto"/>
          <w:sz w:val="28"/>
        </w:rPr>
        <w:t xml:space="preserve">附图四  </w:t>
      </w:r>
      <w:bookmarkEnd w:id="467"/>
      <w:bookmarkEnd w:id="468"/>
      <w:bookmarkEnd w:id="469"/>
      <w:r>
        <w:rPr>
          <w:rFonts w:hint="default" w:ascii="Times New Roman" w:hAnsi="Times New Roman" w:cs="Times New Roman"/>
          <w:b w:val="0"/>
          <w:bCs w:val="0"/>
          <w:color w:val="auto"/>
          <w:sz w:val="28"/>
        </w:rPr>
        <w:t>三明市国土空间总体规划三区三线</w:t>
      </w:r>
      <w:bookmarkEnd w:id="470"/>
    </w:p>
    <w:p w14:paraId="71565255">
      <w:pPr>
        <w:pStyle w:val="10"/>
        <w:ind w:firstLine="0"/>
        <w:rPr>
          <w:rFonts w:hint="default" w:ascii="Times New Roman" w:hAnsi="Times New Roman" w:eastAsia="宋体" w:cs="Times New Roman"/>
          <w:color w:val="auto"/>
          <w:lang w:eastAsia="zh-CN"/>
        </w:rPr>
        <w:sectPr>
          <w:pgSz w:w="16838" w:h="11905" w:orient="landscape"/>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p w14:paraId="747455A3">
      <w:pPr>
        <w:pStyle w:val="3"/>
        <w:spacing w:before="113" w:beforeLines="30" w:after="220" w:line="260" w:lineRule="auto"/>
        <w:ind w:left="431" w:hanging="431"/>
        <w:rPr>
          <w:rFonts w:hint="default" w:ascii="Times New Roman" w:hAnsi="Times New Roman" w:cs="Times New Roman"/>
          <w:b w:val="0"/>
          <w:bCs w:val="0"/>
          <w:color w:val="auto"/>
          <w:sz w:val="28"/>
        </w:rPr>
      </w:pPr>
      <w:bookmarkStart w:id="471" w:name="_Toc19202"/>
      <w:bookmarkStart w:id="472" w:name="_Toc13836"/>
      <w:bookmarkStart w:id="473" w:name="_Toc14047"/>
      <w:bookmarkStart w:id="474" w:name="_Toc15309"/>
      <w:bookmarkStart w:id="475" w:name="_Toc5379"/>
      <w:bookmarkStart w:id="476" w:name="_Toc435"/>
      <w:bookmarkStart w:id="477" w:name="_Toc27053"/>
      <w:bookmarkStart w:id="478" w:name="_Toc15755"/>
      <w:bookmarkStart w:id="479" w:name="_Toc14717"/>
      <w:r>
        <w:rPr>
          <w:rFonts w:hint="default" w:ascii="Times New Roman" w:hAnsi="Times New Roman" w:cs="Times New Roman"/>
          <w:b w:val="0"/>
          <w:bCs w:val="0"/>
          <w:color w:val="auto"/>
          <w:sz w:val="28"/>
        </w:rPr>
        <w:t>附图五  福建省生态环境管控分区图</w:t>
      </w:r>
      <w:bookmarkEnd w:id="471"/>
      <w:bookmarkEnd w:id="472"/>
      <w:bookmarkEnd w:id="473"/>
      <w:bookmarkEnd w:id="474"/>
      <w:bookmarkEnd w:id="475"/>
      <w:bookmarkEnd w:id="476"/>
      <w:bookmarkEnd w:id="477"/>
      <w:bookmarkEnd w:id="478"/>
      <w:bookmarkEnd w:id="479"/>
    </w:p>
    <w:p w14:paraId="378D1C26">
      <w:pPr>
        <w:snapToGrid w:val="0"/>
        <w:rPr>
          <w:rFonts w:hint="default" w:ascii="Times New Roman" w:hAnsi="Times New Roman" w:cs="Times New Roman"/>
          <w:color w:val="auto"/>
        </w:rPr>
      </w:pPr>
    </w:p>
    <w:p w14:paraId="5EC9720A">
      <w:pPr>
        <w:pStyle w:val="17"/>
        <w:ind w:left="0" w:leftChars="0" w:firstLine="0" w:firstLineChars="0"/>
        <w:rPr>
          <w:rFonts w:hint="default" w:ascii="Times New Roman" w:hAnsi="Times New Roman" w:cs="Times New Roman"/>
          <w:color w:val="auto"/>
        </w:rPr>
        <w:sectPr>
          <w:pgSz w:w="16838" w:h="11905" w:orient="landscape"/>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r>
        <w:rPr>
          <w:rFonts w:hint="default" w:ascii="Times New Roman" w:hAnsi="Times New Roman" w:cs="Times New Roman"/>
          <w:color w:val="auto"/>
        </w:rPr>
        <w:drawing>
          <wp:inline distT="0" distB="0" distL="114300" distR="114300">
            <wp:extent cx="8890635" cy="4225290"/>
            <wp:effectExtent l="0" t="0" r="4445" b="6350"/>
            <wp:docPr id="1" name="图片 1" descr="分区管控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分区管控平台"/>
                    <pic:cNvPicPr>
                      <a:picLocks noChangeAspect="1"/>
                    </pic:cNvPicPr>
                  </pic:nvPicPr>
                  <pic:blipFill>
                    <a:blip r:embed="rId37"/>
                    <a:stretch>
                      <a:fillRect/>
                    </a:stretch>
                  </pic:blipFill>
                  <pic:spPr>
                    <a:xfrm>
                      <a:off x="0" y="0"/>
                      <a:ext cx="8890635" cy="4225290"/>
                    </a:xfrm>
                    <a:prstGeom prst="rect">
                      <a:avLst/>
                    </a:prstGeom>
                  </pic:spPr>
                </pic:pic>
              </a:graphicData>
            </a:graphic>
          </wp:inline>
        </w:drawing>
      </w:r>
    </w:p>
    <w:p w14:paraId="10DCEF46">
      <w:pPr>
        <w:pStyle w:val="4"/>
        <w:keepNext w:val="0"/>
        <w:snapToGrid/>
        <w:spacing w:beforeLines="0" w:after="189"/>
        <w:rPr>
          <w:rFonts w:hint="default" w:ascii="Times New Roman" w:hAnsi="Times New Roman" w:cs="Times New Roman"/>
          <w:bCs/>
          <w:color w:val="auto"/>
          <w:sz w:val="28"/>
        </w:rPr>
        <w:sectPr>
          <w:pgSz w:w="11905" w:h="16838"/>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p w14:paraId="4FF356F9">
      <w:pPr>
        <w:pStyle w:val="3"/>
        <w:spacing w:before="113" w:beforeLines="30" w:after="120" w:line="260" w:lineRule="auto"/>
        <w:ind w:left="431" w:hanging="431"/>
        <w:rPr>
          <w:rFonts w:hint="default" w:ascii="Times New Roman" w:hAnsi="Times New Roman" w:cs="Times New Roman"/>
          <w:b w:val="0"/>
          <w:bCs w:val="0"/>
          <w:color w:val="auto"/>
          <w:sz w:val="28"/>
        </w:rPr>
      </w:pPr>
      <w:bookmarkStart w:id="480" w:name="_Toc17631"/>
      <w:bookmarkStart w:id="481" w:name="_Toc14902"/>
      <w:bookmarkStart w:id="482" w:name="_Toc17699"/>
      <w:bookmarkStart w:id="483" w:name="_Toc26794"/>
      <w:bookmarkStart w:id="484" w:name="_Toc19753"/>
      <w:r>
        <w:rPr>
          <w:rFonts w:hint="default" w:ascii="Times New Roman" w:hAnsi="Times New Roman" w:cs="Times New Roman"/>
          <w:b w:val="0"/>
          <w:bCs w:val="0"/>
          <w:color w:val="auto"/>
          <w:sz w:val="28"/>
        </w:rPr>
        <w:t xml:space="preserve">附图六 </w:t>
      </w:r>
      <w:r>
        <w:rPr>
          <w:rFonts w:hint="eastAsia" w:cs="Times New Roman"/>
          <w:b w:val="0"/>
          <w:bCs w:val="0"/>
          <w:color w:val="auto"/>
          <w:sz w:val="28"/>
          <w:lang w:val="en-US" w:eastAsia="zh-CN"/>
        </w:rPr>
        <w:t xml:space="preserve"> </w:t>
      </w:r>
      <w:r>
        <w:rPr>
          <w:rFonts w:hint="default" w:ascii="Times New Roman" w:hAnsi="Times New Roman" w:cs="Times New Roman"/>
          <w:b w:val="0"/>
          <w:bCs w:val="0"/>
          <w:color w:val="auto"/>
          <w:sz w:val="28"/>
          <w:lang w:val="en-US" w:eastAsia="zh-CN"/>
        </w:rPr>
        <w:t>现有工程总平图</w:t>
      </w:r>
      <w:bookmarkEnd w:id="480"/>
      <w:r>
        <w:rPr>
          <w:rFonts w:hint="default" w:ascii="Times New Roman" w:hAnsi="Times New Roman" w:cs="Times New Roman"/>
          <w:b w:val="0"/>
          <w:bCs w:val="0"/>
          <w:color w:val="auto"/>
          <w:sz w:val="28"/>
        </w:rPr>
        <w:t xml:space="preserve"> </w:t>
      </w:r>
    </w:p>
    <w:p w14:paraId="658EAF8B">
      <w:pPr>
        <w:jc w:val="center"/>
        <w:rPr>
          <w:rFonts w:hint="default" w:ascii="Times New Roman" w:hAnsi="Times New Roman" w:eastAsia="宋体" w:cs="Times New Roman"/>
          <w:color w:val="auto"/>
          <w:lang w:eastAsia="zh-CN"/>
        </w:rPr>
      </w:pPr>
    </w:p>
    <w:p w14:paraId="5F2B2352">
      <w:pPr>
        <w:pStyle w:val="3"/>
        <w:spacing w:before="113" w:beforeLines="30" w:after="120" w:line="260" w:lineRule="auto"/>
        <w:ind w:left="431" w:hanging="431"/>
        <w:rPr>
          <w:rFonts w:hint="default" w:ascii="Times New Roman" w:hAnsi="Times New Roman" w:cs="Times New Roman"/>
          <w:b w:val="0"/>
          <w:bCs w:val="0"/>
          <w:color w:val="auto"/>
          <w:sz w:val="28"/>
        </w:rPr>
      </w:pPr>
      <w:bookmarkStart w:id="485" w:name="_Toc6711"/>
      <w:r>
        <w:rPr>
          <w:rFonts w:hint="default" w:ascii="Times New Roman" w:hAnsi="Times New Roman" w:cs="Times New Roman"/>
          <w:b w:val="0"/>
          <w:bCs w:val="0"/>
          <w:color w:val="auto"/>
          <w:sz w:val="28"/>
          <w:lang w:val="en-US" w:eastAsia="zh-CN"/>
        </w:rPr>
        <w:t xml:space="preserve">附图七 </w:t>
      </w:r>
      <w:r>
        <w:rPr>
          <w:rFonts w:hint="eastAsia" w:cs="Times New Roman"/>
          <w:b w:val="0"/>
          <w:bCs w:val="0"/>
          <w:color w:val="auto"/>
          <w:sz w:val="28"/>
          <w:lang w:val="en-US" w:eastAsia="zh-CN"/>
        </w:rPr>
        <w:t xml:space="preserve"> </w:t>
      </w:r>
      <w:r>
        <w:rPr>
          <w:rFonts w:hint="default" w:ascii="Times New Roman" w:hAnsi="Times New Roman" w:cs="Times New Roman"/>
          <w:b w:val="0"/>
          <w:bCs w:val="0"/>
          <w:color w:val="auto"/>
          <w:sz w:val="28"/>
          <w:lang w:val="en-US" w:eastAsia="zh-CN"/>
        </w:rPr>
        <w:t>项目建成后全厂</w:t>
      </w:r>
      <w:r>
        <w:rPr>
          <w:rFonts w:hint="default" w:ascii="Times New Roman" w:hAnsi="Times New Roman" w:cs="Times New Roman"/>
          <w:b w:val="0"/>
          <w:bCs w:val="0"/>
          <w:color w:val="auto"/>
          <w:sz w:val="28"/>
        </w:rPr>
        <w:t>雨污管道及总平面图</w:t>
      </w:r>
      <w:bookmarkEnd w:id="481"/>
      <w:bookmarkEnd w:id="482"/>
      <w:bookmarkEnd w:id="483"/>
      <w:bookmarkEnd w:id="484"/>
      <w:bookmarkEnd w:id="485"/>
    </w:p>
    <w:p w14:paraId="3E5923EE">
      <w:pPr>
        <w:pStyle w:val="4"/>
        <w:keepNext w:val="0"/>
        <w:snapToGrid/>
        <w:spacing w:beforeLines="0" w:after="189"/>
        <w:jc w:val="center"/>
        <w:rPr>
          <w:rFonts w:hint="default" w:ascii="Times New Roman" w:hAnsi="Times New Roman" w:eastAsia="黑体" w:cs="Times New Roman"/>
          <w:bCs/>
          <w:color w:val="auto"/>
          <w:sz w:val="28"/>
          <w:lang w:eastAsia="zh-CN"/>
        </w:rPr>
        <w:sectPr>
          <w:pgSz w:w="16838" w:h="11905" w:orient="landscape"/>
          <w:pgMar w:top="1134" w:right="1080" w:bottom="1134" w:left="1080" w:header="964" w:footer="964" w:gutter="0"/>
          <w:pgBorders>
            <w:top w:val="none" w:sz="0" w:space="0"/>
            <w:left w:val="none" w:sz="0" w:space="0"/>
            <w:bottom w:val="none" w:sz="0" w:space="0"/>
            <w:right w:val="none" w:sz="0" w:space="0"/>
          </w:pgBorders>
          <w:cols w:space="720" w:num="1"/>
          <w:docGrid w:type="lines" w:linePitch="378" w:charSpace="0"/>
        </w:sectPr>
      </w:pPr>
      <w:bookmarkStart w:id="486" w:name="_Toc19959"/>
      <w:r>
        <w:rPr>
          <w:rFonts w:hint="default" w:ascii="Times New Roman" w:hAnsi="Times New Roman" w:eastAsia="黑体" w:cs="Times New Roman"/>
          <w:bCs/>
          <w:color w:val="auto"/>
          <w:sz w:val="28"/>
          <w:lang w:eastAsia="zh-CN"/>
        </w:rPr>
        <w:drawing>
          <wp:inline distT="0" distB="0" distL="114300" distR="114300">
            <wp:extent cx="7774305" cy="5653405"/>
            <wp:effectExtent l="0" t="0" r="17145" b="4445"/>
            <wp:docPr id="35" name="图片 35" descr="总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总平"/>
                    <pic:cNvPicPr>
                      <a:picLocks noChangeAspect="1"/>
                    </pic:cNvPicPr>
                  </pic:nvPicPr>
                  <pic:blipFill>
                    <a:blip r:embed="rId38"/>
                    <a:stretch>
                      <a:fillRect/>
                    </a:stretch>
                  </pic:blipFill>
                  <pic:spPr>
                    <a:xfrm>
                      <a:off x="0" y="0"/>
                      <a:ext cx="7774305" cy="5653405"/>
                    </a:xfrm>
                    <a:prstGeom prst="rect">
                      <a:avLst/>
                    </a:prstGeom>
                  </pic:spPr>
                </pic:pic>
              </a:graphicData>
            </a:graphic>
          </wp:inline>
        </w:drawing>
      </w:r>
      <w:bookmarkEnd w:id="486"/>
    </w:p>
    <w:p w14:paraId="2547C861">
      <w:pPr>
        <w:pStyle w:val="3"/>
        <w:spacing w:before="113" w:beforeLines="30" w:after="120" w:line="260" w:lineRule="auto"/>
        <w:ind w:left="431" w:hanging="431"/>
        <w:rPr>
          <w:rFonts w:hint="default" w:ascii="Times New Roman" w:hAnsi="Times New Roman" w:cs="Times New Roman"/>
          <w:b w:val="0"/>
          <w:bCs w:val="0"/>
          <w:color w:val="auto"/>
          <w:sz w:val="28"/>
          <w:lang w:val="en-US" w:eastAsia="zh-CN"/>
        </w:rPr>
      </w:pPr>
      <w:bookmarkStart w:id="487" w:name="_Toc24906"/>
      <w:bookmarkStart w:id="488" w:name="_Toc24147"/>
      <w:bookmarkStart w:id="489" w:name="_Toc10706"/>
      <w:bookmarkStart w:id="490" w:name="_Toc29845"/>
      <w:bookmarkStart w:id="491" w:name="_Toc26996"/>
      <w:bookmarkStart w:id="492" w:name="_Toc9619"/>
      <w:bookmarkStart w:id="493" w:name="_Toc5022"/>
      <w:bookmarkStart w:id="494" w:name="_Toc11940"/>
      <w:bookmarkStart w:id="495" w:name="_Toc26967"/>
      <w:r>
        <w:rPr>
          <w:rFonts w:hint="default" w:ascii="Times New Roman" w:hAnsi="Times New Roman" w:cs="Times New Roman"/>
          <w:b w:val="0"/>
          <w:bCs w:val="0"/>
          <w:color w:val="auto"/>
          <w:sz w:val="28"/>
        </w:rPr>
        <w:t>附图</w:t>
      </w:r>
      <w:r>
        <w:rPr>
          <w:rFonts w:hint="default" w:ascii="Times New Roman" w:hAnsi="Times New Roman" w:cs="Times New Roman"/>
          <w:b w:val="0"/>
          <w:bCs w:val="0"/>
          <w:color w:val="auto"/>
          <w:sz w:val="28"/>
          <w:lang w:val="en-US" w:eastAsia="zh-CN"/>
        </w:rPr>
        <w:t>八</w:t>
      </w:r>
      <w:r>
        <w:rPr>
          <w:rFonts w:hint="default" w:ascii="Times New Roman" w:hAnsi="Times New Roman" w:cs="Times New Roman"/>
          <w:b w:val="0"/>
          <w:bCs w:val="0"/>
          <w:color w:val="auto"/>
          <w:sz w:val="28"/>
        </w:rPr>
        <w:t xml:space="preserve">  </w:t>
      </w:r>
      <w:r>
        <w:rPr>
          <w:rFonts w:hint="default" w:ascii="Times New Roman" w:hAnsi="Times New Roman" w:cs="Times New Roman"/>
          <w:b w:val="0"/>
          <w:bCs w:val="0"/>
          <w:color w:val="auto"/>
          <w:sz w:val="28"/>
          <w:lang w:val="en-US" w:eastAsia="zh-CN"/>
        </w:rPr>
        <w:t>表面处理车间布置图</w:t>
      </w:r>
      <w:bookmarkEnd w:id="487"/>
    </w:p>
    <w:p w14:paraId="5DEDDD5B">
      <w:pPr>
        <w:bidi w:val="0"/>
        <w:rPr>
          <w:rFonts w:hint="default"/>
          <w:color w:val="auto"/>
          <w:lang w:val="en-US" w:eastAsia="zh-CN"/>
        </w:rPr>
        <w:sectPr>
          <w:headerReference r:id="rId11" w:type="default"/>
          <w:footerReference r:id="rId12" w:type="default"/>
          <w:pgSz w:w="16838" w:h="11905" w:orient="landscape"/>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r>
        <w:rPr>
          <w:rFonts w:hint="eastAsia"/>
          <w:color w:val="auto"/>
          <w:lang w:val="en-US" w:eastAsia="zh-CN"/>
        </w:rPr>
        <w:t>*</w:t>
      </w:r>
    </w:p>
    <w:p w14:paraId="08C41A4C">
      <w:pPr>
        <w:pStyle w:val="3"/>
        <w:spacing w:before="113" w:beforeLines="30" w:after="120" w:line="260" w:lineRule="auto"/>
        <w:ind w:left="431" w:hanging="431"/>
        <w:rPr>
          <w:rFonts w:hint="default" w:ascii="Times New Roman" w:hAnsi="Times New Roman" w:cs="Times New Roman"/>
          <w:b w:val="0"/>
          <w:bCs w:val="0"/>
          <w:color w:val="auto"/>
          <w:sz w:val="28"/>
        </w:rPr>
      </w:pPr>
      <w:bookmarkStart w:id="496" w:name="_Toc32202"/>
      <w:r>
        <w:rPr>
          <w:rFonts w:hint="default" w:ascii="Times New Roman" w:hAnsi="Times New Roman" w:cs="Times New Roman"/>
          <w:b w:val="0"/>
          <w:bCs w:val="0"/>
          <w:color w:val="auto"/>
          <w:sz w:val="28"/>
          <w:lang w:val="en-US" w:eastAsia="zh-CN"/>
        </w:rPr>
        <w:t xml:space="preserve">附图九 </w:t>
      </w:r>
      <w:r>
        <w:rPr>
          <w:rFonts w:hint="eastAsia" w:cs="Times New Roman"/>
          <w:b w:val="0"/>
          <w:bCs w:val="0"/>
          <w:color w:val="auto"/>
          <w:sz w:val="28"/>
          <w:lang w:val="en-US" w:eastAsia="zh-CN"/>
        </w:rPr>
        <w:t xml:space="preserve"> </w:t>
      </w:r>
      <w:r>
        <w:rPr>
          <w:rFonts w:hint="default" w:ascii="Times New Roman" w:hAnsi="Times New Roman" w:cs="Times New Roman"/>
          <w:b w:val="0"/>
          <w:bCs w:val="0"/>
          <w:color w:val="auto"/>
          <w:sz w:val="28"/>
        </w:rPr>
        <w:t>项目周边</w:t>
      </w:r>
      <w:r>
        <w:rPr>
          <w:rFonts w:hint="default" w:ascii="Times New Roman" w:hAnsi="Times New Roman" w:cs="Times New Roman"/>
          <w:b w:val="0"/>
          <w:bCs w:val="0"/>
          <w:color w:val="auto"/>
          <w:sz w:val="28"/>
          <w:lang w:val="en-US" w:eastAsia="zh-CN"/>
        </w:rPr>
        <w:t>及厂区</w:t>
      </w:r>
      <w:r>
        <w:rPr>
          <w:rFonts w:hint="default" w:ascii="Times New Roman" w:hAnsi="Times New Roman" w:cs="Times New Roman"/>
          <w:b w:val="0"/>
          <w:bCs w:val="0"/>
          <w:color w:val="auto"/>
          <w:sz w:val="28"/>
        </w:rPr>
        <w:t>环境现状</w:t>
      </w:r>
      <w:bookmarkEnd w:id="488"/>
      <w:bookmarkEnd w:id="489"/>
      <w:bookmarkEnd w:id="490"/>
      <w:bookmarkEnd w:id="491"/>
      <w:bookmarkEnd w:id="492"/>
      <w:bookmarkEnd w:id="493"/>
      <w:bookmarkEnd w:id="494"/>
      <w:bookmarkEnd w:id="495"/>
      <w:bookmarkEnd w:id="496"/>
    </w:p>
    <w:tbl>
      <w:tblPr>
        <w:tblStyle w:val="34"/>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763"/>
        <w:gridCol w:w="4524"/>
      </w:tblGrid>
      <w:tr w14:paraId="553E06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0" w:hRule="atLeast"/>
          <w:jc w:val="center"/>
        </w:trPr>
        <w:tc>
          <w:tcPr>
            <w:tcW w:w="2590" w:type="pct"/>
            <w:tcBorders>
              <w:tl2br w:val="nil"/>
              <w:tr2bl w:val="nil"/>
            </w:tcBorders>
            <w:noWrap w:val="0"/>
            <w:vAlign w:val="center"/>
          </w:tcPr>
          <w:p w14:paraId="1F23FC2B">
            <w:pPr>
              <w:pStyle w:val="164"/>
              <w:keepNext w:val="0"/>
              <w:keepLines w:val="0"/>
              <w:pageBreakBefore w:val="0"/>
              <w:widowControl w:val="0"/>
              <w:kinsoku/>
              <w:wordWrap/>
              <w:overflowPunct/>
              <w:topLinePunct w:val="0"/>
              <w:autoSpaceDE w:val="0"/>
              <w:autoSpaceDN w:val="0"/>
              <w:bidi w:val="0"/>
              <w:adjustRightInd/>
              <w:snapToGrid w:val="0"/>
              <w:spacing w:after="0" w:line="240" w:lineRule="auto"/>
              <w:ind w:left="0" w:leftChars="0" w:firstLine="0"/>
              <w:jc w:val="center"/>
              <w:textAlignment w:val="baseline"/>
              <w:rPr>
                <w:rFonts w:hint="default" w:ascii="Times New Roman" w:hAnsi="Times New Roman" w:eastAsia="宋体" w:cs="Times New Roman"/>
                <w:color w:val="auto"/>
                <w:kern w:val="2"/>
                <w:sz w:val="24"/>
                <w:szCs w:val="24"/>
                <w:lang w:eastAsia="zh-CN"/>
              </w:rPr>
            </w:pPr>
            <w:r>
              <w:rPr>
                <w:rFonts w:hint="default" w:ascii="Times New Roman" w:hAnsi="Times New Roman" w:eastAsia="宋体" w:cs="Times New Roman"/>
                <w:color w:val="auto"/>
                <w:kern w:val="2"/>
                <w:sz w:val="24"/>
                <w:szCs w:val="24"/>
                <w:lang w:eastAsia="zh-CN"/>
              </w:rPr>
              <w:drawing>
                <wp:inline distT="0" distB="0" distL="114300" distR="114300">
                  <wp:extent cx="2882265" cy="2160270"/>
                  <wp:effectExtent l="0" t="0" r="13335" b="11430"/>
                  <wp:docPr id="46" name="图片 46" descr="08d66c92a9d1f269733d277815525b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08d66c92a9d1f269733d277815525b59"/>
                          <pic:cNvPicPr>
                            <a:picLocks noChangeAspect="1"/>
                          </pic:cNvPicPr>
                        </pic:nvPicPr>
                        <pic:blipFill>
                          <a:blip r:embed="rId39"/>
                          <a:stretch>
                            <a:fillRect/>
                          </a:stretch>
                        </pic:blipFill>
                        <pic:spPr>
                          <a:xfrm>
                            <a:off x="0" y="0"/>
                            <a:ext cx="2882265" cy="2160270"/>
                          </a:xfrm>
                          <a:prstGeom prst="rect">
                            <a:avLst/>
                          </a:prstGeom>
                        </pic:spPr>
                      </pic:pic>
                    </a:graphicData>
                  </a:graphic>
                </wp:inline>
              </w:drawing>
            </w:r>
          </w:p>
        </w:tc>
        <w:tc>
          <w:tcPr>
            <w:tcW w:w="2409" w:type="pct"/>
            <w:tcBorders>
              <w:tl2br w:val="nil"/>
              <w:tr2bl w:val="nil"/>
            </w:tcBorders>
            <w:noWrap w:val="0"/>
            <w:vAlign w:val="center"/>
          </w:tcPr>
          <w:p w14:paraId="035F7E5D">
            <w:pPr>
              <w:pStyle w:val="164"/>
              <w:keepNext w:val="0"/>
              <w:keepLines w:val="0"/>
              <w:pageBreakBefore w:val="0"/>
              <w:widowControl w:val="0"/>
              <w:kinsoku/>
              <w:wordWrap/>
              <w:overflowPunct/>
              <w:topLinePunct w:val="0"/>
              <w:autoSpaceDE w:val="0"/>
              <w:autoSpaceDN w:val="0"/>
              <w:bidi w:val="0"/>
              <w:adjustRightInd/>
              <w:snapToGrid w:val="0"/>
              <w:spacing w:after="0" w:line="240" w:lineRule="auto"/>
              <w:ind w:left="0" w:leftChars="0" w:firstLine="0"/>
              <w:jc w:val="center"/>
              <w:textAlignment w:val="baseline"/>
              <w:rPr>
                <w:rFonts w:hint="default" w:ascii="Times New Roman" w:hAnsi="Times New Roman" w:eastAsia="宋体" w:cs="Times New Roman"/>
                <w:color w:val="auto"/>
                <w:kern w:val="2"/>
                <w:sz w:val="24"/>
                <w:szCs w:val="24"/>
                <w:lang w:eastAsia="zh-CN"/>
              </w:rPr>
            </w:pPr>
            <w:r>
              <w:rPr>
                <w:rFonts w:hint="default" w:ascii="Times New Roman" w:hAnsi="Times New Roman" w:eastAsia="宋体" w:cs="Times New Roman"/>
                <w:color w:val="auto"/>
                <w:kern w:val="2"/>
                <w:sz w:val="24"/>
                <w:szCs w:val="24"/>
                <w:lang w:eastAsia="zh-CN"/>
              </w:rPr>
              <w:drawing>
                <wp:inline distT="0" distB="0" distL="114300" distR="114300">
                  <wp:extent cx="2198370" cy="2184400"/>
                  <wp:effectExtent l="0" t="0" r="11430" b="6350"/>
                  <wp:docPr id="47" name="图片 47" descr="87963ae70c52b002a3d962f726cf14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87963ae70c52b002a3d962f726cf14c3"/>
                          <pic:cNvPicPr>
                            <a:picLocks noChangeAspect="1"/>
                          </pic:cNvPicPr>
                        </pic:nvPicPr>
                        <pic:blipFill>
                          <a:blip r:embed="rId40"/>
                          <a:srcRect t="25523"/>
                          <a:stretch>
                            <a:fillRect/>
                          </a:stretch>
                        </pic:blipFill>
                        <pic:spPr>
                          <a:xfrm>
                            <a:off x="0" y="0"/>
                            <a:ext cx="2198370" cy="2184400"/>
                          </a:xfrm>
                          <a:prstGeom prst="rect">
                            <a:avLst/>
                          </a:prstGeom>
                        </pic:spPr>
                      </pic:pic>
                    </a:graphicData>
                  </a:graphic>
                </wp:inline>
              </w:drawing>
            </w:r>
          </w:p>
        </w:tc>
      </w:tr>
      <w:tr w14:paraId="0E2521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0" w:hRule="atLeast"/>
          <w:jc w:val="center"/>
        </w:trPr>
        <w:tc>
          <w:tcPr>
            <w:tcW w:w="2590" w:type="pct"/>
            <w:tcBorders>
              <w:tl2br w:val="nil"/>
              <w:tr2bl w:val="nil"/>
            </w:tcBorders>
            <w:noWrap w:val="0"/>
            <w:vAlign w:val="center"/>
          </w:tcPr>
          <w:p w14:paraId="089CA889">
            <w:pPr>
              <w:pStyle w:val="164"/>
              <w:keepNext w:val="0"/>
              <w:keepLines w:val="0"/>
              <w:pageBreakBefore w:val="0"/>
              <w:widowControl w:val="0"/>
              <w:kinsoku/>
              <w:wordWrap/>
              <w:overflowPunct/>
              <w:topLinePunct w:val="0"/>
              <w:autoSpaceDE w:val="0"/>
              <w:autoSpaceDN w:val="0"/>
              <w:bidi w:val="0"/>
              <w:adjustRightInd/>
              <w:snapToGrid w:val="0"/>
              <w:spacing w:after="0" w:line="240" w:lineRule="auto"/>
              <w:ind w:left="0" w:leftChars="0" w:firstLine="0"/>
              <w:jc w:val="center"/>
              <w:textAlignment w:val="baseline"/>
              <w:rPr>
                <w:rFonts w:hint="default" w:ascii="Times New Roman" w:hAnsi="Times New Roman" w:eastAsia="宋体" w:cs="Times New Roman"/>
                <w:bCs/>
                <w:color w:val="auto"/>
                <w:kern w:val="2"/>
                <w:sz w:val="24"/>
                <w:szCs w:val="24"/>
                <w:lang w:val="en-US" w:eastAsia="zh-CN"/>
              </w:rPr>
            </w:pPr>
            <w:r>
              <w:rPr>
                <w:rFonts w:hint="default" w:ascii="Times New Roman" w:hAnsi="Times New Roman" w:eastAsia="宋体" w:cs="Times New Roman"/>
                <w:bCs/>
                <w:color w:val="auto"/>
                <w:kern w:val="2"/>
                <w:sz w:val="24"/>
                <w:szCs w:val="24"/>
              </w:rPr>
              <w:t>北侧</w:t>
            </w:r>
            <w:r>
              <w:rPr>
                <w:rFonts w:hint="default" w:ascii="Times New Roman" w:hAnsi="Times New Roman" w:eastAsia="宋体" w:cs="Times New Roman"/>
                <w:bCs/>
                <w:color w:val="auto"/>
                <w:kern w:val="2"/>
                <w:sz w:val="24"/>
                <w:szCs w:val="24"/>
                <w:lang w:eastAsia="zh-CN"/>
              </w:rPr>
              <w:t>－</w:t>
            </w:r>
            <w:r>
              <w:rPr>
                <w:rFonts w:hint="default" w:ascii="Times New Roman" w:hAnsi="Times New Roman" w:eastAsia="宋体" w:cs="Times New Roman"/>
                <w:bCs/>
                <w:color w:val="auto"/>
                <w:kern w:val="2"/>
                <w:sz w:val="24"/>
                <w:szCs w:val="24"/>
                <w:lang w:val="en-US" w:eastAsia="zh-CN"/>
              </w:rPr>
              <w:t>厂内道路和福建明辉金属制品有限公司车间厂房</w:t>
            </w:r>
          </w:p>
        </w:tc>
        <w:tc>
          <w:tcPr>
            <w:tcW w:w="2409" w:type="pct"/>
            <w:tcBorders>
              <w:tl2br w:val="nil"/>
              <w:tr2bl w:val="nil"/>
            </w:tcBorders>
            <w:noWrap w:val="0"/>
            <w:vAlign w:val="center"/>
          </w:tcPr>
          <w:p w14:paraId="6FDA8593">
            <w:pPr>
              <w:pStyle w:val="164"/>
              <w:keepNext w:val="0"/>
              <w:keepLines w:val="0"/>
              <w:pageBreakBefore w:val="0"/>
              <w:widowControl w:val="0"/>
              <w:kinsoku/>
              <w:wordWrap/>
              <w:overflowPunct/>
              <w:topLinePunct w:val="0"/>
              <w:autoSpaceDE w:val="0"/>
              <w:autoSpaceDN w:val="0"/>
              <w:bidi w:val="0"/>
              <w:adjustRightInd/>
              <w:snapToGrid w:val="0"/>
              <w:spacing w:after="0" w:line="240" w:lineRule="auto"/>
              <w:ind w:left="0" w:leftChars="0" w:firstLine="0"/>
              <w:jc w:val="center"/>
              <w:textAlignment w:val="baseline"/>
              <w:rPr>
                <w:rFonts w:hint="default" w:ascii="Times New Roman" w:hAnsi="Times New Roman" w:eastAsia="宋体" w:cs="Times New Roman"/>
                <w:bCs/>
                <w:color w:val="auto"/>
                <w:kern w:val="2"/>
                <w:sz w:val="24"/>
                <w:szCs w:val="24"/>
                <w:lang w:val="en-US" w:eastAsia="zh-CN"/>
              </w:rPr>
            </w:pPr>
            <w:r>
              <w:rPr>
                <w:rFonts w:hint="default" w:ascii="Times New Roman" w:hAnsi="Times New Roman" w:eastAsia="宋体" w:cs="Times New Roman"/>
                <w:bCs/>
                <w:color w:val="auto"/>
                <w:kern w:val="2"/>
                <w:sz w:val="24"/>
                <w:szCs w:val="24"/>
                <w:lang w:val="en-US" w:eastAsia="zh-CN"/>
              </w:rPr>
              <w:t>东</w:t>
            </w:r>
            <w:r>
              <w:rPr>
                <w:rFonts w:hint="default" w:ascii="Times New Roman" w:hAnsi="Times New Roman" w:eastAsia="宋体" w:cs="Times New Roman"/>
                <w:bCs/>
                <w:color w:val="auto"/>
                <w:kern w:val="2"/>
                <w:sz w:val="24"/>
                <w:szCs w:val="24"/>
              </w:rPr>
              <w:t>侧</w:t>
            </w:r>
            <w:r>
              <w:rPr>
                <w:rFonts w:hint="default" w:ascii="Times New Roman" w:hAnsi="Times New Roman" w:eastAsia="宋体" w:cs="Times New Roman"/>
                <w:bCs/>
                <w:color w:val="auto"/>
                <w:kern w:val="2"/>
                <w:sz w:val="24"/>
                <w:szCs w:val="24"/>
                <w:lang w:eastAsia="zh-CN"/>
              </w:rPr>
              <w:t>－</w:t>
            </w:r>
            <w:r>
              <w:rPr>
                <w:rFonts w:hint="default" w:ascii="Times New Roman" w:hAnsi="Times New Roman" w:eastAsia="宋体" w:cs="Times New Roman"/>
                <w:bCs/>
                <w:color w:val="auto"/>
                <w:kern w:val="2"/>
                <w:sz w:val="24"/>
                <w:szCs w:val="24"/>
                <w:lang w:val="en-US" w:eastAsia="zh-CN"/>
              </w:rPr>
              <w:t>厂区道路</w:t>
            </w:r>
          </w:p>
        </w:tc>
      </w:tr>
      <w:tr w14:paraId="05FDC5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0" w:hRule="atLeast"/>
          <w:jc w:val="center"/>
        </w:trPr>
        <w:tc>
          <w:tcPr>
            <w:tcW w:w="2590" w:type="pct"/>
            <w:tcBorders>
              <w:tl2br w:val="nil"/>
              <w:tr2bl w:val="nil"/>
            </w:tcBorders>
            <w:noWrap w:val="0"/>
            <w:vAlign w:val="center"/>
          </w:tcPr>
          <w:p w14:paraId="5FEAA7A0">
            <w:pPr>
              <w:pStyle w:val="164"/>
              <w:keepNext w:val="0"/>
              <w:keepLines w:val="0"/>
              <w:pageBreakBefore w:val="0"/>
              <w:widowControl w:val="0"/>
              <w:kinsoku/>
              <w:wordWrap/>
              <w:overflowPunct/>
              <w:topLinePunct w:val="0"/>
              <w:autoSpaceDE w:val="0"/>
              <w:autoSpaceDN w:val="0"/>
              <w:bidi w:val="0"/>
              <w:adjustRightInd/>
              <w:snapToGrid w:val="0"/>
              <w:spacing w:after="0" w:line="240" w:lineRule="auto"/>
              <w:ind w:left="0" w:leftChars="0" w:firstLine="0"/>
              <w:jc w:val="center"/>
              <w:textAlignment w:val="baseline"/>
              <w:rPr>
                <w:rFonts w:hint="default" w:ascii="Times New Roman" w:hAnsi="Times New Roman" w:eastAsia="宋体" w:cs="Times New Roman"/>
                <w:color w:val="auto"/>
                <w:kern w:val="2"/>
                <w:sz w:val="24"/>
                <w:szCs w:val="24"/>
                <w:lang w:eastAsia="zh-CN"/>
              </w:rPr>
            </w:pPr>
            <w:r>
              <w:rPr>
                <w:rFonts w:hint="default" w:ascii="Times New Roman" w:hAnsi="Times New Roman" w:eastAsia="宋体" w:cs="Times New Roman"/>
                <w:color w:val="auto"/>
                <w:kern w:val="2"/>
                <w:sz w:val="24"/>
                <w:szCs w:val="24"/>
                <w:lang w:eastAsia="zh-CN"/>
              </w:rPr>
              <w:drawing>
                <wp:inline distT="0" distB="0" distL="114300" distR="114300">
                  <wp:extent cx="2863215" cy="2411730"/>
                  <wp:effectExtent l="0" t="0" r="13335" b="7620"/>
                  <wp:docPr id="50" name="图片 50" descr="fa59f31dc5c61c1e6cdeb12d2425ad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fa59f31dc5c61c1e6cdeb12d2425ad35"/>
                          <pic:cNvPicPr>
                            <a:picLocks noChangeAspect="1"/>
                          </pic:cNvPicPr>
                        </pic:nvPicPr>
                        <pic:blipFill>
                          <a:blip r:embed="rId41"/>
                          <a:srcRect t="22056" b="14803"/>
                          <a:stretch>
                            <a:fillRect/>
                          </a:stretch>
                        </pic:blipFill>
                        <pic:spPr>
                          <a:xfrm>
                            <a:off x="0" y="0"/>
                            <a:ext cx="2863215" cy="2411730"/>
                          </a:xfrm>
                          <a:prstGeom prst="rect">
                            <a:avLst/>
                          </a:prstGeom>
                        </pic:spPr>
                      </pic:pic>
                    </a:graphicData>
                  </a:graphic>
                </wp:inline>
              </w:drawing>
            </w:r>
          </w:p>
        </w:tc>
        <w:tc>
          <w:tcPr>
            <w:tcW w:w="2409" w:type="pct"/>
            <w:tcBorders>
              <w:tl2br w:val="nil"/>
              <w:tr2bl w:val="nil"/>
            </w:tcBorders>
            <w:noWrap w:val="0"/>
            <w:vAlign w:val="center"/>
          </w:tcPr>
          <w:p w14:paraId="700E43D8">
            <w:pPr>
              <w:pStyle w:val="164"/>
              <w:keepNext w:val="0"/>
              <w:keepLines w:val="0"/>
              <w:pageBreakBefore w:val="0"/>
              <w:widowControl w:val="0"/>
              <w:kinsoku/>
              <w:wordWrap/>
              <w:overflowPunct/>
              <w:topLinePunct w:val="0"/>
              <w:autoSpaceDE w:val="0"/>
              <w:autoSpaceDN w:val="0"/>
              <w:bidi w:val="0"/>
              <w:adjustRightInd/>
              <w:snapToGrid w:val="0"/>
              <w:spacing w:after="0" w:line="240" w:lineRule="auto"/>
              <w:ind w:left="0" w:leftChars="0" w:firstLine="0"/>
              <w:jc w:val="center"/>
              <w:textAlignment w:val="baseline"/>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drawing>
                <wp:inline distT="0" distB="0" distL="114300" distR="114300">
                  <wp:extent cx="2734310" cy="2051685"/>
                  <wp:effectExtent l="0" t="0" r="8890" b="5715"/>
                  <wp:docPr id="38" name="图片 22" descr="F:/工作文件-郑/02-环境影响评价/06-明光新型钢丝生产线项目/现场照片/Marki_20250903_103344884.jpgMarki_20250903_103344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2" descr="F:/工作文件-郑/02-环境影响评价/06-明光新型钢丝生产线项目/现场照片/Marki_20250903_103344884.jpgMarki_20250903_103344884"/>
                          <pic:cNvPicPr>
                            <a:picLocks noChangeAspect="1"/>
                          </pic:cNvPicPr>
                        </pic:nvPicPr>
                        <pic:blipFill>
                          <a:blip r:embed="rId42"/>
                          <a:srcRect t="21871" b="21871"/>
                          <a:stretch>
                            <a:fillRect/>
                          </a:stretch>
                        </pic:blipFill>
                        <pic:spPr>
                          <a:xfrm>
                            <a:off x="0" y="0"/>
                            <a:ext cx="2734310" cy="2051685"/>
                          </a:xfrm>
                          <a:prstGeom prst="rect">
                            <a:avLst/>
                          </a:prstGeom>
                          <a:noFill/>
                          <a:ln>
                            <a:noFill/>
                          </a:ln>
                        </pic:spPr>
                      </pic:pic>
                    </a:graphicData>
                  </a:graphic>
                </wp:inline>
              </w:drawing>
            </w:r>
          </w:p>
        </w:tc>
      </w:tr>
      <w:tr w14:paraId="065067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0" w:hRule="atLeast"/>
          <w:jc w:val="center"/>
        </w:trPr>
        <w:tc>
          <w:tcPr>
            <w:tcW w:w="2590" w:type="pct"/>
            <w:tcBorders>
              <w:tl2br w:val="nil"/>
              <w:tr2bl w:val="nil"/>
            </w:tcBorders>
            <w:noWrap w:val="0"/>
            <w:vAlign w:val="center"/>
          </w:tcPr>
          <w:p w14:paraId="18B3E2BD">
            <w:pPr>
              <w:pStyle w:val="164"/>
              <w:keepNext w:val="0"/>
              <w:keepLines w:val="0"/>
              <w:pageBreakBefore w:val="0"/>
              <w:widowControl w:val="0"/>
              <w:kinsoku/>
              <w:wordWrap/>
              <w:overflowPunct/>
              <w:topLinePunct w:val="0"/>
              <w:autoSpaceDE w:val="0"/>
              <w:autoSpaceDN w:val="0"/>
              <w:bidi w:val="0"/>
              <w:adjustRightInd/>
              <w:snapToGrid w:val="0"/>
              <w:spacing w:after="0" w:line="240" w:lineRule="auto"/>
              <w:ind w:left="0" w:leftChars="0" w:firstLine="0"/>
              <w:jc w:val="center"/>
              <w:textAlignment w:val="baseline"/>
              <w:rPr>
                <w:rFonts w:hint="default" w:ascii="Times New Roman" w:hAnsi="Times New Roman" w:eastAsia="宋体" w:cs="Times New Roman"/>
                <w:bCs/>
                <w:color w:val="auto"/>
                <w:kern w:val="2"/>
                <w:sz w:val="24"/>
                <w:szCs w:val="24"/>
                <w:lang w:val="en-US" w:eastAsia="zh-CN"/>
              </w:rPr>
            </w:pPr>
            <w:r>
              <w:rPr>
                <w:rFonts w:hint="default" w:ascii="Times New Roman" w:hAnsi="Times New Roman" w:eastAsia="宋体" w:cs="Times New Roman"/>
                <w:bCs/>
                <w:color w:val="auto"/>
                <w:kern w:val="2"/>
                <w:sz w:val="24"/>
                <w:szCs w:val="24"/>
              </w:rPr>
              <w:t>西侧</w:t>
            </w:r>
            <w:r>
              <w:rPr>
                <w:rFonts w:hint="default" w:ascii="Times New Roman" w:hAnsi="Times New Roman" w:eastAsia="宋体" w:cs="Times New Roman"/>
                <w:bCs/>
                <w:color w:val="auto"/>
                <w:kern w:val="2"/>
                <w:sz w:val="24"/>
                <w:szCs w:val="24"/>
                <w:lang w:eastAsia="zh-CN"/>
              </w:rPr>
              <w:t>－</w:t>
            </w:r>
            <w:r>
              <w:rPr>
                <w:rFonts w:hint="default" w:ascii="Times New Roman" w:hAnsi="Times New Roman" w:eastAsia="宋体" w:cs="Times New Roman"/>
                <w:bCs/>
                <w:color w:val="auto"/>
                <w:kern w:val="2"/>
                <w:sz w:val="24"/>
                <w:szCs w:val="24"/>
                <w:lang w:val="en-US" w:eastAsia="zh-CN"/>
              </w:rPr>
              <w:t>仓库（原锅炉房）</w:t>
            </w:r>
          </w:p>
        </w:tc>
        <w:tc>
          <w:tcPr>
            <w:tcW w:w="2409" w:type="pct"/>
            <w:tcBorders>
              <w:tl2br w:val="nil"/>
              <w:tr2bl w:val="nil"/>
            </w:tcBorders>
            <w:noWrap w:val="0"/>
            <w:vAlign w:val="center"/>
          </w:tcPr>
          <w:p w14:paraId="1EE6ABDF">
            <w:pPr>
              <w:pStyle w:val="164"/>
              <w:keepNext w:val="0"/>
              <w:keepLines w:val="0"/>
              <w:pageBreakBefore w:val="0"/>
              <w:widowControl w:val="0"/>
              <w:kinsoku/>
              <w:wordWrap/>
              <w:overflowPunct/>
              <w:topLinePunct w:val="0"/>
              <w:autoSpaceDE w:val="0"/>
              <w:autoSpaceDN w:val="0"/>
              <w:bidi w:val="0"/>
              <w:adjustRightInd/>
              <w:snapToGrid w:val="0"/>
              <w:spacing w:after="0" w:line="240" w:lineRule="auto"/>
              <w:ind w:left="0" w:leftChars="0" w:firstLine="0"/>
              <w:jc w:val="center"/>
              <w:textAlignment w:val="baseline"/>
              <w:rPr>
                <w:rFonts w:hint="default" w:ascii="Times New Roman" w:hAnsi="Times New Roman" w:eastAsia="宋体" w:cs="Times New Roman"/>
                <w:bCs/>
                <w:color w:val="auto"/>
                <w:kern w:val="2"/>
                <w:sz w:val="24"/>
                <w:szCs w:val="24"/>
                <w:lang w:val="en-US" w:eastAsia="zh-CN"/>
              </w:rPr>
            </w:pPr>
            <w:r>
              <w:rPr>
                <w:rFonts w:hint="default" w:ascii="Times New Roman" w:hAnsi="Times New Roman" w:eastAsia="宋体" w:cs="Times New Roman"/>
                <w:bCs/>
                <w:color w:val="auto"/>
                <w:kern w:val="2"/>
                <w:sz w:val="24"/>
                <w:szCs w:val="24"/>
              </w:rPr>
              <w:t>南侧</w:t>
            </w:r>
            <w:r>
              <w:rPr>
                <w:rFonts w:hint="default" w:ascii="Times New Roman" w:hAnsi="Times New Roman" w:eastAsia="宋体" w:cs="Times New Roman"/>
                <w:bCs/>
                <w:color w:val="auto"/>
                <w:kern w:val="2"/>
                <w:sz w:val="24"/>
                <w:szCs w:val="24"/>
                <w:lang w:eastAsia="zh-CN"/>
              </w:rPr>
              <w:t>－</w:t>
            </w:r>
            <w:r>
              <w:rPr>
                <w:rFonts w:hint="default" w:ascii="Times New Roman" w:hAnsi="Times New Roman" w:eastAsia="宋体" w:cs="Times New Roman"/>
                <w:bCs/>
                <w:color w:val="auto"/>
                <w:kern w:val="2"/>
                <w:sz w:val="24"/>
                <w:szCs w:val="24"/>
                <w:lang w:val="en-US" w:eastAsia="zh-CN"/>
              </w:rPr>
              <w:t>办公楼</w:t>
            </w:r>
          </w:p>
        </w:tc>
      </w:tr>
      <w:tr w14:paraId="005FDF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0" w:hRule="atLeast"/>
          <w:jc w:val="center"/>
        </w:trPr>
        <w:tc>
          <w:tcPr>
            <w:tcW w:w="2590" w:type="pct"/>
            <w:tcBorders>
              <w:tl2br w:val="nil"/>
              <w:tr2bl w:val="nil"/>
            </w:tcBorders>
            <w:noWrap w:val="0"/>
            <w:vAlign w:val="center"/>
          </w:tcPr>
          <w:p w14:paraId="6D89DDC1">
            <w:pPr>
              <w:pStyle w:val="164"/>
              <w:keepNext w:val="0"/>
              <w:keepLines w:val="0"/>
              <w:pageBreakBefore w:val="0"/>
              <w:widowControl w:val="0"/>
              <w:kinsoku/>
              <w:wordWrap/>
              <w:overflowPunct/>
              <w:topLinePunct w:val="0"/>
              <w:autoSpaceDE w:val="0"/>
              <w:autoSpaceDN w:val="0"/>
              <w:bidi w:val="0"/>
              <w:adjustRightInd/>
              <w:snapToGrid w:val="0"/>
              <w:spacing w:after="0" w:line="240" w:lineRule="auto"/>
              <w:ind w:left="0" w:leftChars="0" w:firstLine="0"/>
              <w:jc w:val="center"/>
              <w:textAlignment w:val="baseline"/>
              <w:rPr>
                <w:rFonts w:hint="default" w:ascii="Times New Roman" w:hAnsi="Times New Roman" w:eastAsia="宋体" w:cs="Times New Roman"/>
                <w:bCs/>
                <w:color w:val="auto"/>
                <w:kern w:val="2"/>
                <w:sz w:val="24"/>
                <w:szCs w:val="24"/>
                <w:lang w:eastAsia="zh-CN"/>
              </w:rPr>
            </w:pPr>
            <w:r>
              <w:rPr>
                <w:rFonts w:hint="default" w:ascii="Times New Roman" w:hAnsi="Times New Roman" w:eastAsia="宋体" w:cs="Times New Roman"/>
                <w:bCs/>
                <w:color w:val="auto"/>
                <w:kern w:val="2"/>
                <w:sz w:val="24"/>
                <w:szCs w:val="24"/>
                <w:lang w:eastAsia="zh-CN"/>
              </w:rPr>
              <w:drawing>
                <wp:inline distT="0" distB="0" distL="114300" distR="114300">
                  <wp:extent cx="2723515" cy="2628265"/>
                  <wp:effectExtent l="0" t="0" r="635" b="635"/>
                  <wp:docPr id="51" name="图片 51" descr="0aa8fbff27435d60add6c14875729f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0aa8fbff27435d60add6c14875729f62"/>
                          <pic:cNvPicPr>
                            <a:picLocks noChangeAspect="1"/>
                          </pic:cNvPicPr>
                        </pic:nvPicPr>
                        <pic:blipFill>
                          <a:blip r:embed="rId43"/>
                          <a:srcRect b="27659"/>
                          <a:stretch>
                            <a:fillRect/>
                          </a:stretch>
                        </pic:blipFill>
                        <pic:spPr>
                          <a:xfrm>
                            <a:off x="0" y="0"/>
                            <a:ext cx="2723515" cy="2628265"/>
                          </a:xfrm>
                          <a:prstGeom prst="rect">
                            <a:avLst/>
                          </a:prstGeom>
                        </pic:spPr>
                      </pic:pic>
                    </a:graphicData>
                  </a:graphic>
                </wp:inline>
              </w:drawing>
            </w:r>
          </w:p>
        </w:tc>
        <w:tc>
          <w:tcPr>
            <w:tcW w:w="2409" w:type="pct"/>
            <w:tcBorders>
              <w:tl2br w:val="nil"/>
              <w:tr2bl w:val="nil"/>
            </w:tcBorders>
            <w:noWrap w:val="0"/>
            <w:vAlign w:val="center"/>
          </w:tcPr>
          <w:p w14:paraId="72560700">
            <w:pPr>
              <w:pStyle w:val="164"/>
              <w:keepNext w:val="0"/>
              <w:keepLines w:val="0"/>
              <w:pageBreakBefore w:val="0"/>
              <w:widowControl w:val="0"/>
              <w:kinsoku/>
              <w:wordWrap/>
              <w:overflowPunct/>
              <w:topLinePunct w:val="0"/>
              <w:autoSpaceDE w:val="0"/>
              <w:autoSpaceDN w:val="0"/>
              <w:bidi w:val="0"/>
              <w:adjustRightInd/>
              <w:snapToGrid w:val="0"/>
              <w:spacing w:after="0" w:line="240" w:lineRule="auto"/>
              <w:ind w:left="0" w:leftChars="0" w:firstLine="0"/>
              <w:jc w:val="center"/>
              <w:textAlignment w:val="baseline"/>
              <w:rPr>
                <w:rFonts w:hint="default" w:ascii="Times New Roman" w:hAnsi="Times New Roman" w:eastAsia="宋体" w:cs="Times New Roman"/>
                <w:bCs/>
                <w:color w:val="auto"/>
                <w:kern w:val="2"/>
                <w:sz w:val="24"/>
                <w:szCs w:val="24"/>
                <w:lang w:eastAsia="zh-CN"/>
              </w:rPr>
            </w:pPr>
            <w:r>
              <w:rPr>
                <w:rFonts w:hint="default" w:ascii="Times New Roman" w:hAnsi="Times New Roman" w:eastAsia="宋体" w:cs="Times New Roman"/>
                <w:bCs/>
                <w:color w:val="auto"/>
                <w:kern w:val="2"/>
                <w:sz w:val="24"/>
                <w:szCs w:val="24"/>
                <w:lang w:eastAsia="zh-CN"/>
              </w:rPr>
              <w:drawing>
                <wp:inline distT="0" distB="0" distL="114300" distR="114300">
                  <wp:extent cx="1970405" cy="2628265"/>
                  <wp:effectExtent l="0" t="0" r="10795" b="635"/>
                  <wp:docPr id="56" name="图片 56" descr="7890273ecb3b2d437b4d6f1dfb00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7890273ecb3b2d437b4d6f1dfb002988"/>
                          <pic:cNvPicPr>
                            <a:picLocks noChangeAspect="1"/>
                          </pic:cNvPicPr>
                        </pic:nvPicPr>
                        <pic:blipFill>
                          <a:blip r:embed="rId44"/>
                          <a:stretch>
                            <a:fillRect/>
                          </a:stretch>
                        </pic:blipFill>
                        <pic:spPr>
                          <a:xfrm>
                            <a:off x="0" y="0"/>
                            <a:ext cx="1970405" cy="2628265"/>
                          </a:xfrm>
                          <a:prstGeom prst="rect">
                            <a:avLst/>
                          </a:prstGeom>
                        </pic:spPr>
                      </pic:pic>
                    </a:graphicData>
                  </a:graphic>
                </wp:inline>
              </w:drawing>
            </w:r>
          </w:p>
        </w:tc>
      </w:tr>
      <w:tr w14:paraId="06DC15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0" w:hRule="atLeast"/>
          <w:jc w:val="center"/>
        </w:trPr>
        <w:tc>
          <w:tcPr>
            <w:tcW w:w="2590" w:type="pct"/>
            <w:tcBorders>
              <w:tl2br w:val="nil"/>
              <w:tr2bl w:val="nil"/>
            </w:tcBorders>
            <w:noWrap w:val="0"/>
            <w:vAlign w:val="center"/>
          </w:tcPr>
          <w:p w14:paraId="0EAD7315">
            <w:pPr>
              <w:pStyle w:val="164"/>
              <w:keepNext w:val="0"/>
              <w:keepLines w:val="0"/>
              <w:pageBreakBefore w:val="0"/>
              <w:widowControl w:val="0"/>
              <w:kinsoku/>
              <w:wordWrap/>
              <w:overflowPunct/>
              <w:topLinePunct w:val="0"/>
              <w:autoSpaceDE w:val="0"/>
              <w:autoSpaceDN w:val="0"/>
              <w:bidi w:val="0"/>
              <w:adjustRightInd/>
              <w:snapToGrid w:val="0"/>
              <w:spacing w:after="0" w:line="240" w:lineRule="auto"/>
              <w:ind w:left="0" w:leftChars="0" w:firstLine="0"/>
              <w:jc w:val="center"/>
              <w:textAlignment w:val="baseline"/>
              <w:rPr>
                <w:rFonts w:hint="default" w:ascii="Times New Roman" w:hAnsi="Times New Roman" w:eastAsia="宋体" w:cs="Times New Roman"/>
                <w:bCs/>
                <w:color w:val="auto"/>
                <w:kern w:val="2"/>
                <w:sz w:val="24"/>
                <w:szCs w:val="24"/>
              </w:rPr>
            </w:pPr>
            <w:r>
              <w:rPr>
                <w:rFonts w:hint="default" w:ascii="Times New Roman" w:hAnsi="Times New Roman" w:eastAsia="宋体" w:cs="Times New Roman"/>
                <w:bCs/>
                <w:color w:val="auto"/>
                <w:kern w:val="2"/>
                <w:sz w:val="24"/>
                <w:szCs w:val="24"/>
                <w:lang w:val="en-US" w:eastAsia="zh-CN"/>
              </w:rPr>
              <w:t>4#车间</w:t>
            </w:r>
            <w:r>
              <w:rPr>
                <w:rFonts w:hint="default" w:ascii="Times New Roman" w:hAnsi="Times New Roman" w:eastAsia="宋体" w:cs="Times New Roman"/>
                <w:bCs/>
                <w:color w:val="auto"/>
                <w:kern w:val="2"/>
                <w:sz w:val="24"/>
                <w:szCs w:val="24"/>
              </w:rPr>
              <w:t>现状图</w:t>
            </w:r>
          </w:p>
        </w:tc>
        <w:tc>
          <w:tcPr>
            <w:tcW w:w="2409" w:type="pct"/>
            <w:tcBorders>
              <w:tl2br w:val="nil"/>
              <w:tr2bl w:val="nil"/>
            </w:tcBorders>
            <w:noWrap w:val="0"/>
            <w:vAlign w:val="center"/>
          </w:tcPr>
          <w:p w14:paraId="15DC385E">
            <w:pPr>
              <w:pStyle w:val="164"/>
              <w:keepNext w:val="0"/>
              <w:keepLines w:val="0"/>
              <w:pageBreakBefore w:val="0"/>
              <w:widowControl w:val="0"/>
              <w:kinsoku/>
              <w:wordWrap/>
              <w:overflowPunct/>
              <w:topLinePunct w:val="0"/>
              <w:autoSpaceDE w:val="0"/>
              <w:autoSpaceDN w:val="0"/>
              <w:bidi w:val="0"/>
              <w:adjustRightInd/>
              <w:snapToGrid w:val="0"/>
              <w:spacing w:after="0" w:line="240" w:lineRule="auto"/>
              <w:ind w:left="0" w:leftChars="0" w:firstLine="0"/>
              <w:jc w:val="center"/>
              <w:textAlignment w:val="baseline"/>
              <w:rPr>
                <w:rFonts w:hint="default" w:ascii="Times New Roman" w:hAnsi="Times New Roman" w:eastAsia="宋体" w:cs="Times New Roman"/>
                <w:bCs/>
                <w:color w:val="auto"/>
                <w:kern w:val="2"/>
                <w:sz w:val="24"/>
                <w:szCs w:val="24"/>
              </w:rPr>
            </w:pPr>
            <w:r>
              <w:rPr>
                <w:rFonts w:hint="default" w:ascii="Times New Roman" w:hAnsi="Times New Roman" w:eastAsia="宋体" w:cs="Times New Roman"/>
                <w:bCs/>
                <w:color w:val="auto"/>
                <w:kern w:val="2"/>
                <w:sz w:val="24"/>
                <w:szCs w:val="24"/>
              </w:rPr>
              <w:t>4#车间</w:t>
            </w:r>
            <w:r>
              <w:rPr>
                <w:rFonts w:hint="default" w:ascii="Times New Roman" w:hAnsi="Times New Roman" w:eastAsia="宋体" w:cs="Times New Roman"/>
                <w:bCs/>
                <w:color w:val="auto"/>
                <w:kern w:val="2"/>
                <w:sz w:val="24"/>
                <w:szCs w:val="24"/>
                <w:lang w:val="en-US" w:eastAsia="zh-CN"/>
              </w:rPr>
              <w:t>外扩厂房位置</w:t>
            </w:r>
            <w:r>
              <w:rPr>
                <w:rFonts w:hint="default" w:ascii="Times New Roman" w:hAnsi="Times New Roman" w:eastAsia="宋体" w:cs="Times New Roman"/>
                <w:bCs/>
                <w:color w:val="auto"/>
                <w:kern w:val="2"/>
                <w:sz w:val="24"/>
                <w:szCs w:val="24"/>
              </w:rPr>
              <w:t>现状图</w:t>
            </w:r>
          </w:p>
        </w:tc>
      </w:tr>
    </w:tbl>
    <w:p w14:paraId="0E4CB61E">
      <w:pPr>
        <w:rPr>
          <w:rFonts w:hint="default" w:ascii="Times New Roman" w:hAnsi="Times New Roman" w:cs="Times New Roman"/>
          <w:color w:val="auto"/>
        </w:rPr>
      </w:pPr>
    </w:p>
    <w:p w14:paraId="77566EDB">
      <w:pPr>
        <w:pStyle w:val="4"/>
        <w:keepNext w:val="0"/>
        <w:snapToGrid/>
        <w:spacing w:beforeLines="0" w:after="189"/>
        <w:rPr>
          <w:rFonts w:hint="default" w:ascii="Times New Roman" w:hAnsi="Times New Roman" w:cs="Times New Roman"/>
          <w:bCs/>
          <w:color w:val="auto"/>
          <w:sz w:val="28"/>
        </w:rPr>
        <w:sectPr>
          <w:pgSz w:w="11905" w:h="16838"/>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bookmarkStart w:id="497" w:name="_Toc20868"/>
      <w:bookmarkStart w:id="498" w:name="_Toc30781"/>
      <w:bookmarkStart w:id="499" w:name="_Toc446428319"/>
      <w:bookmarkStart w:id="500" w:name="_Toc11078"/>
      <w:bookmarkStart w:id="501" w:name="_Toc484793849"/>
      <w:bookmarkStart w:id="502" w:name="_Toc12307"/>
      <w:bookmarkStart w:id="503" w:name="_Toc451166819"/>
      <w:bookmarkStart w:id="504" w:name="_Toc27582"/>
      <w:bookmarkStart w:id="505" w:name="_Toc14395"/>
      <w:bookmarkStart w:id="506" w:name="_Toc17682"/>
      <w:bookmarkStart w:id="507" w:name="_Toc12392"/>
      <w:bookmarkStart w:id="508" w:name="_Toc452714148"/>
      <w:bookmarkStart w:id="509" w:name="_Toc16128"/>
    </w:p>
    <w:p w14:paraId="0B994C5D">
      <w:pPr>
        <w:pStyle w:val="3"/>
        <w:spacing w:before="113" w:beforeLines="30" w:after="120" w:line="260" w:lineRule="auto"/>
        <w:ind w:left="431" w:hanging="431"/>
        <w:rPr>
          <w:rFonts w:hint="default" w:ascii="Times New Roman" w:hAnsi="Times New Roman" w:cs="Times New Roman"/>
          <w:b w:val="0"/>
          <w:bCs w:val="0"/>
          <w:color w:val="auto"/>
          <w:sz w:val="28"/>
        </w:rPr>
      </w:pPr>
      <w:bookmarkStart w:id="510" w:name="_Toc15865"/>
      <w:bookmarkStart w:id="511" w:name="_Toc15956"/>
      <w:bookmarkStart w:id="512" w:name="_Toc26481"/>
      <w:bookmarkStart w:id="513" w:name="_Toc19361"/>
      <w:bookmarkStart w:id="514" w:name="_Toc3025"/>
      <w:r>
        <w:rPr>
          <w:rFonts w:hint="default" w:ascii="Times New Roman" w:hAnsi="Times New Roman" w:cs="Times New Roman"/>
          <w:b w:val="0"/>
          <w:bCs w:val="0"/>
          <w:color w:val="auto"/>
          <w:sz w:val="28"/>
        </w:rPr>
        <w:t>附图</w:t>
      </w:r>
      <w:r>
        <w:rPr>
          <w:rFonts w:hint="default" w:ascii="Times New Roman" w:hAnsi="Times New Roman" w:cs="Times New Roman"/>
          <w:b w:val="0"/>
          <w:bCs w:val="0"/>
          <w:color w:val="auto"/>
          <w:sz w:val="28"/>
          <w:lang w:val="en-US" w:eastAsia="zh-CN"/>
        </w:rPr>
        <w:t>十</w:t>
      </w:r>
      <w:r>
        <w:rPr>
          <w:rFonts w:hint="default" w:ascii="Times New Roman" w:hAnsi="Times New Roman" w:cs="Times New Roman"/>
          <w:b w:val="0"/>
          <w:bCs w:val="0"/>
          <w:color w:val="auto"/>
          <w:sz w:val="28"/>
        </w:rPr>
        <w:t xml:space="preserve">  敏感目标图</w:t>
      </w:r>
      <w:bookmarkEnd w:id="510"/>
      <w:bookmarkEnd w:id="511"/>
      <w:bookmarkEnd w:id="512"/>
      <w:bookmarkEnd w:id="513"/>
      <w:bookmarkEnd w:id="514"/>
    </w:p>
    <w:p w14:paraId="5F1B9A3A">
      <w:pPr>
        <w:pStyle w:val="4"/>
        <w:keepNext w:val="0"/>
        <w:snapToGrid/>
        <w:spacing w:beforeLines="0" w:after="189"/>
        <w:jc w:val="center"/>
        <w:rPr>
          <w:rFonts w:hint="default" w:ascii="Times New Roman" w:hAnsi="Times New Roman" w:eastAsia="黑体" w:cs="Times New Roman"/>
          <w:bCs/>
          <w:color w:val="auto"/>
          <w:sz w:val="28"/>
          <w:lang w:eastAsia="zh-CN"/>
        </w:rPr>
        <w:sectPr>
          <w:pgSz w:w="16838" w:h="11905" w:orient="landscape"/>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bookmarkStart w:id="515" w:name="_Toc11850"/>
      <w:r>
        <w:rPr>
          <w:rFonts w:hint="default" w:ascii="Times New Roman" w:hAnsi="Times New Roman" w:eastAsia="黑体" w:cs="Times New Roman"/>
          <w:bCs/>
          <w:color w:val="auto"/>
          <w:sz w:val="28"/>
          <w:lang w:eastAsia="zh-CN"/>
        </w:rPr>
        <w:drawing>
          <wp:inline distT="0" distB="0" distL="114300" distR="114300">
            <wp:extent cx="6657975" cy="5283835"/>
            <wp:effectExtent l="0" t="0" r="9525" b="12065"/>
            <wp:docPr id="29" name="图片 29" descr="风险评价范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风险评价范围"/>
                    <pic:cNvPicPr>
                      <a:picLocks noChangeAspect="1"/>
                    </pic:cNvPicPr>
                  </pic:nvPicPr>
                  <pic:blipFill>
                    <a:blip r:embed="rId45"/>
                    <a:stretch>
                      <a:fillRect/>
                    </a:stretch>
                  </pic:blipFill>
                  <pic:spPr>
                    <a:xfrm>
                      <a:off x="0" y="0"/>
                      <a:ext cx="6657975" cy="5283835"/>
                    </a:xfrm>
                    <a:prstGeom prst="rect">
                      <a:avLst/>
                    </a:prstGeom>
                  </pic:spPr>
                </pic:pic>
              </a:graphicData>
            </a:graphic>
          </wp:inline>
        </w:drawing>
      </w:r>
      <w:bookmarkEnd w:id="515"/>
    </w:p>
    <w:p w14:paraId="73C0ABF6">
      <w:pPr>
        <w:pStyle w:val="3"/>
        <w:spacing w:before="113" w:beforeLines="30" w:after="120" w:line="260" w:lineRule="auto"/>
        <w:ind w:left="431" w:hanging="431"/>
        <w:rPr>
          <w:rFonts w:hint="default" w:ascii="Times New Roman" w:hAnsi="Times New Roman" w:cs="Times New Roman"/>
          <w:b w:val="0"/>
          <w:bCs w:val="0"/>
          <w:color w:val="auto"/>
          <w:sz w:val="28"/>
        </w:rPr>
      </w:pPr>
      <w:bookmarkStart w:id="516" w:name="_Toc11929"/>
      <w:r>
        <w:rPr>
          <w:rFonts w:hint="default" w:ascii="Times New Roman" w:hAnsi="Times New Roman" w:cs="Times New Roman"/>
          <w:b w:val="0"/>
          <w:bCs w:val="0"/>
          <w:color w:val="auto"/>
          <w:sz w:val="28"/>
        </w:rPr>
        <w:t>附图</w:t>
      </w:r>
      <w:r>
        <w:rPr>
          <w:rFonts w:hint="default" w:ascii="Times New Roman" w:hAnsi="Times New Roman" w:cs="Times New Roman"/>
          <w:b w:val="0"/>
          <w:bCs w:val="0"/>
          <w:color w:val="auto"/>
          <w:sz w:val="28"/>
          <w:lang w:val="en-US" w:eastAsia="zh-CN"/>
        </w:rPr>
        <w:t>十一</w:t>
      </w:r>
      <w:r>
        <w:rPr>
          <w:rFonts w:hint="default" w:ascii="Times New Roman" w:hAnsi="Times New Roman" w:cs="Times New Roman"/>
          <w:b w:val="0"/>
          <w:bCs w:val="0"/>
          <w:color w:val="auto"/>
          <w:sz w:val="28"/>
        </w:rPr>
        <w:t xml:space="preserve">  分区防渗图</w:t>
      </w:r>
      <w:bookmarkEnd w:id="516"/>
    </w:p>
    <w:p w14:paraId="1A385A3D">
      <w:pPr>
        <w:rPr>
          <w:rFonts w:hint="default" w:ascii="Times New Roman" w:hAnsi="Times New Roman" w:eastAsia="宋体" w:cs="Times New Roman"/>
          <w:color w:val="auto"/>
          <w:lang w:eastAsia="zh-CN"/>
        </w:rPr>
        <w:sectPr>
          <w:pgSz w:w="16838" w:h="11905" w:orient="landscape"/>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pPr>
    </w:p>
    <w:bookmarkEnd w:id="497"/>
    <w:bookmarkEnd w:id="498"/>
    <w:bookmarkEnd w:id="499"/>
    <w:bookmarkEnd w:id="500"/>
    <w:bookmarkEnd w:id="501"/>
    <w:bookmarkEnd w:id="502"/>
    <w:bookmarkEnd w:id="503"/>
    <w:bookmarkEnd w:id="504"/>
    <w:bookmarkEnd w:id="505"/>
    <w:bookmarkEnd w:id="506"/>
    <w:bookmarkEnd w:id="507"/>
    <w:bookmarkEnd w:id="508"/>
    <w:bookmarkEnd w:id="509"/>
    <w:p w14:paraId="2F89138D">
      <w:pPr>
        <w:rPr>
          <w:rFonts w:hint="default" w:ascii="Times New Roman" w:hAnsi="Times New Roman" w:cs="Times New Roman"/>
          <w:color w:val="auto"/>
        </w:rPr>
      </w:pPr>
    </w:p>
    <w:sectPr>
      <w:headerReference r:id="rId13" w:type="default"/>
      <w:footerReference r:id="rId14" w:type="default"/>
      <w:pgSz w:w="11905" w:h="16838"/>
      <w:pgMar w:top="1417" w:right="1417" w:bottom="1417" w:left="1417" w:header="964" w:footer="964" w:gutter="0"/>
      <w:pgBorders>
        <w:top w:val="none" w:sz="0" w:space="0"/>
        <w:left w:val="none" w:sz="0" w:space="0"/>
        <w:bottom w:val="none" w:sz="0" w:space="0"/>
        <w:right w:val="none" w:sz="0" w:space="0"/>
      </w:pgBorders>
      <w:cols w:space="720" w:num="1"/>
      <w:docGrid w:type="lines" w:linePitch="378"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方正楷体简体">
    <w:altName w:val="宋体"/>
    <w:panose1 w:val="03000509000000000000"/>
    <w:charset w:val="86"/>
    <w:family w:val="auto"/>
    <w:pitch w:val="default"/>
    <w:sig w:usb0="00000000" w:usb1="0000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方正小标宋_GBK">
    <w:altName w:val="微软雅黑"/>
    <w:panose1 w:val="02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Wingdings 2">
    <w:panose1 w:val="05020102010507070707"/>
    <w:charset w:val="02"/>
    <w:family w:val="roman"/>
    <w:pitch w:val="default"/>
    <w:sig w:usb0="00000000" w:usb1="00000000" w:usb2="00000000" w:usb3="00000000" w:csb0="80000000" w:csb1="00000000"/>
  </w:font>
  <w:font w:name="TimesNewRomanPSMT">
    <w:altName w:val="Times New Roman"/>
    <w:panose1 w:val="00000000000000000000"/>
    <w:charset w:val="00"/>
    <w:family w:val="auto"/>
    <w:pitch w:val="default"/>
    <w:sig w:usb0="00000000" w:usb1="00000000" w:usb2="00000000" w:usb3="00000000" w:csb0="00040001" w:csb1="00000000"/>
  </w:font>
  <w:font w:name="Segoe UI">
    <w:panose1 w:val="020B0502040204020203"/>
    <w:charset w:val="00"/>
    <w:family w:val="swiss"/>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EB33BA">
    <w:pPr>
      <w:pStyle w:val="24"/>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D5E76B">
    <w:pPr>
      <w:pStyle w:val="24"/>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88F971">
    <w:pPr>
      <w:pStyle w:val="24"/>
      <w:ind w:right="360"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9" name="文本框 20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43BEB23">
                          <w:pPr>
                            <w:pStyle w:val="24"/>
                          </w:pPr>
                          <w:r>
                            <w:fldChar w:fldCharType="begin"/>
                          </w:r>
                          <w:r>
                            <w:instrText xml:space="preserve"> PAGE  \* MERGEFORMAT </w:instrText>
                          </w:r>
                          <w:r>
                            <w:fldChar w:fldCharType="separate"/>
                          </w:r>
                          <w:r>
                            <w:t>1</w:t>
                          </w:r>
                          <w:r>
                            <w:fldChar w:fldCharType="end"/>
                          </w:r>
                        </w:p>
                      </w:txbxContent>
                    </wps:txbx>
                    <wps:bodyPr wrap="none" lIns="0" tIns="0" rIns="0" bIns="0">
                      <a:spAutoFit/>
                    </wps:bodyPr>
                  </wps:wsp>
                </a:graphicData>
              </a:graphic>
            </wp:anchor>
          </w:drawing>
        </mc:Choice>
        <mc:Fallback>
          <w:pict>
            <v:shape id="文本框 2062"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M6pebnPAAAABQEAAA8AAAAAAAAAAQAgAAAAIgAAAGRycy9kb3ducmV2LnhtbFBL&#10;AQIUABQAAAAIAIdO4kBVYc+IxgEAAJEDAAAOAAAAAAAAAAEAIAAAAB4BAABkcnMvZTJvRG9jLnht&#10;bFBLBQYAAAAABgAGAFkBAABWBQAAAAA=&#10;">
              <v:fill on="f" focussize="0,0"/>
              <v:stroke on="f"/>
              <v:imagedata o:title=""/>
              <o:lock v:ext="edit" aspectratio="f"/>
              <v:textbox inset="0mm,0mm,0mm,0mm" style="mso-fit-shape-to-text:t;">
                <w:txbxContent>
                  <w:p w14:paraId="643BEB23">
                    <w:pPr>
                      <w:pStyle w:val="2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F5C84C">
    <w:pPr>
      <w:pStyle w:val="24"/>
      <w:ind w:right="360" w:firstLine="360"/>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20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475FCD5">
                          <w:pPr>
                            <w:pStyle w:val="24"/>
                          </w:pPr>
                          <w:r>
                            <w:fldChar w:fldCharType="begin"/>
                          </w:r>
                          <w:r>
                            <w:instrText xml:space="preserve"> PAGE  \* MERGEFORMAT </w:instrText>
                          </w:r>
                          <w:r>
                            <w:fldChar w:fldCharType="separate"/>
                          </w:r>
                          <w:r>
                            <w:t>33</w:t>
                          </w:r>
                          <w:r>
                            <w:fldChar w:fldCharType="end"/>
                          </w:r>
                        </w:p>
                      </w:txbxContent>
                    </wps:txbx>
                    <wps:bodyPr wrap="none" lIns="0" tIns="0" rIns="0" bIns="0">
                      <a:spAutoFit/>
                    </wps:bodyPr>
                  </wps:wsp>
                </a:graphicData>
              </a:graphic>
            </wp:anchor>
          </w:drawing>
        </mc:Choice>
        <mc:Fallback>
          <w:pict>
            <v:shape id="文本框 2063"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zql5uc8AAAAFAQAADwAAAAAAAAABACAAAAAiAAAAZHJzL2Rvd25yZXYueG1sUEsB&#10;AhQAFAAAAAgAh07iQCyc737FAQAAkQMAAA4AAAAAAAAAAQAgAAAAHgEAAGRycy9lMm9Eb2MueG1s&#10;UEsFBgAAAAAGAAYAWQEAAFUFAAAAAA==&#10;">
              <v:fill on="f" focussize="0,0"/>
              <v:stroke on="f"/>
              <v:imagedata o:title=""/>
              <o:lock v:ext="edit" aspectratio="f"/>
              <v:textbox inset="0mm,0mm,0mm,0mm" style="mso-fit-shape-to-text:t;">
                <w:txbxContent>
                  <w:p w14:paraId="0475FCD5">
                    <w:pPr>
                      <w:pStyle w:val="24"/>
                    </w:pPr>
                    <w:r>
                      <w:fldChar w:fldCharType="begin"/>
                    </w:r>
                    <w:r>
                      <w:instrText xml:space="preserve"> PAGE  \* MERGEFORMAT </w:instrText>
                    </w:r>
                    <w:r>
                      <w:fldChar w:fldCharType="separate"/>
                    </w:r>
                    <w:r>
                      <w:t>33</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FE6A2E">
    <w:pPr>
      <w:pStyle w:val="24"/>
      <w:jc w:val="center"/>
    </w:pPr>
    <w: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33CFCD7">
                          <w:pPr>
                            <w:pStyle w:val="24"/>
                            <w:jc w:val="center"/>
                          </w:pPr>
                          <w:r>
                            <w:fldChar w:fldCharType="begin"/>
                          </w:r>
                          <w:r>
                            <w:instrText xml:space="preserve">PAGE   \* MERGEFORMAT</w:instrText>
                          </w:r>
                          <w:r>
                            <w:fldChar w:fldCharType="separate"/>
                          </w:r>
                          <w:r>
                            <w:rPr>
                              <w:lang w:val="zh-CN"/>
                            </w:rPr>
                            <w:t>106</w:t>
                          </w:r>
                          <w:r>
                            <w:fldChar w:fldCharType="end"/>
                          </w:r>
                        </w:p>
                      </w:txbxContent>
                    </wps:txbx>
                    <wps:bodyPr wrap="none" lIns="0" tIns="0" rIns="0" bIns="0">
                      <a:spAutoFit/>
                    </wps:bodyPr>
                  </wps:wsp>
                </a:graphicData>
              </a:graphic>
            </wp:anchor>
          </w:drawing>
        </mc:Choice>
        <mc:Fallback>
          <w:pict>
            <v:shape id="文本框 24"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thgjGcMBAACPAwAADgAAAGRycy9lMm9Eb2MueG1srVPNjtMwEL6vxDtY&#10;vlNnK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uAk4d8ctTvz888f51+P54TtZ&#10;vskC9QFqzLsLmJmG937A5NkP6My8BxVt/iIjgnGU93SRVw6JiPxotVytKgwJjM0XxGdPz0OE9EF6&#10;S7LR0IjzK7Ly4ydIY+qckqs5f6uNKTM07i8HYmYPy72PPWYrDbthIrTz7Qn59Dj6hjrcdErMR4fK&#10;5i2ZjTgbu8nINSC8OyQsXPrJqCPUVAznVBhNO5UX4c97yXr6jz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C2GCMZwwEAAI8DAAAOAAAAAAAAAAEAIAAAAB4BAABkcnMvZTJvRG9jLnhtbFBL&#10;BQYAAAAABgAGAFkBAABTBQAAAAA=&#10;">
              <v:fill on="f" focussize="0,0"/>
              <v:stroke on="f"/>
              <v:imagedata o:title=""/>
              <o:lock v:ext="edit" aspectratio="f"/>
              <v:textbox inset="0mm,0mm,0mm,0mm" style="mso-fit-shape-to-text:t;">
                <w:txbxContent>
                  <w:p w14:paraId="733CFCD7">
                    <w:pPr>
                      <w:pStyle w:val="24"/>
                      <w:jc w:val="center"/>
                    </w:pPr>
                    <w:r>
                      <w:fldChar w:fldCharType="begin"/>
                    </w:r>
                    <w:r>
                      <w:instrText xml:space="preserve">PAGE   \* MERGEFORMAT</w:instrText>
                    </w:r>
                    <w:r>
                      <w:fldChar w:fldCharType="separate"/>
                    </w:r>
                    <w:r>
                      <w:rPr>
                        <w:lang w:val="zh-CN"/>
                      </w:rPr>
                      <w:t>106</w:t>
                    </w:r>
                    <w:r>
                      <w:fldChar w:fldCharType="end"/>
                    </w:r>
                  </w:p>
                </w:txbxContent>
              </v:textbox>
            </v:shape>
          </w:pict>
        </mc:Fallback>
      </mc:AlternateContent>
    </w:r>
  </w:p>
  <w:p w14:paraId="0A00FC79">
    <w:pPr>
      <w:pStyle w:val="24"/>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975E05">
    <w:pPr>
      <w:pStyle w:val="24"/>
      <w:ind w:right="360" w:firstLine="36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20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8F27097">
                          <w:pPr>
                            <w:pStyle w:val="24"/>
                          </w:pPr>
                          <w:r>
                            <w:fldChar w:fldCharType="begin"/>
                          </w:r>
                          <w:r>
                            <w:instrText xml:space="preserve"> PAGE  \* MERGEFORMAT </w:instrText>
                          </w:r>
                          <w:r>
                            <w:fldChar w:fldCharType="separate"/>
                          </w:r>
                          <w:r>
                            <w:t>34</w:t>
                          </w:r>
                          <w:r>
                            <w:fldChar w:fldCharType="end"/>
                          </w:r>
                        </w:p>
                      </w:txbxContent>
                    </wps:txbx>
                    <wps:bodyPr wrap="none" lIns="0" tIns="0" rIns="0" bIns="0">
                      <a:spAutoFit/>
                    </wps:bodyPr>
                  </wps:wsp>
                </a:graphicData>
              </a:graphic>
            </wp:anchor>
          </w:drawing>
        </mc:Choice>
        <mc:Fallback>
          <w:pict>
            <v:shape id="文本框 2064"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zql5uc8AAAAFAQAADwAAAAAAAAABACAAAAAiAAAAZHJzL2Rvd25yZXYueG1sUEsB&#10;AhQAFAAAAAgAh07iQPzUCRbFAQAAkQMAAA4AAAAAAAAAAQAgAAAAHgEAAGRycy9lMm9Eb2MueG1s&#10;UEsFBgAAAAAGAAYAWQEAAFUFAAAAAA==&#10;">
              <v:fill on="f" focussize="0,0"/>
              <v:stroke on="f"/>
              <v:imagedata o:title=""/>
              <o:lock v:ext="edit" aspectratio="f"/>
              <v:textbox inset="0mm,0mm,0mm,0mm" style="mso-fit-shape-to-text:t;">
                <w:txbxContent>
                  <w:p w14:paraId="78F27097">
                    <w:pPr>
                      <w:pStyle w:val="24"/>
                    </w:pPr>
                    <w:r>
                      <w:fldChar w:fldCharType="begin"/>
                    </w:r>
                    <w:r>
                      <w:instrText xml:space="preserve"> PAGE  \* MERGEFORMAT </w:instrText>
                    </w:r>
                    <w:r>
                      <w:fldChar w:fldCharType="separate"/>
                    </w:r>
                    <w:r>
                      <w:t>34</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BF97BD">
    <w:pPr>
      <w:pStyle w:val="24"/>
      <w:ind w:right="360"/>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5FB13E3">
                          <w:pPr>
                            <w:pStyle w:val="24"/>
                          </w:pPr>
                          <w:r>
                            <w:rPr>
                              <w:rFonts w:hint="eastAsia"/>
                            </w:rPr>
                            <w:fldChar w:fldCharType="begin"/>
                          </w:r>
                          <w:r>
                            <w:rPr>
                              <w:rFonts w:hint="eastAsia"/>
                            </w:rPr>
                            <w:instrText xml:space="preserve"> PAGE  \* MERGEFORMAT </w:instrText>
                          </w:r>
                          <w:r>
                            <w:rPr>
                              <w:rFonts w:hint="eastAsia"/>
                            </w:rPr>
                            <w:fldChar w:fldCharType="separate"/>
                          </w:r>
                          <w:r>
                            <w:t>153</w:t>
                          </w:r>
                          <w:r>
                            <w:rPr>
                              <w:rFonts w:hint="eastAsia"/>
                            </w:rPr>
                            <w:fldChar w:fldCharType="end"/>
                          </w:r>
                        </w:p>
                      </w:txbxContent>
                    </wps:txbx>
                    <wps:bodyPr vert="horz" wrap="none" lIns="0" tIns="0" rIns="0" bIns="0" anchor="t" anchorCtr="0">
                      <a:spAutoFit/>
                    </wps:bodyPr>
                  </wps:wsp>
                </a:graphicData>
              </a:graphic>
            </wp:anchor>
          </w:drawing>
        </mc:Choice>
        <mc:Fallback>
          <w:pict>
            <v:shape id="文本框 2051"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OqXm5zwAAAAUBAAAPAAAAAAAAAAEAIAAAACIA&#10;AABkcnMvZG93bnJldi54bWxQSwECFAAUAAAACACHTuJAEWKZBtkBAAC2AwAADgAAAAAAAAABACAA&#10;AAAeAQAAZHJzL2Uyb0RvYy54bWxQSwUGAAAAAAYABgBZAQAAaQUAAAAA&#10;">
              <v:fill on="f" focussize="0,0"/>
              <v:stroke on="f"/>
              <v:imagedata o:title=""/>
              <o:lock v:ext="edit" aspectratio="f"/>
              <v:textbox inset="0mm,0mm,0mm,0mm" style="mso-fit-shape-to-text:t;">
                <w:txbxContent>
                  <w:p w14:paraId="25FB13E3">
                    <w:pPr>
                      <w:pStyle w:val="24"/>
                    </w:pPr>
                    <w:r>
                      <w:rPr>
                        <w:rFonts w:hint="eastAsia"/>
                      </w:rPr>
                      <w:fldChar w:fldCharType="begin"/>
                    </w:r>
                    <w:r>
                      <w:rPr>
                        <w:rFonts w:hint="eastAsia"/>
                      </w:rPr>
                      <w:instrText xml:space="preserve"> PAGE  \* MERGEFORMAT </w:instrText>
                    </w:r>
                    <w:r>
                      <w:rPr>
                        <w:rFonts w:hint="eastAsia"/>
                      </w:rPr>
                      <w:fldChar w:fldCharType="separate"/>
                    </w:r>
                    <w:r>
                      <w:t>153</w:t>
                    </w:r>
                    <w:r>
                      <w:rPr>
                        <w:rFonts w:hint="eastAsia"/>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3ACDCB">
    <w:pPr>
      <w:pStyle w:val="2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20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C63AC50">
                          <w:pPr>
                            <w:pStyle w:val="24"/>
                          </w:pPr>
                          <w:r>
                            <w:fldChar w:fldCharType="begin"/>
                          </w:r>
                          <w:r>
                            <w:instrText xml:space="preserve"> PAGE  \* MERGEFORMAT </w:instrText>
                          </w:r>
                          <w:r>
                            <w:fldChar w:fldCharType="separate"/>
                          </w:r>
                          <w:r>
                            <w:t>40</w:t>
                          </w:r>
                          <w:r>
                            <w:fldChar w:fldCharType="end"/>
                          </w:r>
                        </w:p>
                      </w:txbxContent>
                    </wps:txbx>
                    <wps:bodyPr wrap="none" lIns="0" tIns="0" rIns="0" bIns="0">
                      <a:spAutoFit/>
                    </wps:bodyPr>
                  </wps:wsp>
                </a:graphicData>
              </a:graphic>
            </wp:anchor>
          </w:drawing>
        </mc:Choice>
        <mc:Fallback>
          <w:pict>
            <v:shape id="文本框 2065"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M6pebnPAAAABQEAAA8AAAAAAAAAAQAgAAAAIgAAAGRycy9kb3ducmV2LnhtbFBL&#10;AQIUABQAAAAIAIdO4kAiWNB/xgEAAJEDAAAOAAAAAAAAAAEAIAAAAB4BAABkcnMvZTJvRG9jLnht&#10;bFBLBQYAAAAABgAGAFkBAABWBQAAAAA=&#10;">
              <v:fill on="f" focussize="0,0"/>
              <v:stroke on="f"/>
              <v:imagedata o:title=""/>
              <o:lock v:ext="edit" aspectratio="f"/>
              <v:textbox inset="0mm,0mm,0mm,0mm" style="mso-fit-shape-to-text:t;">
                <w:txbxContent>
                  <w:p w14:paraId="2C63AC50">
                    <w:pPr>
                      <w:pStyle w:val="24"/>
                    </w:pPr>
                    <w:r>
                      <w:fldChar w:fldCharType="begin"/>
                    </w:r>
                    <w:r>
                      <w:instrText xml:space="preserve"> PAGE  \* MERGEFORMAT </w:instrText>
                    </w:r>
                    <w:r>
                      <w:fldChar w:fldCharType="separate"/>
                    </w:r>
                    <w:r>
                      <w:t>40</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5BCEB5">
    <w:pPr>
      <w:pStyle w:val="24"/>
      <w:jc w:val="center"/>
    </w:pPr>
    <w:r>
      <w:fldChar w:fldCharType="begin"/>
    </w:r>
    <w:r>
      <w:instrText xml:space="preserve">PAGE   \* MERGEFORMAT</w:instrText>
    </w:r>
    <w:r>
      <w:fldChar w:fldCharType="separate"/>
    </w:r>
    <w:r>
      <w:rPr>
        <w:lang w:val="zh-CN"/>
      </w:rPr>
      <w:t>2</w:t>
    </w:r>
    <w:r>
      <w:fldChar w:fldCharType="end"/>
    </w:r>
  </w:p>
  <w:p w14:paraId="63D37023">
    <w:pPr>
      <w:pStyle w:val="2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889869">
    <w:pPr>
      <w:pStyle w:val="25"/>
      <w:pBdr>
        <w:top w:val="none" w:color="auto" w:sz="0" w:space="1"/>
        <w:left w:val="none" w:color="auto" w:sz="0" w:space="4"/>
        <w:bottom w:val="none" w:color="auto" w:sz="0" w:space="1"/>
        <w:right w:val="none" w:color="auto" w:sz="0" w:space="4"/>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052ACE">
    <w:pPr>
      <w:pStyle w:val="25"/>
      <w:pBdr>
        <w:top w:val="none" w:color="auto" w:sz="0" w:space="1"/>
        <w:left w:val="none" w:color="auto" w:sz="0" w:space="4"/>
        <w:bottom w:val="none" w:color="auto" w:sz="0" w:space="1"/>
        <w:right w:val="none" w:color="auto" w:sz="0" w:space="4"/>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AD5D30">
    <w:pPr>
      <w:pStyle w:val="25"/>
      <w:pBdr>
        <w:top w:val="none" w:color="auto" w:sz="0" w:space="1"/>
        <w:left w:val="none" w:color="auto" w:sz="0" w:space="4"/>
        <w:bottom w:val="none" w:color="auto" w:sz="0" w:space="1"/>
        <w:right w:val="none" w:color="auto" w:sz="0" w:space="4"/>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C679EC"/>
    <w:multiLevelType w:val="singleLevel"/>
    <w:tmpl w:val="82C679EC"/>
    <w:lvl w:ilvl="0" w:tentative="0">
      <w:start w:val="1"/>
      <w:numFmt w:val="decimal"/>
      <w:lvlText w:val=" %1"/>
      <w:lvlJc w:val="left"/>
      <w:pPr>
        <w:tabs>
          <w:tab w:val="left" w:pos="420"/>
        </w:tabs>
        <w:ind w:left="425" w:hanging="425"/>
      </w:pPr>
      <w:rPr>
        <w:rFonts w:hint="default"/>
      </w:rPr>
    </w:lvl>
  </w:abstractNum>
  <w:abstractNum w:abstractNumId="1">
    <w:nsid w:val="8B0E97C6"/>
    <w:multiLevelType w:val="singleLevel"/>
    <w:tmpl w:val="8B0E97C6"/>
    <w:lvl w:ilvl="0" w:tentative="0">
      <w:start w:val="1"/>
      <w:numFmt w:val="decimal"/>
      <w:lvlText w:val="%1."/>
      <w:lvlJc w:val="left"/>
      <w:pPr>
        <w:tabs>
          <w:tab w:val="left" w:pos="312"/>
        </w:tabs>
      </w:pPr>
    </w:lvl>
  </w:abstractNum>
  <w:abstractNum w:abstractNumId="2">
    <w:nsid w:val="8CE7EE9F"/>
    <w:multiLevelType w:val="singleLevel"/>
    <w:tmpl w:val="8CE7EE9F"/>
    <w:lvl w:ilvl="0" w:tentative="0">
      <w:start w:val="1"/>
      <w:numFmt w:val="decimal"/>
      <w:suff w:val="nothing"/>
      <w:lvlText w:val="%1、"/>
      <w:lvlJc w:val="left"/>
    </w:lvl>
  </w:abstractNum>
  <w:abstractNum w:abstractNumId="3">
    <w:nsid w:val="96B1FB3E"/>
    <w:multiLevelType w:val="singleLevel"/>
    <w:tmpl w:val="96B1FB3E"/>
    <w:lvl w:ilvl="0" w:tentative="0">
      <w:start w:val="2"/>
      <w:numFmt w:val="chineseCounting"/>
      <w:suff w:val="nothing"/>
      <w:lvlText w:val="%1、"/>
      <w:lvlJc w:val="left"/>
      <w:rPr>
        <w:rFonts w:hint="eastAsia"/>
      </w:rPr>
    </w:lvl>
  </w:abstractNum>
  <w:abstractNum w:abstractNumId="4">
    <w:nsid w:val="A6AE06C2"/>
    <w:multiLevelType w:val="singleLevel"/>
    <w:tmpl w:val="A6AE06C2"/>
    <w:lvl w:ilvl="0" w:tentative="0">
      <w:start w:val="5"/>
      <w:numFmt w:val="chineseCounting"/>
      <w:suff w:val="nothing"/>
      <w:lvlText w:val="%1、"/>
      <w:lvlJc w:val="left"/>
      <w:rPr>
        <w:rFonts w:hint="eastAsia"/>
      </w:rPr>
    </w:lvl>
  </w:abstractNum>
  <w:abstractNum w:abstractNumId="5">
    <w:nsid w:val="B2426BF7"/>
    <w:multiLevelType w:val="singleLevel"/>
    <w:tmpl w:val="B2426BF7"/>
    <w:lvl w:ilvl="0" w:tentative="0">
      <w:start w:val="1"/>
      <w:numFmt w:val="decimal"/>
      <w:lvlText w:val=" %1"/>
      <w:lvlJc w:val="left"/>
      <w:pPr>
        <w:tabs>
          <w:tab w:val="left" w:pos="420"/>
        </w:tabs>
        <w:ind w:left="425" w:hanging="425"/>
      </w:pPr>
      <w:rPr>
        <w:rFonts w:hint="default"/>
      </w:rPr>
    </w:lvl>
  </w:abstractNum>
  <w:abstractNum w:abstractNumId="6">
    <w:nsid w:val="D855BB56"/>
    <w:multiLevelType w:val="singleLevel"/>
    <w:tmpl w:val="D855BB56"/>
    <w:lvl w:ilvl="0" w:tentative="0">
      <w:start w:val="1"/>
      <w:numFmt w:val="decimal"/>
      <w:suff w:val="nothing"/>
      <w:lvlText w:val="（%1）"/>
      <w:lvlJc w:val="left"/>
    </w:lvl>
  </w:abstractNum>
  <w:abstractNum w:abstractNumId="7">
    <w:nsid w:val="D881EE3E"/>
    <w:multiLevelType w:val="singleLevel"/>
    <w:tmpl w:val="D881EE3E"/>
    <w:lvl w:ilvl="0" w:tentative="0">
      <w:start w:val="1"/>
      <w:numFmt w:val="decimal"/>
      <w:lvlText w:val=" %1"/>
      <w:lvlJc w:val="left"/>
      <w:pPr>
        <w:tabs>
          <w:tab w:val="left" w:pos="420"/>
        </w:tabs>
        <w:ind w:left="425" w:hanging="425"/>
      </w:pPr>
      <w:rPr>
        <w:rFonts w:hint="default"/>
      </w:rPr>
    </w:lvl>
  </w:abstractNum>
  <w:abstractNum w:abstractNumId="8">
    <w:nsid w:val="E29AFD16"/>
    <w:multiLevelType w:val="singleLevel"/>
    <w:tmpl w:val="E29AFD16"/>
    <w:lvl w:ilvl="0" w:tentative="0">
      <w:start w:val="1"/>
      <w:numFmt w:val="decimal"/>
      <w:suff w:val="nothing"/>
      <w:lvlText w:val="（%1）"/>
      <w:lvlJc w:val="left"/>
    </w:lvl>
  </w:abstractNum>
  <w:abstractNum w:abstractNumId="9">
    <w:nsid w:val="E566BC70"/>
    <w:multiLevelType w:val="singleLevel"/>
    <w:tmpl w:val="E566BC70"/>
    <w:lvl w:ilvl="0" w:tentative="0">
      <w:start w:val="1"/>
      <w:numFmt w:val="decimal"/>
      <w:suff w:val="nothing"/>
      <w:lvlText w:val="（%1）"/>
      <w:lvlJc w:val="left"/>
    </w:lvl>
  </w:abstractNum>
  <w:abstractNum w:abstractNumId="10">
    <w:nsid w:val="0CC02AB1"/>
    <w:multiLevelType w:val="singleLevel"/>
    <w:tmpl w:val="0CC02AB1"/>
    <w:lvl w:ilvl="0" w:tentative="0">
      <w:start w:val="2"/>
      <w:numFmt w:val="decimal"/>
      <w:lvlText w:val="%1."/>
      <w:lvlJc w:val="left"/>
      <w:pPr>
        <w:tabs>
          <w:tab w:val="left" w:pos="312"/>
        </w:tabs>
      </w:pPr>
    </w:lvl>
  </w:abstractNum>
  <w:abstractNum w:abstractNumId="11">
    <w:nsid w:val="1540E0C5"/>
    <w:multiLevelType w:val="singleLevel"/>
    <w:tmpl w:val="1540E0C5"/>
    <w:lvl w:ilvl="0" w:tentative="0">
      <w:start w:val="2"/>
      <w:numFmt w:val="decimal"/>
      <w:suff w:val="nothing"/>
      <w:lvlText w:val="（%1）"/>
      <w:lvlJc w:val="left"/>
      <w:pPr>
        <w:ind w:left="150"/>
      </w:pPr>
    </w:lvl>
  </w:abstractNum>
  <w:abstractNum w:abstractNumId="12">
    <w:nsid w:val="1B78BD51"/>
    <w:multiLevelType w:val="singleLevel"/>
    <w:tmpl w:val="1B78BD51"/>
    <w:lvl w:ilvl="0" w:tentative="0">
      <w:start w:val="1"/>
      <w:numFmt w:val="decimal"/>
      <w:suff w:val="nothing"/>
      <w:lvlText w:val="（%1）"/>
      <w:lvlJc w:val="left"/>
    </w:lvl>
  </w:abstractNum>
  <w:abstractNum w:abstractNumId="13">
    <w:nsid w:val="41D2B5CA"/>
    <w:multiLevelType w:val="singleLevel"/>
    <w:tmpl w:val="41D2B5CA"/>
    <w:lvl w:ilvl="0" w:tentative="0">
      <w:start w:val="1"/>
      <w:numFmt w:val="decimal"/>
      <w:lvlText w:val=" %1"/>
      <w:lvlJc w:val="left"/>
      <w:pPr>
        <w:tabs>
          <w:tab w:val="left" w:pos="420"/>
        </w:tabs>
        <w:ind w:left="425" w:hanging="425"/>
      </w:pPr>
      <w:rPr>
        <w:rFonts w:hint="default"/>
      </w:rPr>
    </w:lvl>
  </w:abstractNum>
  <w:abstractNum w:abstractNumId="14">
    <w:nsid w:val="51063A84"/>
    <w:multiLevelType w:val="singleLevel"/>
    <w:tmpl w:val="51063A84"/>
    <w:lvl w:ilvl="0" w:tentative="0">
      <w:start w:val="1"/>
      <w:numFmt w:val="decimal"/>
      <w:suff w:val="nothing"/>
      <w:lvlText w:val="（%1）"/>
      <w:lvlJc w:val="left"/>
      <w:pPr>
        <w:ind w:left="-60"/>
      </w:pPr>
    </w:lvl>
  </w:abstractNum>
  <w:abstractNum w:abstractNumId="15">
    <w:nsid w:val="5AB2971A"/>
    <w:multiLevelType w:val="singleLevel"/>
    <w:tmpl w:val="5AB2971A"/>
    <w:lvl w:ilvl="0" w:tentative="0">
      <w:start w:val="1"/>
      <w:numFmt w:val="decimal"/>
      <w:lvlText w:val=" %1"/>
      <w:lvlJc w:val="left"/>
      <w:pPr>
        <w:tabs>
          <w:tab w:val="left" w:pos="420"/>
        </w:tabs>
        <w:ind w:left="425" w:hanging="425"/>
      </w:pPr>
      <w:rPr>
        <w:rFonts w:hint="default"/>
      </w:rPr>
    </w:lvl>
  </w:abstractNum>
  <w:abstractNum w:abstractNumId="16">
    <w:nsid w:val="5E6CC7B8"/>
    <w:multiLevelType w:val="singleLevel"/>
    <w:tmpl w:val="5E6CC7B8"/>
    <w:lvl w:ilvl="0" w:tentative="0">
      <w:start w:val="1"/>
      <w:numFmt w:val="decimal"/>
      <w:suff w:val="nothing"/>
      <w:lvlText w:val="（%1）"/>
      <w:lvlJc w:val="left"/>
    </w:lvl>
  </w:abstractNum>
  <w:abstractNum w:abstractNumId="17">
    <w:nsid w:val="624DF503"/>
    <w:multiLevelType w:val="singleLevel"/>
    <w:tmpl w:val="624DF503"/>
    <w:lvl w:ilvl="0" w:tentative="0">
      <w:start w:val="1"/>
      <w:numFmt w:val="decimal"/>
      <w:lvlText w:val=" %1"/>
      <w:lvlJc w:val="left"/>
      <w:pPr>
        <w:tabs>
          <w:tab w:val="left" w:pos="425"/>
        </w:tabs>
        <w:ind w:left="425" w:hanging="425"/>
      </w:pPr>
      <w:rPr>
        <w:rFonts w:hint="default"/>
      </w:rPr>
    </w:lvl>
  </w:abstractNum>
  <w:abstractNum w:abstractNumId="18">
    <w:nsid w:val="6761B8E8"/>
    <w:multiLevelType w:val="singleLevel"/>
    <w:tmpl w:val="6761B8E8"/>
    <w:lvl w:ilvl="0" w:tentative="0">
      <w:start w:val="1"/>
      <w:numFmt w:val="decimal"/>
      <w:suff w:val="nothing"/>
      <w:lvlText w:val="%1、"/>
      <w:lvlJc w:val="left"/>
    </w:lvl>
  </w:abstractNum>
  <w:num w:numId="1">
    <w:abstractNumId w:val="9"/>
  </w:num>
  <w:num w:numId="2">
    <w:abstractNumId w:val="8"/>
  </w:num>
  <w:num w:numId="3">
    <w:abstractNumId w:val="2"/>
  </w:num>
  <w:num w:numId="4">
    <w:abstractNumId w:val="1"/>
  </w:num>
  <w:num w:numId="5">
    <w:abstractNumId w:val="10"/>
  </w:num>
  <w:num w:numId="6">
    <w:abstractNumId w:val="3"/>
  </w:num>
  <w:num w:numId="7">
    <w:abstractNumId w:val="15"/>
  </w:num>
  <w:num w:numId="8">
    <w:abstractNumId w:val="5"/>
  </w:num>
  <w:num w:numId="9">
    <w:abstractNumId w:val="11"/>
  </w:num>
  <w:num w:numId="10">
    <w:abstractNumId w:val="7"/>
  </w:num>
  <w:num w:numId="11">
    <w:abstractNumId w:val="0"/>
  </w:num>
  <w:num w:numId="12">
    <w:abstractNumId w:val="13"/>
  </w:num>
  <w:num w:numId="13">
    <w:abstractNumId w:val="6"/>
  </w:num>
  <w:num w:numId="14">
    <w:abstractNumId w:val="14"/>
  </w:num>
  <w:num w:numId="15">
    <w:abstractNumId w:val="17"/>
  </w:num>
  <w:num w:numId="16">
    <w:abstractNumId w:val="12"/>
  </w:num>
  <w:num w:numId="17">
    <w:abstractNumId w:val="18"/>
  </w:num>
  <w:num w:numId="18">
    <w:abstractNumId w:val="16"/>
  </w:num>
  <w:num w:numId="19">
    <w:abstractNumId w:val="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翁玉枝">
    <w15:presenceInfo w15:providerId="None" w15:userId="翁玉枝"/>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NotDisplayPageBoundaries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210"/>
  <w:drawingGridVerticalSpacing w:val="189"/>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I4NWQzOGExZjYzNWY2YTgzNTVhYTFmZjU1NzlmZDYifQ=="/>
    <w:docVar w:name="KSO_WPS_MARK_KEY" w:val="4c3bed83-98ff-40fc-89c8-461a6041c31d"/>
  </w:docVars>
  <w:rsids>
    <w:rsidRoot w:val="00172A27"/>
    <w:rsid w:val="000060B3"/>
    <w:rsid w:val="0004364B"/>
    <w:rsid w:val="00061B1F"/>
    <w:rsid w:val="000733C4"/>
    <w:rsid w:val="00074783"/>
    <w:rsid w:val="0008070B"/>
    <w:rsid w:val="000810AC"/>
    <w:rsid w:val="00081A02"/>
    <w:rsid w:val="00082231"/>
    <w:rsid w:val="00092D38"/>
    <w:rsid w:val="0009377B"/>
    <w:rsid w:val="000A20C9"/>
    <w:rsid w:val="000B058F"/>
    <w:rsid w:val="000B0628"/>
    <w:rsid w:val="000B4467"/>
    <w:rsid w:val="000B4DB9"/>
    <w:rsid w:val="000C09AC"/>
    <w:rsid w:val="000C767F"/>
    <w:rsid w:val="000D5A44"/>
    <w:rsid w:val="000E3ED2"/>
    <w:rsid w:val="00131F42"/>
    <w:rsid w:val="001357F1"/>
    <w:rsid w:val="00140FA8"/>
    <w:rsid w:val="00142FEB"/>
    <w:rsid w:val="00143A2D"/>
    <w:rsid w:val="00145A41"/>
    <w:rsid w:val="00145B6E"/>
    <w:rsid w:val="00151675"/>
    <w:rsid w:val="00157435"/>
    <w:rsid w:val="001601C2"/>
    <w:rsid w:val="00172A27"/>
    <w:rsid w:val="0017504D"/>
    <w:rsid w:val="0017671A"/>
    <w:rsid w:val="00177422"/>
    <w:rsid w:val="00184590"/>
    <w:rsid w:val="001870D1"/>
    <w:rsid w:val="0018781E"/>
    <w:rsid w:val="0019262D"/>
    <w:rsid w:val="001A1B35"/>
    <w:rsid w:val="001A48A2"/>
    <w:rsid w:val="001A6F61"/>
    <w:rsid w:val="001B4C22"/>
    <w:rsid w:val="001B72B8"/>
    <w:rsid w:val="001C69B3"/>
    <w:rsid w:val="001D5595"/>
    <w:rsid w:val="001D7874"/>
    <w:rsid w:val="001D7F22"/>
    <w:rsid w:val="001F0F17"/>
    <w:rsid w:val="001F1D3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516"/>
    <w:rsid w:val="00341B42"/>
    <w:rsid w:val="0034348F"/>
    <w:rsid w:val="00356653"/>
    <w:rsid w:val="0035743F"/>
    <w:rsid w:val="00357BE2"/>
    <w:rsid w:val="0036170C"/>
    <w:rsid w:val="003655E9"/>
    <w:rsid w:val="00366E0F"/>
    <w:rsid w:val="00381A72"/>
    <w:rsid w:val="00384676"/>
    <w:rsid w:val="00390857"/>
    <w:rsid w:val="00396E08"/>
    <w:rsid w:val="003A4BF3"/>
    <w:rsid w:val="003B420D"/>
    <w:rsid w:val="003C02EE"/>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0150"/>
    <w:rsid w:val="0056106A"/>
    <w:rsid w:val="005720AE"/>
    <w:rsid w:val="00594D77"/>
    <w:rsid w:val="005969E4"/>
    <w:rsid w:val="005A06B7"/>
    <w:rsid w:val="005A1759"/>
    <w:rsid w:val="005A68A7"/>
    <w:rsid w:val="005D36AB"/>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267A1"/>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1BB0"/>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36276"/>
    <w:rsid w:val="0094154D"/>
    <w:rsid w:val="0095155F"/>
    <w:rsid w:val="009541BC"/>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10C4"/>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06B8"/>
    <w:rsid w:val="00D428AA"/>
    <w:rsid w:val="00D50A34"/>
    <w:rsid w:val="00D53EF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11F50"/>
    <w:rsid w:val="00E2656A"/>
    <w:rsid w:val="00E412D0"/>
    <w:rsid w:val="00E56322"/>
    <w:rsid w:val="00E60982"/>
    <w:rsid w:val="00E62C62"/>
    <w:rsid w:val="00E654C1"/>
    <w:rsid w:val="00E65D97"/>
    <w:rsid w:val="00E72A5A"/>
    <w:rsid w:val="00E73354"/>
    <w:rsid w:val="00E74996"/>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4AFD"/>
    <w:rsid w:val="00F965DA"/>
    <w:rsid w:val="00FA406A"/>
    <w:rsid w:val="00FB503A"/>
    <w:rsid w:val="00FB516C"/>
    <w:rsid w:val="00FD0236"/>
    <w:rsid w:val="00FD18F4"/>
    <w:rsid w:val="00FD54DB"/>
    <w:rsid w:val="00FD619F"/>
    <w:rsid w:val="0113706A"/>
    <w:rsid w:val="01192330"/>
    <w:rsid w:val="01290F7E"/>
    <w:rsid w:val="012C04F8"/>
    <w:rsid w:val="012D1CC6"/>
    <w:rsid w:val="014915D2"/>
    <w:rsid w:val="01521874"/>
    <w:rsid w:val="015D1E09"/>
    <w:rsid w:val="0168171F"/>
    <w:rsid w:val="017B11E4"/>
    <w:rsid w:val="017F5AE2"/>
    <w:rsid w:val="0187093E"/>
    <w:rsid w:val="018F7A30"/>
    <w:rsid w:val="01902C2D"/>
    <w:rsid w:val="01967485"/>
    <w:rsid w:val="019B0DD6"/>
    <w:rsid w:val="01B12E58"/>
    <w:rsid w:val="01B15319"/>
    <w:rsid w:val="01B3097E"/>
    <w:rsid w:val="01C44D4C"/>
    <w:rsid w:val="01CC1F57"/>
    <w:rsid w:val="01D20E85"/>
    <w:rsid w:val="01D81394"/>
    <w:rsid w:val="01EE19B6"/>
    <w:rsid w:val="0204742C"/>
    <w:rsid w:val="02060BB8"/>
    <w:rsid w:val="024D2E92"/>
    <w:rsid w:val="02697903"/>
    <w:rsid w:val="027311BA"/>
    <w:rsid w:val="028C467A"/>
    <w:rsid w:val="028C5D3E"/>
    <w:rsid w:val="02957455"/>
    <w:rsid w:val="029C1412"/>
    <w:rsid w:val="02B71332"/>
    <w:rsid w:val="02C70A3E"/>
    <w:rsid w:val="02F2171B"/>
    <w:rsid w:val="02F54862"/>
    <w:rsid w:val="02F96569"/>
    <w:rsid w:val="03313809"/>
    <w:rsid w:val="033B741A"/>
    <w:rsid w:val="033F1672"/>
    <w:rsid w:val="034C7D31"/>
    <w:rsid w:val="03542750"/>
    <w:rsid w:val="03625FDE"/>
    <w:rsid w:val="03682369"/>
    <w:rsid w:val="037958AE"/>
    <w:rsid w:val="037D0995"/>
    <w:rsid w:val="03854360"/>
    <w:rsid w:val="038A1428"/>
    <w:rsid w:val="038F6923"/>
    <w:rsid w:val="0395005C"/>
    <w:rsid w:val="039C5442"/>
    <w:rsid w:val="03B024D9"/>
    <w:rsid w:val="03BC7F18"/>
    <w:rsid w:val="03C250E0"/>
    <w:rsid w:val="03C50E3C"/>
    <w:rsid w:val="03C651EA"/>
    <w:rsid w:val="03D231BF"/>
    <w:rsid w:val="03D35CF1"/>
    <w:rsid w:val="03E07E92"/>
    <w:rsid w:val="03E76AD7"/>
    <w:rsid w:val="03EA7B21"/>
    <w:rsid w:val="03ED036E"/>
    <w:rsid w:val="03F24E78"/>
    <w:rsid w:val="03F2528D"/>
    <w:rsid w:val="03F50305"/>
    <w:rsid w:val="03F62ABB"/>
    <w:rsid w:val="040F2377"/>
    <w:rsid w:val="04166B3C"/>
    <w:rsid w:val="0419127D"/>
    <w:rsid w:val="042C005A"/>
    <w:rsid w:val="04327C07"/>
    <w:rsid w:val="0449507E"/>
    <w:rsid w:val="04597740"/>
    <w:rsid w:val="046D762E"/>
    <w:rsid w:val="04721435"/>
    <w:rsid w:val="04797A4D"/>
    <w:rsid w:val="04837324"/>
    <w:rsid w:val="04850275"/>
    <w:rsid w:val="04922B21"/>
    <w:rsid w:val="0494412A"/>
    <w:rsid w:val="04BA22A0"/>
    <w:rsid w:val="04BA58EC"/>
    <w:rsid w:val="04E54D34"/>
    <w:rsid w:val="04E81796"/>
    <w:rsid w:val="050A3114"/>
    <w:rsid w:val="05104715"/>
    <w:rsid w:val="0519082B"/>
    <w:rsid w:val="053673F1"/>
    <w:rsid w:val="053C340F"/>
    <w:rsid w:val="053E2F99"/>
    <w:rsid w:val="053E7CEF"/>
    <w:rsid w:val="055F1786"/>
    <w:rsid w:val="0565361C"/>
    <w:rsid w:val="0570556D"/>
    <w:rsid w:val="05780A9A"/>
    <w:rsid w:val="057A571F"/>
    <w:rsid w:val="057B5525"/>
    <w:rsid w:val="05824A08"/>
    <w:rsid w:val="058C1C12"/>
    <w:rsid w:val="058F32C1"/>
    <w:rsid w:val="059D7292"/>
    <w:rsid w:val="05B252B7"/>
    <w:rsid w:val="05BA0394"/>
    <w:rsid w:val="05BE62FA"/>
    <w:rsid w:val="05C75B8C"/>
    <w:rsid w:val="05CD1C2A"/>
    <w:rsid w:val="05DA116A"/>
    <w:rsid w:val="05DF6E5B"/>
    <w:rsid w:val="05EF3F4F"/>
    <w:rsid w:val="05F70B95"/>
    <w:rsid w:val="05F83EAE"/>
    <w:rsid w:val="05FC7C98"/>
    <w:rsid w:val="05FE48ED"/>
    <w:rsid w:val="0615553C"/>
    <w:rsid w:val="06163BAC"/>
    <w:rsid w:val="061655EB"/>
    <w:rsid w:val="062736E9"/>
    <w:rsid w:val="063E7D85"/>
    <w:rsid w:val="06673B1C"/>
    <w:rsid w:val="06697794"/>
    <w:rsid w:val="06933A1C"/>
    <w:rsid w:val="069C40D7"/>
    <w:rsid w:val="069F1126"/>
    <w:rsid w:val="06AF0219"/>
    <w:rsid w:val="06D54E35"/>
    <w:rsid w:val="06E02A2D"/>
    <w:rsid w:val="070221D4"/>
    <w:rsid w:val="070938D4"/>
    <w:rsid w:val="07147289"/>
    <w:rsid w:val="0726107B"/>
    <w:rsid w:val="07293586"/>
    <w:rsid w:val="07295285"/>
    <w:rsid w:val="07332D30"/>
    <w:rsid w:val="0734561F"/>
    <w:rsid w:val="074C3ACA"/>
    <w:rsid w:val="07517443"/>
    <w:rsid w:val="07636392"/>
    <w:rsid w:val="07660760"/>
    <w:rsid w:val="076E65DD"/>
    <w:rsid w:val="07770C56"/>
    <w:rsid w:val="078111F4"/>
    <w:rsid w:val="0781229A"/>
    <w:rsid w:val="078D079C"/>
    <w:rsid w:val="078F4FB2"/>
    <w:rsid w:val="07DE5AEF"/>
    <w:rsid w:val="07FC51E4"/>
    <w:rsid w:val="0803568F"/>
    <w:rsid w:val="08201FB2"/>
    <w:rsid w:val="083C5814"/>
    <w:rsid w:val="08422274"/>
    <w:rsid w:val="0850555F"/>
    <w:rsid w:val="08590F23"/>
    <w:rsid w:val="085948CC"/>
    <w:rsid w:val="08700BEF"/>
    <w:rsid w:val="087D5503"/>
    <w:rsid w:val="08824AEB"/>
    <w:rsid w:val="088520BE"/>
    <w:rsid w:val="089E09EB"/>
    <w:rsid w:val="089F5554"/>
    <w:rsid w:val="08A12FF3"/>
    <w:rsid w:val="08A72093"/>
    <w:rsid w:val="08B9344D"/>
    <w:rsid w:val="08B97E46"/>
    <w:rsid w:val="08BB1E7B"/>
    <w:rsid w:val="08C1493E"/>
    <w:rsid w:val="08D57A8F"/>
    <w:rsid w:val="08D75877"/>
    <w:rsid w:val="08EF451D"/>
    <w:rsid w:val="08F10586"/>
    <w:rsid w:val="090417FC"/>
    <w:rsid w:val="090B4628"/>
    <w:rsid w:val="092217DD"/>
    <w:rsid w:val="09350114"/>
    <w:rsid w:val="093A7294"/>
    <w:rsid w:val="093E1BE2"/>
    <w:rsid w:val="094100B7"/>
    <w:rsid w:val="0941208F"/>
    <w:rsid w:val="094736A2"/>
    <w:rsid w:val="096E0EE2"/>
    <w:rsid w:val="09714E1D"/>
    <w:rsid w:val="097924AD"/>
    <w:rsid w:val="09793A88"/>
    <w:rsid w:val="097A4477"/>
    <w:rsid w:val="0987605E"/>
    <w:rsid w:val="098805A9"/>
    <w:rsid w:val="098A0E4D"/>
    <w:rsid w:val="098D2EC2"/>
    <w:rsid w:val="09A3235D"/>
    <w:rsid w:val="09AD085E"/>
    <w:rsid w:val="09B3536A"/>
    <w:rsid w:val="09C13890"/>
    <w:rsid w:val="09E75B72"/>
    <w:rsid w:val="09EF276F"/>
    <w:rsid w:val="09F3429C"/>
    <w:rsid w:val="09F55C1B"/>
    <w:rsid w:val="0A0E2DF1"/>
    <w:rsid w:val="0A263993"/>
    <w:rsid w:val="0A2D3AC2"/>
    <w:rsid w:val="0A310FDA"/>
    <w:rsid w:val="0A321A9A"/>
    <w:rsid w:val="0A39654D"/>
    <w:rsid w:val="0A420FF3"/>
    <w:rsid w:val="0A433E22"/>
    <w:rsid w:val="0A4671D4"/>
    <w:rsid w:val="0A4A209B"/>
    <w:rsid w:val="0A4B79E1"/>
    <w:rsid w:val="0A600D4F"/>
    <w:rsid w:val="0A603DF5"/>
    <w:rsid w:val="0A606B93"/>
    <w:rsid w:val="0A621193"/>
    <w:rsid w:val="0A6F1264"/>
    <w:rsid w:val="0A744EB6"/>
    <w:rsid w:val="0A907074"/>
    <w:rsid w:val="0A911914"/>
    <w:rsid w:val="0AA10397"/>
    <w:rsid w:val="0AA32C4D"/>
    <w:rsid w:val="0AA755DF"/>
    <w:rsid w:val="0AAF4136"/>
    <w:rsid w:val="0AB37C41"/>
    <w:rsid w:val="0ABC26BD"/>
    <w:rsid w:val="0AD7361B"/>
    <w:rsid w:val="0AE63BAE"/>
    <w:rsid w:val="0AE6561A"/>
    <w:rsid w:val="0B030AAA"/>
    <w:rsid w:val="0B120D44"/>
    <w:rsid w:val="0B1229A8"/>
    <w:rsid w:val="0B1B2597"/>
    <w:rsid w:val="0B224DC6"/>
    <w:rsid w:val="0B2650F7"/>
    <w:rsid w:val="0B2F54FE"/>
    <w:rsid w:val="0B3B65F6"/>
    <w:rsid w:val="0B3C4BF5"/>
    <w:rsid w:val="0B434C29"/>
    <w:rsid w:val="0B463FE4"/>
    <w:rsid w:val="0B5C2086"/>
    <w:rsid w:val="0B704644"/>
    <w:rsid w:val="0B8737DB"/>
    <w:rsid w:val="0B891146"/>
    <w:rsid w:val="0B9269C8"/>
    <w:rsid w:val="0B940444"/>
    <w:rsid w:val="0BAD72F3"/>
    <w:rsid w:val="0BB442A4"/>
    <w:rsid w:val="0BC419DA"/>
    <w:rsid w:val="0BC55087"/>
    <w:rsid w:val="0BD27BF6"/>
    <w:rsid w:val="0BD51E39"/>
    <w:rsid w:val="0BD64040"/>
    <w:rsid w:val="0BE51907"/>
    <w:rsid w:val="0BF6185F"/>
    <w:rsid w:val="0BFF79F6"/>
    <w:rsid w:val="0C016FF4"/>
    <w:rsid w:val="0C081352"/>
    <w:rsid w:val="0C1B2AF6"/>
    <w:rsid w:val="0C23256F"/>
    <w:rsid w:val="0C3645AC"/>
    <w:rsid w:val="0C377E56"/>
    <w:rsid w:val="0C3B3C7D"/>
    <w:rsid w:val="0C4E3BB0"/>
    <w:rsid w:val="0CAB2EAE"/>
    <w:rsid w:val="0CAF0413"/>
    <w:rsid w:val="0CBF1A10"/>
    <w:rsid w:val="0CC46135"/>
    <w:rsid w:val="0CC555AA"/>
    <w:rsid w:val="0CF602B9"/>
    <w:rsid w:val="0CF871F9"/>
    <w:rsid w:val="0D0138EA"/>
    <w:rsid w:val="0D0E32AF"/>
    <w:rsid w:val="0D0F5FC7"/>
    <w:rsid w:val="0D181D78"/>
    <w:rsid w:val="0D344206"/>
    <w:rsid w:val="0D3627FC"/>
    <w:rsid w:val="0D511890"/>
    <w:rsid w:val="0D570334"/>
    <w:rsid w:val="0D5C73DE"/>
    <w:rsid w:val="0D621C7D"/>
    <w:rsid w:val="0D6D38CF"/>
    <w:rsid w:val="0D7E0EFF"/>
    <w:rsid w:val="0D8822D6"/>
    <w:rsid w:val="0D8C2DAE"/>
    <w:rsid w:val="0DA85388"/>
    <w:rsid w:val="0DA86EAE"/>
    <w:rsid w:val="0DAF7821"/>
    <w:rsid w:val="0DD322D2"/>
    <w:rsid w:val="0DD82481"/>
    <w:rsid w:val="0DD8716A"/>
    <w:rsid w:val="0DDB1C81"/>
    <w:rsid w:val="0DDF7139"/>
    <w:rsid w:val="0E034A3B"/>
    <w:rsid w:val="0E081805"/>
    <w:rsid w:val="0E1B157C"/>
    <w:rsid w:val="0E1C565C"/>
    <w:rsid w:val="0E283696"/>
    <w:rsid w:val="0E362EB7"/>
    <w:rsid w:val="0E3F3599"/>
    <w:rsid w:val="0E442539"/>
    <w:rsid w:val="0E527771"/>
    <w:rsid w:val="0E5B1600"/>
    <w:rsid w:val="0E5B26D4"/>
    <w:rsid w:val="0E6A2D0C"/>
    <w:rsid w:val="0E73034D"/>
    <w:rsid w:val="0E744998"/>
    <w:rsid w:val="0E843C9D"/>
    <w:rsid w:val="0E8E39AD"/>
    <w:rsid w:val="0E922F84"/>
    <w:rsid w:val="0E923E8E"/>
    <w:rsid w:val="0E9D17C6"/>
    <w:rsid w:val="0EA12320"/>
    <w:rsid w:val="0EAC62F8"/>
    <w:rsid w:val="0EB43E56"/>
    <w:rsid w:val="0EB442D3"/>
    <w:rsid w:val="0EC86D78"/>
    <w:rsid w:val="0ECC461D"/>
    <w:rsid w:val="0EE12D90"/>
    <w:rsid w:val="0F056591"/>
    <w:rsid w:val="0F13775A"/>
    <w:rsid w:val="0F192940"/>
    <w:rsid w:val="0F3F1A59"/>
    <w:rsid w:val="0F476BAA"/>
    <w:rsid w:val="0F577F6F"/>
    <w:rsid w:val="0F5C4223"/>
    <w:rsid w:val="0F5F3E9F"/>
    <w:rsid w:val="0F5F45FE"/>
    <w:rsid w:val="0F600EC9"/>
    <w:rsid w:val="0F717361"/>
    <w:rsid w:val="0F9661CA"/>
    <w:rsid w:val="0F9A112B"/>
    <w:rsid w:val="0FA71E6A"/>
    <w:rsid w:val="0FA744AD"/>
    <w:rsid w:val="0FAD1102"/>
    <w:rsid w:val="0FB33384"/>
    <w:rsid w:val="0FC615B0"/>
    <w:rsid w:val="0FC9787A"/>
    <w:rsid w:val="0FE33EB0"/>
    <w:rsid w:val="0FE50EF5"/>
    <w:rsid w:val="0FE5270E"/>
    <w:rsid w:val="0FF3780C"/>
    <w:rsid w:val="10134CDE"/>
    <w:rsid w:val="10150A56"/>
    <w:rsid w:val="10162E1F"/>
    <w:rsid w:val="102754BA"/>
    <w:rsid w:val="102C3CCC"/>
    <w:rsid w:val="1032484E"/>
    <w:rsid w:val="103A1875"/>
    <w:rsid w:val="104017AC"/>
    <w:rsid w:val="10466E2D"/>
    <w:rsid w:val="105D3145"/>
    <w:rsid w:val="10693290"/>
    <w:rsid w:val="106D2F64"/>
    <w:rsid w:val="107B24FE"/>
    <w:rsid w:val="10877952"/>
    <w:rsid w:val="1089530E"/>
    <w:rsid w:val="109F606A"/>
    <w:rsid w:val="10AD0C8E"/>
    <w:rsid w:val="10B63710"/>
    <w:rsid w:val="10C03E57"/>
    <w:rsid w:val="10C670E9"/>
    <w:rsid w:val="10CC1195"/>
    <w:rsid w:val="10D553A6"/>
    <w:rsid w:val="10F10820"/>
    <w:rsid w:val="111C2F7A"/>
    <w:rsid w:val="1122342A"/>
    <w:rsid w:val="112467C1"/>
    <w:rsid w:val="1134315E"/>
    <w:rsid w:val="11420BB8"/>
    <w:rsid w:val="11551CFE"/>
    <w:rsid w:val="11554E37"/>
    <w:rsid w:val="11586E4C"/>
    <w:rsid w:val="115C2CF7"/>
    <w:rsid w:val="11665CA1"/>
    <w:rsid w:val="117144DC"/>
    <w:rsid w:val="117202E3"/>
    <w:rsid w:val="117F4657"/>
    <w:rsid w:val="118E0F73"/>
    <w:rsid w:val="11A7392F"/>
    <w:rsid w:val="11C02F5A"/>
    <w:rsid w:val="11C45B0B"/>
    <w:rsid w:val="11C9531A"/>
    <w:rsid w:val="11D80750"/>
    <w:rsid w:val="11DB0172"/>
    <w:rsid w:val="11E7342D"/>
    <w:rsid w:val="11EE607B"/>
    <w:rsid w:val="11EE7B3B"/>
    <w:rsid w:val="11F419FF"/>
    <w:rsid w:val="11F60C66"/>
    <w:rsid w:val="121437A6"/>
    <w:rsid w:val="12252451"/>
    <w:rsid w:val="122A43C9"/>
    <w:rsid w:val="1230011F"/>
    <w:rsid w:val="123931D9"/>
    <w:rsid w:val="12403C8F"/>
    <w:rsid w:val="12594A7E"/>
    <w:rsid w:val="12614633"/>
    <w:rsid w:val="127C3A5A"/>
    <w:rsid w:val="12897DEB"/>
    <w:rsid w:val="12944F77"/>
    <w:rsid w:val="129C7A7D"/>
    <w:rsid w:val="12A05B91"/>
    <w:rsid w:val="12AD1236"/>
    <w:rsid w:val="12BC165D"/>
    <w:rsid w:val="12D538A3"/>
    <w:rsid w:val="12F46B37"/>
    <w:rsid w:val="12F61210"/>
    <w:rsid w:val="12FD4C4C"/>
    <w:rsid w:val="131750AF"/>
    <w:rsid w:val="131B45D5"/>
    <w:rsid w:val="132047E0"/>
    <w:rsid w:val="132C75F2"/>
    <w:rsid w:val="132E2451"/>
    <w:rsid w:val="13317786"/>
    <w:rsid w:val="13581F1A"/>
    <w:rsid w:val="13594FCF"/>
    <w:rsid w:val="135C553C"/>
    <w:rsid w:val="135D1F76"/>
    <w:rsid w:val="13686FFF"/>
    <w:rsid w:val="13881B49"/>
    <w:rsid w:val="13935509"/>
    <w:rsid w:val="13951726"/>
    <w:rsid w:val="1395240B"/>
    <w:rsid w:val="139F7686"/>
    <w:rsid w:val="13A21113"/>
    <w:rsid w:val="13D52441"/>
    <w:rsid w:val="13D611A3"/>
    <w:rsid w:val="13D65FBA"/>
    <w:rsid w:val="13D74E0E"/>
    <w:rsid w:val="13F94948"/>
    <w:rsid w:val="14083231"/>
    <w:rsid w:val="140E7208"/>
    <w:rsid w:val="141D60E7"/>
    <w:rsid w:val="14331437"/>
    <w:rsid w:val="143376A1"/>
    <w:rsid w:val="14396509"/>
    <w:rsid w:val="143C442B"/>
    <w:rsid w:val="14466468"/>
    <w:rsid w:val="14501DE6"/>
    <w:rsid w:val="14537014"/>
    <w:rsid w:val="1456729F"/>
    <w:rsid w:val="147C413C"/>
    <w:rsid w:val="148110A3"/>
    <w:rsid w:val="14872EA7"/>
    <w:rsid w:val="148E215F"/>
    <w:rsid w:val="149B3F31"/>
    <w:rsid w:val="14A15C29"/>
    <w:rsid w:val="14AA5945"/>
    <w:rsid w:val="14D077E1"/>
    <w:rsid w:val="14D36D10"/>
    <w:rsid w:val="14DD2C3C"/>
    <w:rsid w:val="14E119D4"/>
    <w:rsid w:val="14E63BC5"/>
    <w:rsid w:val="15007F26"/>
    <w:rsid w:val="150A3AA1"/>
    <w:rsid w:val="150B6FBF"/>
    <w:rsid w:val="151E6CB3"/>
    <w:rsid w:val="15221CA3"/>
    <w:rsid w:val="153F01CF"/>
    <w:rsid w:val="154B4B01"/>
    <w:rsid w:val="156A7E0D"/>
    <w:rsid w:val="15883673"/>
    <w:rsid w:val="158B2EC0"/>
    <w:rsid w:val="158C6F99"/>
    <w:rsid w:val="15C72F70"/>
    <w:rsid w:val="15D469C1"/>
    <w:rsid w:val="15E64190"/>
    <w:rsid w:val="15EB4733"/>
    <w:rsid w:val="15F1161D"/>
    <w:rsid w:val="16087E1D"/>
    <w:rsid w:val="161E7AD7"/>
    <w:rsid w:val="16394AF3"/>
    <w:rsid w:val="163A2FDC"/>
    <w:rsid w:val="163A5834"/>
    <w:rsid w:val="16414353"/>
    <w:rsid w:val="165C63DB"/>
    <w:rsid w:val="165E67DC"/>
    <w:rsid w:val="166B119B"/>
    <w:rsid w:val="166D5BA5"/>
    <w:rsid w:val="16897AA8"/>
    <w:rsid w:val="168F35ED"/>
    <w:rsid w:val="16946B78"/>
    <w:rsid w:val="169F376F"/>
    <w:rsid w:val="16D056D6"/>
    <w:rsid w:val="16D36F75"/>
    <w:rsid w:val="16DC4B2D"/>
    <w:rsid w:val="16DE7DF3"/>
    <w:rsid w:val="16E67D85"/>
    <w:rsid w:val="16EC769F"/>
    <w:rsid w:val="16F423D9"/>
    <w:rsid w:val="17072F54"/>
    <w:rsid w:val="170B2D8B"/>
    <w:rsid w:val="17172B79"/>
    <w:rsid w:val="17175F45"/>
    <w:rsid w:val="17471E3D"/>
    <w:rsid w:val="174D13AB"/>
    <w:rsid w:val="175613C2"/>
    <w:rsid w:val="175C420C"/>
    <w:rsid w:val="176368B2"/>
    <w:rsid w:val="17646B43"/>
    <w:rsid w:val="176638B9"/>
    <w:rsid w:val="17701D14"/>
    <w:rsid w:val="17735226"/>
    <w:rsid w:val="177D2D15"/>
    <w:rsid w:val="17A45DEB"/>
    <w:rsid w:val="17AB1339"/>
    <w:rsid w:val="17B73D0F"/>
    <w:rsid w:val="17C85362"/>
    <w:rsid w:val="17D57BE9"/>
    <w:rsid w:val="17D9680D"/>
    <w:rsid w:val="17DF14A6"/>
    <w:rsid w:val="17E031A8"/>
    <w:rsid w:val="17EB1A6F"/>
    <w:rsid w:val="17EE467F"/>
    <w:rsid w:val="181212F2"/>
    <w:rsid w:val="18124ECD"/>
    <w:rsid w:val="182C6DD7"/>
    <w:rsid w:val="183121A5"/>
    <w:rsid w:val="18554738"/>
    <w:rsid w:val="18693D61"/>
    <w:rsid w:val="18697D46"/>
    <w:rsid w:val="186C21C2"/>
    <w:rsid w:val="186D6226"/>
    <w:rsid w:val="186F788F"/>
    <w:rsid w:val="187644F2"/>
    <w:rsid w:val="1886586D"/>
    <w:rsid w:val="188C597E"/>
    <w:rsid w:val="189F624C"/>
    <w:rsid w:val="18AB271E"/>
    <w:rsid w:val="18BC3B0A"/>
    <w:rsid w:val="18BE64C4"/>
    <w:rsid w:val="18D44069"/>
    <w:rsid w:val="18EA6829"/>
    <w:rsid w:val="18EB67F8"/>
    <w:rsid w:val="18F020A9"/>
    <w:rsid w:val="1900241C"/>
    <w:rsid w:val="19045DA9"/>
    <w:rsid w:val="190B07D3"/>
    <w:rsid w:val="191F0A56"/>
    <w:rsid w:val="192E240E"/>
    <w:rsid w:val="194846FB"/>
    <w:rsid w:val="195223DF"/>
    <w:rsid w:val="196B0D32"/>
    <w:rsid w:val="197B3811"/>
    <w:rsid w:val="19825BC4"/>
    <w:rsid w:val="1982720A"/>
    <w:rsid w:val="198A7AD4"/>
    <w:rsid w:val="198C3EFE"/>
    <w:rsid w:val="199E09E0"/>
    <w:rsid w:val="19A42E72"/>
    <w:rsid w:val="19A742DF"/>
    <w:rsid w:val="19B54B1C"/>
    <w:rsid w:val="19B62F82"/>
    <w:rsid w:val="19B909A6"/>
    <w:rsid w:val="19CC5215"/>
    <w:rsid w:val="19DC1177"/>
    <w:rsid w:val="19E07A85"/>
    <w:rsid w:val="19F542E9"/>
    <w:rsid w:val="19FE139D"/>
    <w:rsid w:val="19FF6DFC"/>
    <w:rsid w:val="1A0B2F26"/>
    <w:rsid w:val="1A0D05D0"/>
    <w:rsid w:val="1A14331D"/>
    <w:rsid w:val="1A1C66C0"/>
    <w:rsid w:val="1A1E488E"/>
    <w:rsid w:val="1A42393B"/>
    <w:rsid w:val="1A49644B"/>
    <w:rsid w:val="1A4A16FC"/>
    <w:rsid w:val="1A5B79AD"/>
    <w:rsid w:val="1A5D54D3"/>
    <w:rsid w:val="1A606D71"/>
    <w:rsid w:val="1A627507"/>
    <w:rsid w:val="1A6C5CB9"/>
    <w:rsid w:val="1A7521A4"/>
    <w:rsid w:val="1A7975BC"/>
    <w:rsid w:val="1A8C55EC"/>
    <w:rsid w:val="1A930CAA"/>
    <w:rsid w:val="1A996BA6"/>
    <w:rsid w:val="1A9D1D74"/>
    <w:rsid w:val="1AA11447"/>
    <w:rsid w:val="1AAD45DE"/>
    <w:rsid w:val="1AB643AB"/>
    <w:rsid w:val="1ACF7082"/>
    <w:rsid w:val="1AD1624B"/>
    <w:rsid w:val="1AD20D3B"/>
    <w:rsid w:val="1AE80C39"/>
    <w:rsid w:val="1AEF250F"/>
    <w:rsid w:val="1AFD5582"/>
    <w:rsid w:val="1B03299C"/>
    <w:rsid w:val="1B046F80"/>
    <w:rsid w:val="1B0C7A3F"/>
    <w:rsid w:val="1B14193D"/>
    <w:rsid w:val="1B1463CE"/>
    <w:rsid w:val="1B1C32A5"/>
    <w:rsid w:val="1B2175D4"/>
    <w:rsid w:val="1B237A8B"/>
    <w:rsid w:val="1B2A2512"/>
    <w:rsid w:val="1B2F50C2"/>
    <w:rsid w:val="1B304C62"/>
    <w:rsid w:val="1B3267B5"/>
    <w:rsid w:val="1B3C6FB9"/>
    <w:rsid w:val="1B40161D"/>
    <w:rsid w:val="1B441859"/>
    <w:rsid w:val="1B4C3C78"/>
    <w:rsid w:val="1B510A7B"/>
    <w:rsid w:val="1B6606B1"/>
    <w:rsid w:val="1B6C307D"/>
    <w:rsid w:val="1B6F0FDF"/>
    <w:rsid w:val="1B7456DA"/>
    <w:rsid w:val="1B750824"/>
    <w:rsid w:val="1B850812"/>
    <w:rsid w:val="1BA46512"/>
    <w:rsid w:val="1BA7326B"/>
    <w:rsid w:val="1BA93953"/>
    <w:rsid w:val="1BBC15AA"/>
    <w:rsid w:val="1BBF536B"/>
    <w:rsid w:val="1BC3229F"/>
    <w:rsid w:val="1BD843CF"/>
    <w:rsid w:val="1BD94FE4"/>
    <w:rsid w:val="1C14576A"/>
    <w:rsid w:val="1C234DBB"/>
    <w:rsid w:val="1C4033CD"/>
    <w:rsid w:val="1C4C3A51"/>
    <w:rsid w:val="1C4D0517"/>
    <w:rsid w:val="1C52192B"/>
    <w:rsid w:val="1C572E4B"/>
    <w:rsid w:val="1C5B05A6"/>
    <w:rsid w:val="1C5E7925"/>
    <w:rsid w:val="1C744EE3"/>
    <w:rsid w:val="1C8E49FC"/>
    <w:rsid w:val="1C8E75EF"/>
    <w:rsid w:val="1C9C6787"/>
    <w:rsid w:val="1CBF5FD1"/>
    <w:rsid w:val="1CC630DB"/>
    <w:rsid w:val="1CCF76F5"/>
    <w:rsid w:val="1CDB1C61"/>
    <w:rsid w:val="1CED6BDE"/>
    <w:rsid w:val="1CFD070F"/>
    <w:rsid w:val="1D016958"/>
    <w:rsid w:val="1D0879D2"/>
    <w:rsid w:val="1D0C0F93"/>
    <w:rsid w:val="1D1A77E2"/>
    <w:rsid w:val="1D1E53D2"/>
    <w:rsid w:val="1D1E6A3E"/>
    <w:rsid w:val="1D242A5B"/>
    <w:rsid w:val="1D25274B"/>
    <w:rsid w:val="1D2B6C5C"/>
    <w:rsid w:val="1D396C3A"/>
    <w:rsid w:val="1D556936"/>
    <w:rsid w:val="1D5F6196"/>
    <w:rsid w:val="1D600B06"/>
    <w:rsid w:val="1D6132A5"/>
    <w:rsid w:val="1D674659"/>
    <w:rsid w:val="1D692A64"/>
    <w:rsid w:val="1D6F5658"/>
    <w:rsid w:val="1D835747"/>
    <w:rsid w:val="1D8C0A18"/>
    <w:rsid w:val="1D8E56D5"/>
    <w:rsid w:val="1D9F0E3E"/>
    <w:rsid w:val="1DA16739"/>
    <w:rsid w:val="1DA879AE"/>
    <w:rsid w:val="1DAE13AF"/>
    <w:rsid w:val="1DAE3A8C"/>
    <w:rsid w:val="1DBF10A0"/>
    <w:rsid w:val="1DC13061"/>
    <w:rsid w:val="1DE55FB8"/>
    <w:rsid w:val="1DE8432D"/>
    <w:rsid w:val="1DE9400F"/>
    <w:rsid w:val="1DF04973"/>
    <w:rsid w:val="1E003C6B"/>
    <w:rsid w:val="1E0C41CF"/>
    <w:rsid w:val="1E457943"/>
    <w:rsid w:val="1E600F97"/>
    <w:rsid w:val="1E6F2E37"/>
    <w:rsid w:val="1E7129EE"/>
    <w:rsid w:val="1E773483"/>
    <w:rsid w:val="1E7A43DA"/>
    <w:rsid w:val="1E9516DF"/>
    <w:rsid w:val="1E9914FA"/>
    <w:rsid w:val="1E9B55ED"/>
    <w:rsid w:val="1EA7648D"/>
    <w:rsid w:val="1EC42803"/>
    <w:rsid w:val="1EDF6EE5"/>
    <w:rsid w:val="1F161491"/>
    <w:rsid w:val="1F1A1F37"/>
    <w:rsid w:val="1F354E6A"/>
    <w:rsid w:val="1F456181"/>
    <w:rsid w:val="1F647304"/>
    <w:rsid w:val="1F7B1B6F"/>
    <w:rsid w:val="1F851DB2"/>
    <w:rsid w:val="1F8531D3"/>
    <w:rsid w:val="1F9E31F2"/>
    <w:rsid w:val="1FB25688"/>
    <w:rsid w:val="1FC07B2B"/>
    <w:rsid w:val="1FC1650E"/>
    <w:rsid w:val="1FCF6E73"/>
    <w:rsid w:val="1FD115B6"/>
    <w:rsid w:val="1FE30A3F"/>
    <w:rsid w:val="1FE46761"/>
    <w:rsid w:val="1FE61684"/>
    <w:rsid w:val="1FE7539E"/>
    <w:rsid w:val="1FF6210C"/>
    <w:rsid w:val="1FF94B77"/>
    <w:rsid w:val="20074382"/>
    <w:rsid w:val="200B63EE"/>
    <w:rsid w:val="200C64F9"/>
    <w:rsid w:val="201E3957"/>
    <w:rsid w:val="201F7B62"/>
    <w:rsid w:val="20216D04"/>
    <w:rsid w:val="202A50F5"/>
    <w:rsid w:val="203B7CA2"/>
    <w:rsid w:val="203E6DB6"/>
    <w:rsid w:val="20402696"/>
    <w:rsid w:val="204565E4"/>
    <w:rsid w:val="204A02A8"/>
    <w:rsid w:val="204B46CB"/>
    <w:rsid w:val="205722C9"/>
    <w:rsid w:val="20651381"/>
    <w:rsid w:val="20671BE0"/>
    <w:rsid w:val="206A2B5A"/>
    <w:rsid w:val="2078600D"/>
    <w:rsid w:val="207B03D6"/>
    <w:rsid w:val="209224B6"/>
    <w:rsid w:val="20963CB8"/>
    <w:rsid w:val="20A81A1B"/>
    <w:rsid w:val="20B07FB6"/>
    <w:rsid w:val="20B47D5E"/>
    <w:rsid w:val="20B646FB"/>
    <w:rsid w:val="20BA0C5F"/>
    <w:rsid w:val="20C86806"/>
    <w:rsid w:val="20EC5624"/>
    <w:rsid w:val="21020207"/>
    <w:rsid w:val="210951F4"/>
    <w:rsid w:val="21177C5E"/>
    <w:rsid w:val="211A10FC"/>
    <w:rsid w:val="211B27C6"/>
    <w:rsid w:val="21222BCF"/>
    <w:rsid w:val="21312CAD"/>
    <w:rsid w:val="21315692"/>
    <w:rsid w:val="213B74B1"/>
    <w:rsid w:val="214821F9"/>
    <w:rsid w:val="214C004F"/>
    <w:rsid w:val="21514ED6"/>
    <w:rsid w:val="215A2310"/>
    <w:rsid w:val="215D271A"/>
    <w:rsid w:val="216144EF"/>
    <w:rsid w:val="217608C5"/>
    <w:rsid w:val="21880D73"/>
    <w:rsid w:val="21963756"/>
    <w:rsid w:val="219914E7"/>
    <w:rsid w:val="21BE5ADD"/>
    <w:rsid w:val="21C91D13"/>
    <w:rsid w:val="21D90809"/>
    <w:rsid w:val="21DE318A"/>
    <w:rsid w:val="21EF5B80"/>
    <w:rsid w:val="21FC01FD"/>
    <w:rsid w:val="22024F63"/>
    <w:rsid w:val="22051C4E"/>
    <w:rsid w:val="221C21DB"/>
    <w:rsid w:val="22241570"/>
    <w:rsid w:val="223A0E6C"/>
    <w:rsid w:val="223C14A8"/>
    <w:rsid w:val="22502640"/>
    <w:rsid w:val="22576990"/>
    <w:rsid w:val="225D2E3D"/>
    <w:rsid w:val="22787F56"/>
    <w:rsid w:val="22B941F6"/>
    <w:rsid w:val="22BE1146"/>
    <w:rsid w:val="22C8671F"/>
    <w:rsid w:val="22E418ED"/>
    <w:rsid w:val="22E8471B"/>
    <w:rsid w:val="22F22A0F"/>
    <w:rsid w:val="22F47480"/>
    <w:rsid w:val="22F900FB"/>
    <w:rsid w:val="22FA4207"/>
    <w:rsid w:val="23003277"/>
    <w:rsid w:val="23024348"/>
    <w:rsid w:val="231250A4"/>
    <w:rsid w:val="231516CE"/>
    <w:rsid w:val="23163A13"/>
    <w:rsid w:val="23352168"/>
    <w:rsid w:val="233725F4"/>
    <w:rsid w:val="234D7230"/>
    <w:rsid w:val="235651B5"/>
    <w:rsid w:val="23674A86"/>
    <w:rsid w:val="23880ED2"/>
    <w:rsid w:val="239428F9"/>
    <w:rsid w:val="23C30C42"/>
    <w:rsid w:val="23C56018"/>
    <w:rsid w:val="23DE1C48"/>
    <w:rsid w:val="23E05ECA"/>
    <w:rsid w:val="23F670D9"/>
    <w:rsid w:val="23FD2A44"/>
    <w:rsid w:val="240210CD"/>
    <w:rsid w:val="241C3E90"/>
    <w:rsid w:val="24224463"/>
    <w:rsid w:val="24226803"/>
    <w:rsid w:val="242C4296"/>
    <w:rsid w:val="243E69CA"/>
    <w:rsid w:val="244827E6"/>
    <w:rsid w:val="244F088E"/>
    <w:rsid w:val="24534FAF"/>
    <w:rsid w:val="245711E5"/>
    <w:rsid w:val="245B4F69"/>
    <w:rsid w:val="246B5029"/>
    <w:rsid w:val="246E76D2"/>
    <w:rsid w:val="24777551"/>
    <w:rsid w:val="24786612"/>
    <w:rsid w:val="24790F4A"/>
    <w:rsid w:val="24794708"/>
    <w:rsid w:val="247D533D"/>
    <w:rsid w:val="24813A2D"/>
    <w:rsid w:val="248C5845"/>
    <w:rsid w:val="249657CF"/>
    <w:rsid w:val="24967286"/>
    <w:rsid w:val="24A551E3"/>
    <w:rsid w:val="24A75227"/>
    <w:rsid w:val="24BF09F7"/>
    <w:rsid w:val="24C0767C"/>
    <w:rsid w:val="24C80822"/>
    <w:rsid w:val="24E354B5"/>
    <w:rsid w:val="24E3587B"/>
    <w:rsid w:val="24E47143"/>
    <w:rsid w:val="24FD69DC"/>
    <w:rsid w:val="251705C7"/>
    <w:rsid w:val="25193A4C"/>
    <w:rsid w:val="252A11DF"/>
    <w:rsid w:val="252D53FE"/>
    <w:rsid w:val="25311241"/>
    <w:rsid w:val="253345D3"/>
    <w:rsid w:val="253D2FAD"/>
    <w:rsid w:val="25553300"/>
    <w:rsid w:val="25651517"/>
    <w:rsid w:val="25674F88"/>
    <w:rsid w:val="256B319A"/>
    <w:rsid w:val="256E3CC4"/>
    <w:rsid w:val="25704A66"/>
    <w:rsid w:val="258B3FE3"/>
    <w:rsid w:val="2594407E"/>
    <w:rsid w:val="259A71B8"/>
    <w:rsid w:val="259B05F7"/>
    <w:rsid w:val="259E68E3"/>
    <w:rsid w:val="25BB079F"/>
    <w:rsid w:val="25CB4B8A"/>
    <w:rsid w:val="25D47C91"/>
    <w:rsid w:val="25D7210B"/>
    <w:rsid w:val="25EC2D81"/>
    <w:rsid w:val="25F23CF4"/>
    <w:rsid w:val="260C44BB"/>
    <w:rsid w:val="262B0B7B"/>
    <w:rsid w:val="26581242"/>
    <w:rsid w:val="266334AD"/>
    <w:rsid w:val="26875A24"/>
    <w:rsid w:val="26B41E2F"/>
    <w:rsid w:val="26BD5C77"/>
    <w:rsid w:val="26C064FB"/>
    <w:rsid w:val="26C954F1"/>
    <w:rsid w:val="26CA5BC2"/>
    <w:rsid w:val="26D319EF"/>
    <w:rsid w:val="26DE55B1"/>
    <w:rsid w:val="26E313D8"/>
    <w:rsid w:val="26EA27E4"/>
    <w:rsid w:val="2701019D"/>
    <w:rsid w:val="27161FF0"/>
    <w:rsid w:val="271813DF"/>
    <w:rsid w:val="272A0E33"/>
    <w:rsid w:val="272B2B93"/>
    <w:rsid w:val="273F59EC"/>
    <w:rsid w:val="274D0289"/>
    <w:rsid w:val="275C27D6"/>
    <w:rsid w:val="277057A2"/>
    <w:rsid w:val="27715C8F"/>
    <w:rsid w:val="2782084D"/>
    <w:rsid w:val="27AC73A5"/>
    <w:rsid w:val="27BA1681"/>
    <w:rsid w:val="27BA3E5C"/>
    <w:rsid w:val="27BB2E30"/>
    <w:rsid w:val="27D84A31"/>
    <w:rsid w:val="27D86B15"/>
    <w:rsid w:val="27E62FAC"/>
    <w:rsid w:val="27EC41B4"/>
    <w:rsid w:val="27F5492F"/>
    <w:rsid w:val="28092D44"/>
    <w:rsid w:val="280E65D3"/>
    <w:rsid w:val="2811022D"/>
    <w:rsid w:val="28190A3E"/>
    <w:rsid w:val="28261405"/>
    <w:rsid w:val="282B19AE"/>
    <w:rsid w:val="2845281F"/>
    <w:rsid w:val="284927BC"/>
    <w:rsid w:val="284F432B"/>
    <w:rsid w:val="285D7D22"/>
    <w:rsid w:val="28791105"/>
    <w:rsid w:val="287A5DB9"/>
    <w:rsid w:val="28807481"/>
    <w:rsid w:val="28A05E3D"/>
    <w:rsid w:val="28B04183"/>
    <w:rsid w:val="28B379E1"/>
    <w:rsid w:val="28B6138C"/>
    <w:rsid w:val="28BD01C7"/>
    <w:rsid w:val="28C40B61"/>
    <w:rsid w:val="28C90CA9"/>
    <w:rsid w:val="28CD1587"/>
    <w:rsid w:val="28E817DD"/>
    <w:rsid w:val="28EC3833"/>
    <w:rsid w:val="28FA314A"/>
    <w:rsid w:val="290A0E41"/>
    <w:rsid w:val="29185364"/>
    <w:rsid w:val="291B4ED7"/>
    <w:rsid w:val="291C41CF"/>
    <w:rsid w:val="29206EB8"/>
    <w:rsid w:val="29261D76"/>
    <w:rsid w:val="29313DE5"/>
    <w:rsid w:val="29437747"/>
    <w:rsid w:val="29595666"/>
    <w:rsid w:val="296E0626"/>
    <w:rsid w:val="29874881"/>
    <w:rsid w:val="298F19EC"/>
    <w:rsid w:val="29A85AEC"/>
    <w:rsid w:val="29AA03E4"/>
    <w:rsid w:val="29AC03B5"/>
    <w:rsid w:val="29C03EC6"/>
    <w:rsid w:val="29C208CB"/>
    <w:rsid w:val="29C809C0"/>
    <w:rsid w:val="29D02A11"/>
    <w:rsid w:val="29D34641"/>
    <w:rsid w:val="29E11C7D"/>
    <w:rsid w:val="29E325E0"/>
    <w:rsid w:val="29E54A64"/>
    <w:rsid w:val="29F13D11"/>
    <w:rsid w:val="29FC42CA"/>
    <w:rsid w:val="2A070FB7"/>
    <w:rsid w:val="2A0D2E10"/>
    <w:rsid w:val="2A0F214B"/>
    <w:rsid w:val="2A251C5F"/>
    <w:rsid w:val="2A285F83"/>
    <w:rsid w:val="2A2B6F57"/>
    <w:rsid w:val="2A3B7F38"/>
    <w:rsid w:val="2A4066A7"/>
    <w:rsid w:val="2A452503"/>
    <w:rsid w:val="2A4D2619"/>
    <w:rsid w:val="2A6A6A94"/>
    <w:rsid w:val="2A7E5702"/>
    <w:rsid w:val="2A9D4592"/>
    <w:rsid w:val="2AA77A7B"/>
    <w:rsid w:val="2ABB6B80"/>
    <w:rsid w:val="2ABF7E13"/>
    <w:rsid w:val="2AD859DC"/>
    <w:rsid w:val="2AD93134"/>
    <w:rsid w:val="2B1A060F"/>
    <w:rsid w:val="2B1C5E10"/>
    <w:rsid w:val="2B242723"/>
    <w:rsid w:val="2B2E6872"/>
    <w:rsid w:val="2B32124F"/>
    <w:rsid w:val="2B3D3260"/>
    <w:rsid w:val="2B455F95"/>
    <w:rsid w:val="2B4B58CE"/>
    <w:rsid w:val="2B5F7FB2"/>
    <w:rsid w:val="2B600A53"/>
    <w:rsid w:val="2B652EE6"/>
    <w:rsid w:val="2B6C76AD"/>
    <w:rsid w:val="2B732130"/>
    <w:rsid w:val="2B742C36"/>
    <w:rsid w:val="2B7B5E0E"/>
    <w:rsid w:val="2B856638"/>
    <w:rsid w:val="2B8B7F52"/>
    <w:rsid w:val="2B8D0FDD"/>
    <w:rsid w:val="2B980F11"/>
    <w:rsid w:val="2B9F3B9D"/>
    <w:rsid w:val="2BA936A8"/>
    <w:rsid w:val="2BAD11DA"/>
    <w:rsid w:val="2BB92785"/>
    <w:rsid w:val="2BCA7A40"/>
    <w:rsid w:val="2BCF1785"/>
    <w:rsid w:val="2BF87E00"/>
    <w:rsid w:val="2C0119B6"/>
    <w:rsid w:val="2C025EDA"/>
    <w:rsid w:val="2C031BCB"/>
    <w:rsid w:val="2C0A64AC"/>
    <w:rsid w:val="2C1005F7"/>
    <w:rsid w:val="2C183F80"/>
    <w:rsid w:val="2C1979ED"/>
    <w:rsid w:val="2C1A6584"/>
    <w:rsid w:val="2C1F4016"/>
    <w:rsid w:val="2C2940C8"/>
    <w:rsid w:val="2C2B6457"/>
    <w:rsid w:val="2C315A5A"/>
    <w:rsid w:val="2C465B9E"/>
    <w:rsid w:val="2C4A1115"/>
    <w:rsid w:val="2C4B1C25"/>
    <w:rsid w:val="2C5357A0"/>
    <w:rsid w:val="2C6208C4"/>
    <w:rsid w:val="2C620F2D"/>
    <w:rsid w:val="2C622E1D"/>
    <w:rsid w:val="2C635A20"/>
    <w:rsid w:val="2C6940C7"/>
    <w:rsid w:val="2C757690"/>
    <w:rsid w:val="2C7B0855"/>
    <w:rsid w:val="2C8A6818"/>
    <w:rsid w:val="2C8E0097"/>
    <w:rsid w:val="2CBD4786"/>
    <w:rsid w:val="2CC15620"/>
    <w:rsid w:val="2CD83D36"/>
    <w:rsid w:val="2CDC58F8"/>
    <w:rsid w:val="2CE0552E"/>
    <w:rsid w:val="2CEE14C1"/>
    <w:rsid w:val="2CF018DD"/>
    <w:rsid w:val="2D337EC3"/>
    <w:rsid w:val="2D38451C"/>
    <w:rsid w:val="2D480DAE"/>
    <w:rsid w:val="2D4A7B39"/>
    <w:rsid w:val="2D624D64"/>
    <w:rsid w:val="2D711FCA"/>
    <w:rsid w:val="2D8748E9"/>
    <w:rsid w:val="2D921B2F"/>
    <w:rsid w:val="2D9E56F5"/>
    <w:rsid w:val="2DA0182A"/>
    <w:rsid w:val="2DA30782"/>
    <w:rsid w:val="2DA5111E"/>
    <w:rsid w:val="2DAA213F"/>
    <w:rsid w:val="2DAD10F4"/>
    <w:rsid w:val="2DB11F58"/>
    <w:rsid w:val="2DB221DE"/>
    <w:rsid w:val="2DD42233"/>
    <w:rsid w:val="2DE53D06"/>
    <w:rsid w:val="2DE77219"/>
    <w:rsid w:val="2DEA6EED"/>
    <w:rsid w:val="2E053704"/>
    <w:rsid w:val="2E0C7407"/>
    <w:rsid w:val="2E1068F2"/>
    <w:rsid w:val="2E140928"/>
    <w:rsid w:val="2E18390F"/>
    <w:rsid w:val="2E1C3ACC"/>
    <w:rsid w:val="2E215ADE"/>
    <w:rsid w:val="2E222864"/>
    <w:rsid w:val="2E285745"/>
    <w:rsid w:val="2E2D3ADC"/>
    <w:rsid w:val="2E376E42"/>
    <w:rsid w:val="2E395BFA"/>
    <w:rsid w:val="2E535F37"/>
    <w:rsid w:val="2E567DD8"/>
    <w:rsid w:val="2E5A2FF4"/>
    <w:rsid w:val="2E667F96"/>
    <w:rsid w:val="2E74678B"/>
    <w:rsid w:val="2E750B95"/>
    <w:rsid w:val="2E774EAA"/>
    <w:rsid w:val="2E775F2D"/>
    <w:rsid w:val="2E7E6154"/>
    <w:rsid w:val="2E7F7D0C"/>
    <w:rsid w:val="2E8226AB"/>
    <w:rsid w:val="2E894691"/>
    <w:rsid w:val="2E8A1071"/>
    <w:rsid w:val="2E957790"/>
    <w:rsid w:val="2EA94D33"/>
    <w:rsid w:val="2EAA0E53"/>
    <w:rsid w:val="2EB61B37"/>
    <w:rsid w:val="2EC57A56"/>
    <w:rsid w:val="2EDC2B26"/>
    <w:rsid w:val="2EE113AE"/>
    <w:rsid w:val="2EEE75ED"/>
    <w:rsid w:val="2EF75CAB"/>
    <w:rsid w:val="2F0D0D20"/>
    <w:rsid w:val="2F123CE7"/>
    <w:rsid w:val="2F135070"/>
    <w:rsid w:val="2F255D5F"/>
    <w:rsid w:val="2F485E3D"/>
    <w:rsid w:val="2F507672"/>
    <w:rsid w:val="2F5D2EF7"/>
    <w:rsid w:val="2F6036D1"/>
    <w:rsid w:val="2F737F1E"/>
    <w:rsid w:val="2F7B3525"/>
    <w:rsid w:val="2F922F2F"/>
    <w:rsid w:val="2F9E5F1A"/>
    <w:rsid w:val="2FA821C0"/>
    <w:rsid w:val="2FAA1469"/>
    <w:rsid w:val="2FAD1DFD"/>
    <w:rsid w:val="2FB0417C"/>
    <w:rsid w:val="2FB2750A"/>
    <w:rsid w:val="2FC60231"/>
    <w:rsid w:val="2FD065E6"/>
    <w:rsid w:val="2FD31BCD"/>
    <w:rsid w:val="2FD96870"/>
    <w:rsid w:val="2FE74FEE"/>
    <w:rsid w:val="2FE97897"/>
    <w:rsid w:val="30086895"/>
    <w:rsid w:val="30275F10"/>
    <w:rsid w:val="302A6242"/>
    <w:rsid w:val="302F0560"/>
    <w:rsid w:val="30332B06"/>
    <w:rsid w:val="3035569B"/>
    <w:rsid w:val="30444929"/>
    <w:rsid w:val="30490B36"/>
    <w:rsid w:val="30580BC9"/>
    <w:rsid w:val="305E52E3"/>
    <w:rsid w:val="306233EC"/>
    <w:rsid w:val="306550E7"/>
    <w:rsid w:val="30682964"/>
    <w:rsid w:val="30745BDD"/>
    <w:rsid w:val="308B1816"/>
    <w:rsid w:val="30920E88"/>
    <w:rsid w:val="309238A5"/>
    <w:rsid w:val="30A13F14"/>
    <w:rsid w:val="30A65D73"/>
    <w:rsid w:val="30AB0BF0"/>
    <w:rsid w:val="30B6684E"/>
    <w:rsid w:val="30BA62A1"/>
    <w:rsid w:val="30C6488A"/>
    <w:rsid w:val="30CA3BD5"/>
    <w:rsid w:val="30D034A6"/>
    <w:rsid w:val="30D76EDE"/>
    <w:rsid w:val="30E107B4"/>
    <w:rsid w:val="30E24E26"/>
    <w:rsid w:val="30F2476F"/>
    <w:rsid w:val="30F53504"/>
    <w:rsid w:val="31065E81"/>
    <w:rsid w:val="310C1F07"/>
    <w:rsid w:val="311116E2"/>
    <w:rsid w:val="311C359A"/>
    <w:rsid w:val="311E2ED7"/>
    <w:rsid w:val="31210BB1"/>
    <w:rsid w:val="31275C67"/>
    <w:rsid w:val="312864D8"/>
    <w:rsid w:val="315546C3"/>
    <w:rsid w:val="315619EE"/>
    <w:rsid w:val="31592A40"/>
    <w:rsid w:val="315C449C"/>
    <w:rsid w:val="31644F41"/>
    <w:rsid w:val="3186135C"/>
    <w:rsid w:val="318916C3"/>
    <w:rsid w:val="319779EB"/>
    <w:rsid w:val="31A27243"/>
    <w:rsid w:val="31A3131D"/>
    <w:rsid w:val="31B15A82"/>
    <w:rsid w:val="31B73931"/>
    <w:rsid w:val="31B82709"/>
    <w:rsid w:val="31C4322E"/>
    <w:rsid w:val="31CF5980"/>
    <w:rsid w:val="31D05482"/>
    <w:rsid w:val="31EB75BA"/>
    <w:rsid w:val="31EF1C69"/>
    <w:rsid w:val="31F52564"/>
    <w:rsid w:val="31F950FB"/>
    <w:rsid w:val="31FD76D8"/>
    <w:rsid w:val="32093D04"/>
    <w:rsid w:val="320A42B4"/>
    <w:rsid w:val="322830C2"/>
    <w:rsid w:val="32400B34"/>
    <w:rsid w:val="325F4DE8"/>
    <w:rsid w:val="32626AF0"/>
    <w:rsid w:val="326A1B73"/>
    <w:rsid w:val="3272294A"/>
    <w:rsid w:val="3276317E"/>
    <w:rsid w:val="32803596"/>
    <w:rsid w:val="328B1A4B"/>
    <w:rsid w:val="3293095C"/>
    <w:rsid w:val="32990DD4"/>
    <w:rsid w:val="329A1838"/>
    <w:rsid w:val="329E6876"/>
    <w:rsid w:val="329F129D"/>
    <w:rsid w:val="32A27CEB"/>
    <w:rsid w:val="32A772E1"/>
    <w:rsid w:val="32D05CB3"/>
    <w:rsid w:val="32DF023E"/>
    <w:rsid w:val="32E21C68"/>
    <w:rsid w:val="32F708AC"/>
    <w:rsid w:val="33136C1F"/>
    <w:rsid w:val="33161A71"/>
    <w:rsid w:val="33187464"/>
    <w:rsid w:val="332A6EAD"/>
    <w:rsid w:val="332C4E7F"/>
    <w:rsid w:val="333015F2"/>
    <w:rsid w:val="33311416"/>
    <w:rsid w:val="33350B37"/>
    <w:rsid w:val="334B6320"/>
    <w:rsid w:val="335828F4"/>
    <w:rsid w:val="335B187F"/>
    <w:rsid w:val="33614907"/>
    <w:rsid w:val="337B1C0F"/>
    <w:rsid w:val="337D00C3"/>
    <w:rsid w:val="33816BB2"/>
    <w:rsid w:val="3390340A"/>
    <w:rsid w:val="33925B91"/>
    <w:rsid w:val="33B26305"/>
    <w:rsid w:val="33B73ADB"/>
    <w:rsid w:val="33C46F74"/>
    <w:rsid w:val="33D934D4"/>
    <w:rsid w:val="33DD642C"/>
    <w:rsid w:val="33DE5D37"/>
    <w:rsid w:val="33F64D16"/>
    <w:rsid w:val="33FB1EBB"/>
    <w:rsid w:val="33FE2F6A"/>
    <w:rsid w:val="34046445"/>
    <w:rsid w:val="340B3080"/>
    <w:rsid w:val="340E07E5"/>
    <w:rsid w:val="341B1207"/>
    <w:rsid w:val="341C25CA"/>
    <w:rsid w:val="34204EA0"/>
    <w:rsid w:val="34235BF7"/>
    <w:rsid w:val="34255EE2"/>
    <w:rsid w:val="34290CC6"/>
    <w:rsid w:val="34427DBA"/>
    <w:rsid w:val="344315CD"/>
    <w:rsid w:val="344924A8"/>
    <w:rsid w:val="345B087E"/>
    <w:rsid w:val="34690E46"/>
    <w:rsid w:val="346E745A"/>
    <w:rsid w:val="34846AFC"/>
    <w:rsid w:val="348E76C9"/>
    <w:rsid w:val="349528F2"/>
    <w:rsid w:val="34AF2977"/>
    <w:rsid w:val="34CA209A"/>
    <w:rsid w:val="34D67FB1"/>
    <w:rsid w:val="34E21963"/>
    <w:rsid w:val="34F17488"/>
    <w:rsid w:val="35021C06"/>
    <w:rsid w:val="35140056"/>
    <w:rsid w:val="352A6A45"/>
    <w:rsid w:val="352D7533"/>
    <w:rsid w:val="352F4B01"/>
    <w:rsid w:val="35327452"/>
    <w:rsid w:val="354220CE"/>
    <w:rsid w:val="35424F6A"/>
    <w:rsid w:val="35430471"/>
    <w:rsid w:val="35514A1E"/>
    <w:rsid w:val="35756336"/>
    <w:rsid w:val="358856A2"/>
    <w:rsid w:val="358C5FA8"/>
    <w:rsid w:val="358F1EEB"/>
    <w:rsid w:val="35A759CA"/>
    <w:rsid w:val="35B4123A"/>
    <w:rsid w:val="35B659E8"/>
    <w:rsid w:val="35B804D1"/>
    <w:rsid w:val="35B94924"/>
    <w:rsid w:val="35C02138"/>
    <w:rsid w:val="35C15DF1"/>
    <w:rsid w:val="35C44A43"/>
    <w:rsid w:val="35C661CB"/>
    <w:rsid w:val="35D906DD"/>
    <w:rsid w:val="35DC66ED"/>
    <w:rsid w:val="35DF1754"/>
    <w:rsid w:val="35EF0949"/>
    <w:rsid w:val="35F44AE6"/>
    <w:rsid w:val="36056CEF"/>
    <w:rsid w:val="36074A7F"/>
    <w:rsid w:val="360B2661"/>
    <w:rsid w:val="360F33E1"/>
    <w:rsid w:val="36276452"/>
    <w:rsid w:val="362C3267"/>
    <w:rsid w:val="36341AE3"/>
    <w:rsid w:val="36343833"/>
    <w:rsid w:val="363D4E2F"/>
    <w:rsid w:val="36412BB6"/>
    <w:rsid w:val="364674DC"/>
    <w:rsid w:val="364A41C6"/>
    <w:rsid w:val="364C648C"/>
    <w:rsid w:val="365B7187"/>
    <w:rsid w:val="366F40F6"/>
    <w:rsid w:val="36710D9B"/>
    <w:rsid w:val="3671217D"/>
    <w:rsid w:val="36801185"/>
    <w:rsid w:val="368F4DF5"/>
    <w:rsid w:val="36923549"/>
    <w:rsid w:val="369E2CA4"/>
    <w:rsid w:val="36A56055"/>
    <w:rsid w:val="36B44A6A"/>
    <w:rsid w:val="36B75FBF"/>
    <w:rsid w:val="36BB51B1"/>
    <w:rsid w:val="36BD0C45"/>
    <w:rsid w:val="36C15C39"/>
    <w:rsid w:val="36D36A81"/>
    <w:rsid w:val="36D77545"/>
    <w:rsid w:val="36DA2027"/>
    <w:rsid w:val="36E17BC4"/>
    <w:rsid w:val="36ED7342"/>
    <w:rsid w:val="36FB0087"/>
    <w:rsid w:val="36FB1D8D"/>
    <w:rsid w:val="370563F7"/>
    <w:rsid w:val="370928E9"/>
    <w:rsid w:val="37113475"/>
    <w:rsid w:val="371F7DFA"/>
    <w:rsid w:val="372D48FF"/>
    <w:rsid w:val="37333093"/>
    <w:rsid w:val="37347323"/>
    <w:rsid w:val="37350820"/>
    <w:rsid w:val="37381876"/>
    <w:rsid w:val="373E1C4E"/>
    <w:rsid w:val="3757616A"/>
    <w:rsid w:val="37864EBD"/>
    <w:rsid w:val="378B14CC"/>
    <w:rsid w:val="37911D69"/>
    <w:rsid w:val="379B18CA"/>
    <w:rsid w:val="37B3277F"/>
    <w:rsid w:val="37BE77C3"/>
    <w:rsid w:val="37C227E1"/>
    <w:rsid w:val="37D04DFA"/>
    <w:rsid w:val="37E00298"/>
    <w:rsid w:val="37E2256C"/>
    <w:rsid w:val="37E46EAF"/>
    <w:rsid w:val="37F33DFF"/>
    <w:rsid w:val="37FD5DBD"/>
    <w:rsid w:val="3824688C"/>
    <w:rsid w:val="385F64FF"/>
    <w:rsid w:val="386115E2"/>
    <w:rsid w:val="386C3123"/>
    <w:rsid w:val="387141C0"/>
    <w:rsid w:val="38783050"/>
    <w:rsid w:val="38797524"/>
    <w:rsid w:val="387A419F"/>
    <w:rsid w:val="3896479C"/>
    <w:rsid w:val="38A02D03"/>
    <w:rsid w:val="38B302F9"/>
    <w:rsid w:val="38B86D12"/>
    <w:rsid w:val="38BF074C"/>
    <w:rsid w:val="38D04F99"/>
    <w:rsid w:val="38D2461B"/>
    <w:rsid w:val="38E64953"/>
    <w:rsid w:val="38E7716F"/>
    <w:rsid w:val="38F12CD3"/>
    <w:rsid w:val="38F94775"/>
    <w:rsid w:val="38FE5445"/>
    <w:rsid w:val="39094442"/>
    <w:rsid w:val="390F787D"/>
    <w:rsid w:val="3917524B"/>
    <w:rsid w:val="392971ED"/>
    <w:rsid w:val="392A30FB"/>
    <w:rsid w:val="39325651"/>
    <w:rsid w:val="393C61A1"/>
    <w:rsid w:val="393D39F9"/>
    <w:rsid w:val="39427C61"/>
    <w:rsid w:val="394A0445"/>
    <w:rsid w:val="39504FAE"/>
    <w:rsid w:val="395C43E6"/>
    <w:rsid w:val="397E1282"/>
    <w:rsid w:val="399C7B75"/>
    <w:rsid w:val="39A6613C"/>
    <w:rsid w:val="39B3252A"/>
    <w:rsid w:val="39B3514F"/>
    <w:rsid w:val="39B75F0E"/>
    <w:rsid w:val="39C048AB"/>
    <w:rsid w:val="39C31030"/>
    <w:rsid w:val="39CF3744"/>
    <w:rsid w:val="39E5694E"/>
    <w:rsid w:val="3A0A2021"/>
    <w:rsid w:val="3A0E7E62"/>
    <w:rsid w:val="3A0F7273"/>
    <w:rsid w:val="3A19597F"/>
    <w:rsid w:val="3A231646"/>
    <w:rsid w:val="3A265E9D"/>
    <w:rsid w:val="3A2F07E2"/>
    <w:rsid w:val="3A35120E"/>
    <w:rsid w:val="3A392874"/>
    <w:rsid w:val="3A3D55D1"/>
    <w:rsid w:val="3A410DFD"/>
    <w:rsid w:val="3A7636E9"/>
    <w:rsid w:val="3A7C00D8"/>
    <w:rsid w:val="3A8033EE"/>
    <w:rsid w:val="3A872856"/>
    <w:rsid w:val="3A8B20A5"/>
    <w:rsid w:val="3A8C79E3"/>
    <w:rsid w:val="3A8D1EDA"/>
    <w:rsid w:val="3A952E7B"/>
    <w:rsid w:val="3AA63AC4"/>
    <w:rsid w:val="3AA94723"/>
    <w:rsid w:val="3AB43F31"/>
    <w:rsid w:val="3AC82AAC"/>
    <w:rsid w:val="3AC96C8E"/>
    <w:rsid w:val="3ACD4D5C"/>
    <w:rsid w:val="3ACF42F5"/>
    <w:rsid w:val="3AD94270"/>
    <w:rsid w:val="3AE17129"/>
    <w:rsid w:val="3AE20C43"/>
    <w:rsid w:val="3AE857F3"/>
    <w:rsid w:val="3AEA31FD"/>
    <w:rsid w:val="3AF7203A"/>
    <w:rsid w:val="3B0A007E"/>
    <w:rsid w:val="3B0E03F8"/>
    <w:rsid w:val="3B331EC4"/>
    <w:rsid w:val="3B3536EC"/>
    <w:rsid w:val="3B361D95"/>
    <w:rsid w:val="3B3742B4"/>
    <w:rsid w:val="3B3763D1"/>
    <w:rsid w:val="3B450A85"/>
    <w:rsid w:val="3B4F3B2E"/>
    <w:rsid w:val="3B647002"/>
    <w:rsid w:val="3B7D3B80"/>
    <w:rsid w:val="3B7D77C9"/>
    <w:rsid w:val="3BA71612"/>
    <w:rsid w:val="3BAC5226"/>
    <w:rsid w:val="3BB555FD"/>
    <w:rsid w:val="3BB57D12"/>
    <w:rsid w:val="3BBD6992"/>
    <w:rsid w:val="3BC07948"/>
    <w:rsid w:val="3BC22F21"/>
    <w:rsid w:val="3BD063C5"/>
    <w:rsid w:val="3BDC4D22"/>
    <w:rsid w:val="3BE5647B"/>
    <w:rsid w:val="3BE63123"/>
    <w:rsid w:val="3BEE0C9B"/>
    <w:rsid w:val="3BFC6719"/>
    <w:rsid w:val="3C0D649F"/>
    <w:rsid w:val="3C161302"/>
    <w:rsid w:val="3C2F6E1E"/>
    <w:rsid w:val="3C4434AF"/>
    <w:rsid w:val="3C4542ED"/>
    <w:rsid w:val="3C4F3990"/>
    <w:rsid w:val="3C4F64BA"/>
    <w:rsid w:val="3C73077A"/>
    <w:rsid w:val="3C8445F3"/>
    <w:rsid w:val="3C866C07"/>
    <w:rsid w:val="3C8A559A"/>
    <w:rsid w:val="3C8F07C3"/>
    <w:rsid w:val="3C904975"/>
    <w:rsid w:val="3C9526DB"/>
    <w:rsid w:val="3C955C05"/>
    <w:rsid w:val="3C9B215F"/>
    <w:rsid w:val="3CB7243C"/>
    <w:rsid w:val="3CB928D4"/>
    <w:rsid w:val="3CBB03A9"/>
    <w:rsid w:val="3CBD4950"/>
    <w:rsid w:val="3CCB40C7"/>
    <w:rsid w:val="3CCC6644"/>
    <w:rsid w:val="3CCE6982"/>
    <w:rsid w:val="3CCF005B"/>
    <w:rsid w:val="3CCF35F6"/>
    <w:rsid w:val="3CDA245A"/>
    <w:rsid w:val="3CDE7FE8"/>
    <w:rsid w:val="3CE21B3C"/>
    <w:rsid w:val="3CF4186F"/>
    <w:rsid w:val="3CFD5A3D"/>
    <w:rsid w:val="3D022626"/>
    <w:rsid w:val="3D0A2E41"/>
    <w:rsid w:val="3D101FEB"/>
    <w:rsid w:val="3D1630B0"/>
    <w:rsid w:val="3D1E06B7"/>
    <w:rsid w:val="3D2832C7"/>
    <w:rsid w:val="3D3B7A1A"/>
    <w:rsid w:val="3D436353"/>
    <w:rsid w:val="3D45031D"/>
    <w:rsid w:val="3D4B4685"/>
    <w:rsid w:val="3D51281E"/>
    <w:rsid w:val="3D591D93"/>
    <w:rsid w:val="3D63377E"/>
    <w:rsid w:val="3D6509D5"/>
    <w:rsid w:val="3D8607A3"/>
    <w:rsid w:val="3D861370"/>
    <w:rsid w:val="3D9F061F"/>
    <w:rsid w:val="3DB37034"/>
    <w:rsid w:val="3DB72694"/>
    <w:rsid w:val="3DC253E3"/>
    <w:rsid w:val="3DC42B5C"/>
    <w:rsid w:val="3DC57C8D"/>
    <w:rsid w:val="3DC76F84"/>
    <w:rsid w:val="3DCB3722"/>
    <w:rsid w:val="3DCE78B6"/>
    <w:rsid w:val="3DD842EA"/>
    <w:rsid w:val="3DDB568F"/>
    <w:rsid w:val="3DE57DBE"/>
    <w:rsid w:val="3DE7693E"/>
    <w:rsid w:val="3DEA2CEE"/>
    <w:rsid w:val="3DED69EA"/>
    <w:rsid w:val="3E0367AE"/>
    <w:rsid w:val="3E101D62"/>
    <w:rsid w:val="3E264AF2"/>
    <w:rsid w:val="3E2D4EFE"/>
    <w:rsid w:val="3E3F3D23"/>
    <w:rsid w:val="3E4D7A60"/>
    <w:rsid w:val="3E7072B3"/>
    <w:rsid w:val="3E7E1B7C"/>
    <w:rsid w:val="3E8C6495"/>
    <w:rsid w:val="3EA452C3"/>
    <w:rsid w:val="3EAE2B75"/>
    <w:rsid w:val="3ECC1E3C"/>
    <w:rsid w:val="3EDA0523"/>
    <w:rsid w:val="3EE67DDF"/>
    <w:rsid w:val="3EFD010C"/>
    <w:rsid w:val="3F0A5AC5"/>
    <w:rsid w:val="3F0E352F"/>
    <w:rsid w:val="3F0F46A2"/>
    <w:rsid w:val="3F114EA4"/>
    <w:rsid w:val="3F143A0B"/>
    <w:rsid w:val="3F16680E"/>
    <w:rsid w:val="3F2D777A"/>
    <w:rsid w:val="3F2E3AD1"/>
    <w:rsid w:val="3F301FC1"/>
    <w:rsid w:val="3F402E26"/>
    <w:rsid w:val="3F467E33"/>
    <w:rsid w:val="3F4C5993"/>
    <w:rsid w:val="3F4F7EEC"/>
    <w:rsid w:val="3F5C3D2E"/>
    <w:rsid w:val="3F653C54"/>
    <w:rsid w:val="3F702A1E"/>
    <w:rsid w:val="3F7627A0"/>
    <w:rsid w:val="3F907129"/>
    <w:rsid w:val="3F9410E8"/>
    <w:rsid w:val="3F9A0C01"/>
    <w:rsid w:val="3FA45B7A"/>
    <w:rsid w:val="3FBB48C6"/>
    <w:rsid w:val="3FC74D01"/>
    <w:rsid w:val="3FE311FB"/>
    <w:rsid w:val="3FEE29B7"/>
    <w:rsid w:val="3FEF631E"/>
    <w:rsid w:val="3FF444D0"/>
    <w:rsid w:val="40296967"/>
    <w:rsid w:val="402D656A"/>
    <w:rsid w:val="40306AF9"/>
    <w:rsid w:val="404830E9"/>
    <w:rsid w:val="404B4713"/>
    <w:rsid w:val="407A6407"/>
    <w:rsid w:val="407D2E6A"/>
    <w:rsid w:val="40850CDD"/>
    <w:rsid w:val="40884E18"/>
    <w:rsid w:val="4089218D"/>
    <w:rsid w:val="408D3643"/>
    <w:rsid w:val="408D67CC"/>
    <w:rsid w:val="409969B6"/>
    <w:rsid w:val="40B24C09"/>
    <w:rsid w:val="40CA5609"/>
    <w:rsid w:val="40CE6656"/>
    <w:rsid w:val="40CF6101"/>
    <w:rsid w:val="40D37D19"/>
    <w:rsid w:val="40F06A4B"/>
    <w:rsid w:val="40F2750E"/>
    <w:rsid w:val="40F7546D"/>
    <w:rsid w:val="41051582"/>
    <w:rsid w:val="410B4BB4"/>
    <w:rsid w:val="412065EA"/>
    <w:rsid w:val="41233179"/>
    <w:rsid w:val="412344AD"/>
    <w:rsid w:val="412535C7"/>
    <w:rsid w:val="41353966"/>
    <w:rsid w:val="413C53B0"/>
    <w:rsid w:val="4149609A"/>
    <w:rsid w:val="414F4C70"/>
    <w:rsid w:val="41830F2E"/>
    <w:rsid w:val="41955799"/>
    <w:rsid w:val="41962EF5"/>
    <w:rsid w:val="41A2426E"/>
    <w:rsid w:val="41C430A4"/>
    <w:rsid w:val="41C74ED5"/>
    <w:rsid w:val="41E50DB1"/>
    <w:rsid w:val="41ED30C5"/>
    <w:rsid w:val="4200449D"/>
    <w:rsid w:val="420F2B54"/>
    <w:rsid w:val="42117EF0"/>
    <w:rsid w:val="42130460"/>
    <w:rsid w:val="421E498A"/>
    <w:rsid w:val="422B5DAF"/>
    <w:rsid w:val="42322242"/>
    <w:rsid w:val="42332590"/>
    <w:rsid w:val="423A3BCC"/>
    <w:rsid w:val="423A78AB"/>
    <w:rsid w:val="42480C06"/>
    <w:rsid w:val="424E57D2"/>
    <w:rsid w:val="425E7906"/>
    <w:rsid w:val="425F03D0"/>
    <w:rsid w:val="42611E51"/>
    <w:rsid w:val="42624D35"/>
    <w:rsid w:val="426A1448"/>
    <w:rsid w:val="426E3E72"/>
    <w:rsid w:val="42703C80"/>
    <w:rsid w:val="42764AD5"/>
    <w:rsid w:val="42786FFA"/>
    <w:rsid w:val="427D4465"/>
    <w:rsid w:val="4289309A"/>
    <w:rsid w:val="428B1E08"/>
    <w:rsid w:val="428B2A4F"/>
    <w:rsid w:val="428C3728"/>
    <w:rsid w:val="42920343"/>
    <w:rsid w:val="42A514C4"/>
    <w:rsid w:val="42B26C49"/>
    <w:rsid w:val="42CA4C6A"/>
    <w:rsid w:val="42CF2ADA"/>
    <w:rsid w:val="42E52476"/>
    <w:rsid w:val="42E654D5"/>
    <w:rsid w:val="42F56341"/>
    <w:rsid w:val="42FF49E4"/>
    <w:rsid w:val="4317479F"/>
    <w:rsid w:val="433A6FE6"/>
    <w:rsid w:val="43405DE5"/>
    <w:rsid w:val="43452C4A"/>
    <w:rsid w:val="43480868"/>
    <w:rsid w:val="434D7F2B"/>
    <w:rsid w:val="43506C4E"/>
    <w:rsid w:val="4350713C"/>
    <w:rsid w:val="43572B58"/>
    <w:rsid w:val="436106D1"/>
    <w:rsid w:val="436653E0"/>
    <w:rsid w:val="4377167D"/>
    <w:rsid w:val="43811F87"/>
    <w:rsid w:val="4388587A"/>
    <w:rsid w:val="43940FFD"/>
    <w:rsid w:val="43B93392"/>
    <w:rsid w:val="43C4431A"/>
    <w:rsid w:val="43CA280D"/>
    <w:rsid w:val="43E70C9F"/>
    <w:rsid w:val="43ED4466"/>
    <w:rsid w:val="43F16B09"/>
    <w:rsid w:val="43F53FEE"/>
    <w:rsid w:val="44064915"/>
    <w:rsid w:val="4407632C"/>
    <w:rsid w:val="440D0254"/>
    <w:rsid w:val="440F51E1"/>
    <w:rsid w:val="44134203"/>
    <w:rsid w:val="4415152D"/>
    <w:rsid w:val="44344809"/>
    <w:rsid w:val="44654A89"/>
    <w:rsid w:val="44684E69"/>
    <w:rsid w:val="44760DBC"/>
    <w:rsid w:val="447B5D44"/>
    <w:rsid w:val="447D7C55"/>
    <w:rsid w:val="447F77BB"/>
    <w:rsid w:val="44871968"/>
    <w:rsid w:val="4494246E"/>
    <w:rsid w:val="449712EE"/>
    <w:rsid w:val="44B951CC"/>
    <w:rsid w:val="44BB4684"/>
    <w:rsid w:val="44C350BE"/>
    <w:rsid w:val="44C42913"/>
    <w:rsid w:val="44CB5602"/>
    <w:rsid w:val="44CD14E0"/>
    <w:rsid w:val="44CE5628"/>
    <w:rsid w:val="44E45B30"/>
    <w:rsid w:val="44E76607"/>
    <w:rsid w:val="44F20B0B"/>
    <w:rsid w:val="44F3185F"/>
    <w:rsid w:val="45004FDB"/>
    <w:rsid w:val="450D0C68"/>
    <w:rsid w:val="450F158C"/>
    <w:rsid w:val="45226855"/>
    <w:rsid w:val="45274E6C"/>
    <w:rsid w:val="452E5F4C"/>
    <w:rsid w:val="45361BFF"/>
    <w:rsid w:val="45382969"/>
    <w:rsid w:val="45457CBE"/>
    <w:rsid w:val="454F3AE7"/>
    <w:rsid w:val="45612018"/>
    <w:rsid w:val="457667CA"/>
    <w:rsid w:val="457731E7"/>
    <w:rsid w:val="457B7869"/>
    <w:rsid w:val="457F692A"/>
    <w:rsid w:val="457F787C"/>
    <w:rsid w:val="458852EE"/>
    <w:rsid w:val="45886FF9"/>
    <w:rsid w:val="458946E9"/>
    <w:rsid w:val="458B0E76"/>
    <w:rsid w:val="458C1224"/>
    <w:rsid w:val="45975CBC"/>
    <w:rsid w:val="459C60A2"/>
    <w:rsid w:val="459F48A0"/>
    <w:rsid w:val="45A47C0E"/>
    <w:rsid w:val="45A55DFD"/>
    <w:rsid w:val="45A721B3"/>
    <w:rsid w:val="45AB7CA5"/>
    <w:rsid w:val="45AD4F07"/>
    <w:rsid w:val="45BC23FD"/>
    <w:rsid w:val="45C2544E"/>
    <w:rsid w:val="45C27DA9"/>
    <w:rsid w:val="45C5520E"/>
    <w:rsid w:val="45DD4736"/>
    <w:rsid w:val="460F7F51"/>
    <w:rsid w:val="4612040A"/>
    <w:rsid w:val="461246F7"/>
    <w:rsid w:val="46400D94"/>
    <w:rsid w:val="46443C20"/>
    <w:rsid w:val="46577FD6"/>
    <w:rsid w:val="465F20A2"/>
    <w:rsid w:val="4660415A"/>
    <w:rsid w:val="466C1A51"/>
    <w:rsid w:val="46752090"/>
    <w:rsid w:val="46850BB1"/>
    <w:rsid w:val="46A428E2"/>
    <w:rsid w:val="46D5580A"/>
    <w:rsid w:val="46D955A7"/>
    <w:rsid w:val="46DB09AD"/>
    <w:rsid w:val="46DF74D7"/>
    <w:rsid w:val="46F4079E"/>
    <w:rsid w:val="46F67B7D"/>
    <w:rsid w:val="47024B89"/>
    <w:rsid w:val="47133957"/>
    <w:rsid w:val="47164068"/>
    <w:rsid w:val="471709F8"/>
    <w:rsid w:val="471C5DE5"/>
    <w:rsid w:val="47347DD3"/>
    <w:rsid w:val="474014A2"/>
    <w:rsid w:val="474E6CAB"/>
    <w:rsid w:val="47543636"/>
    <w:rsid w:val="47545812"/>
    <w:rsid w:val="475D1451"/>
    <w:rsid w:val="475F2A4C"/>
    <w:rsid w:val="476128B1"/>
    <w:rsid w:val="47631880"/>
    <w:rsid w:val="47654E20"/>
    <w:rsid w:val="47715979"/>
    <w:rsid w:val="477E5CB2"/>
    <w:rsid w:val="47833F1C"/>
    <w:rsid w:val="47841A42"/>
    <w:rsid w:val="47A07E0C"/>
    <w:rsid w:val="47A770C3"/>
    <w:rsid w:val="47D118D7"/>
    <w:rsid w:val="47E2679A"/>
    <w:rsid w:val="47E93FC1"/>
    <w:rsid w:val="481D3FD0"/>
    <w:rsid w:val="482074B6"/>
    <w:rsid w:val="4839050D"/>
    <w:rsid w:val="483F5742"/>
    <w:rsid w:val="484761FB"/>
    <w:rsid w:val="48505174"/>
    <w:rsid w:val="485A59A1"/>
    <w:rsid w:val="4870272E"/>
    <w:rsid w:val="487269CC"/>
    <w:rsid w:val="487F2F69"/>
    <w:rsid w:val="488D309A"/>
    <w:rsid w:val="48A162E5"/>
    <w:rsid w:val="48C07043"/>
    <w:rsid w:val="48E41A34"/>
    <w:rsid w:val="48FD1BE6"/>
    <w:rsid w:val="49086163"/>
    <w:rsid w:val="490B65B7"/>
    <w:rsid w:val="4911366B"/>
    <w:rsid w:val="491C11B2"/>
    <w:rsid w:val="49225BD0"/>
    <w:rsid w:val="49255DD2"/>
    <w:rsid w:val="49325F45"/>
    <w:rsid w:val="49343F36"/>
    <w:rsid w:val="493A5724"/>
    <w:rsid w:val="493C28F3"/>
    <w:rsid w:val="493E3074"/>
    <w:rsid w:val="49425F67"/>
    <w:rsid w:val="49444FF0"/>
    <w:rsid w:val="494F09B2"/>
    <w:rsid w:val="495D27ED"/>
    <w:rsid w:val="496008FB"/>
    <w:rsid w:val="496617A5"/>
    <w:rsid w:val="49747998"/>
    <w:rsid w:val="49792212"/>
    <w:rsid w:val="49837687"/>
    <w:rsid w:val="4987163B"/>
    <w:rsid w:val="49896CB2"/>
    <w:rsid w:val="49A037AF"/>
    <w:rsid w:val="49A3420A"/>
    <w:rsid w:val="49A51A9D"/>
    <w:rsid w:val="49A573A2"/>
    <w:rsid w:val="49AD34D2"/>
    <w:rsid w:val="49B16E10"/>
    <w:rsid w:val="49BB3CA9"/>
    <w:rsid w:val="49BD52A8"/>
    <w:rsid w:val="49C2488D"/>
    <w:rsid w:val="49D37AE3"/>
    <w:rsid w:val="49DC7715"/>
    <w:rsid w:val="49ED7870"/>
    <w:rsid w:val="49EF450F"/>
    <w:rsid w:val="49EF6290"/>
    <w:rsid w:val="49F33012"/>
    <w:rsid w:val="4A023139"/>
    <w:rsid w:val="4A0F39E7"/>
    <w:rsid w:val="4A1B4808"/>
    <w:rsid w:val="4A346D7D"/>
    <w:rsid w:val="4A3B6D2F"/>
    <w:rsid w:val="4A474C35"/>
    <w:rsid w:val="4A5F562E"/>
    <w:rsid w:val="4A6772FA"/>
    <w:rsid w:val="4A684A2E"/>
    <w:rsid w:val="4A6F0787"/>
    <w:rsid w:val="4A7B576F"/>
    <w:rsid w:val="4A7B712C"/>
    <w:rsid w:val="4A7F2220"/>
    <w:rsid w:val="4A8D7EEA"/>
    <w:rsid w:val="4A94441E"/>
    <w:rsid w:val="4A9C536D"/>
    <w:rsid w:val="4A9D37B4"/>
    <w:rsid w:val="4AA24A1B"/>
    <w:rsid w:val="4AB20A26"/>
    <w:rsid w:val="4ABA1C8E"/>
    <w:rsid w:val="4AD507FF"/>
    <w:rsid w:val="4ADA5E4C"/>
    <w:rsid w:val="4AE9767C"/>
    <w:rsid w:val="4AF561A9"/>
    <w:rsid w:val="4B0424FE"/>
    <w:rsid w:val="4B0F1172"/>
    <w:rsid w:val="4B271062"/>
    <w:rsid w:val="4B296B88"/>
    <w:rsid w:val="4B4B4D7A"/>
    <w:rsid w:val="4B6330E9"/>
    <w:rsid w:val="4B6656C3"/>
    <w:rsid w:val="4B667F8E"/>
    <w:rsid w:val="4B6F1D2F"/>
    <w:rsid w:val="4B8200F2"/>
    <w:rsid w:val="4B866A83"/>
    <w:rsid w:val="4B89330D"/>
    <w:rsid w:val="4B8F6537"/>
    <w:rsid w:val="4B943223"/>
    <w:rsid w:val="4B9958C3"/>
    <w:rsid w:val="4BA1201C"/>
    <w:rsid w:val="4BA34320"/>
    <w:rsid w:val="4BA532DB"/>
    <w:rsid w:val="4BA870A8"/>
    <w:rsid w:val="4BB83A36"/>
    <w:rsid w:val="4BBE5FF2"/>
    <w:rsid w:val="4BC44B03"/>
    <w:rsid w:val="4BC51ABA"/>
    <w:rsid w:val="4BD53AEB"/>
    <w:rsid w:val="4BD90651"/>
    <w:rsid w:val="4BDF5935"/>
    <w:rsid w:val="4BF4069C"/>
    <w:rsid w:val="4BF4132A"/>
    <w:rsid w:val="4C090245"/>
    <w:rsid w:val="4C092B02"/>
    <w:rsid w:val="4C15336F"/>
    <w:rsid w:val="4C1D417B"/>
    <w:rsid w:val="4C2061DD"/>
    <w:rsid w:val="4C2671EE"/>
    <w:rsid w:val="4C373CF9"/>
    <w:rsid w:val="4C461DFB"/>
    <w:rsid w:val="4C4A0649"/>
    <w:rsid w:val="4C4E2178"/>
    <w:rsid w:val="4C4E2BE2"/>
    <w:rsid w:val="4C515595"/>
    <w:rsid w:val="4C521BE1"/>
    <w:rsid w:val="4C5362CC"/>
    <w:rsid w:val="4C575EEE"/>
    <w:rsid w:val="4C6F79F2"/>
    <w:rsid w:val="4C713277"/>
    <w:rsid w:val="4C797B64"/>
    <w:rsid w:val="4C7D6AAD"/>
    <w:rsid w:val="4C7E5ECA"/>
    <w:rsid w:val="4C835CAB"/>
    <w:rsid w:val="4C871E2E"/>
    <w:rsid w:val="4C876AA5"/>
    <w:rsid w:val="4C900B30"/>
    <w:rsid w:val="4CAA1F4A"/>
    <w:rsid w:val="4CD53880"/>
    <w:rsid w:val="4CD71E5F"/>
    <w:rsid w:val="4CDB68EF"/>
    <w:rsid w:val="4CDC6396"/>
    <w:rsid w:val="4CF74DF1"/>
    <w:rsid w:val="4D020FCE"/>
    <w:rsid w:val="4D0478AD"/>
    <w:rsid w:val="4D0C66CB"/>
    <w:rsid w:val="4D0E00FB"/>
    <w:rsid w:val="4D1439BE"/>
    <w:rsid w:val="4D176606"/>
    <w:rsid w:val="4D292142"/>
    <w:rsid w:val="4D2C295F"/>
    <w:rsid w:val="4D3341F0"/>
    <w:rsid w:val="4D531B6F"/>
    <w:rsid w:val="4D620B23"/>
    <w:rsid w:val="4D7D09E7"/>
    <w:rsid w:val="4D7D33AF"/>
    <w:rsid w:val="4D80331C"/>
    <w:rsid w:val="4D810EFD"/>
    <w:rsid w:val="4D885613"/>
    <w:rsid w:val="4D8D2E03"/>
    <w:rsid w:val="4DBF1A26"/>
    <w:rsid w:val="4DD12810"/>
    <w:rsid w:val="4DD64EA9"/>
    <w:rsid w:val="4DE05FD3"/>
    <w:rsid w:val="4DEC25CF"/>
    <w:rsid w:val="4DEC4FB0"/>
    <w:rsid w:val="4DF64D01"/>
    <w:rsid w:val="4DF9095E"/>
    <w:rsid w:val="4DFA480C"/>
    <w:rsid w:val="4E041E20"/>
    <w:rsid w:val="4E075D8A"/>
    <w:rsid w:val="4E0A4E26"/>
    <w:rsid w:val="4E0C1FCE"/>
    <w:rsid w:val="4E2374C8"/>
    <w:rsid w:val="4E2B509C"/>
    <w:rsid w:val="4E3B7DC8"/>
    <w:rsid w:val="4E4B2E8C"/>
    <w:rsid w:val="4E5918F8"/>
    <w:rsid w:val="4E594F57"/>
    <w:rsid w:val="4E7469E4"/>
    <w:rsid w:val="4E813E16"/>
    <w:rsid w:val="4E8E142A"/>
    <w:rsid w:val="4E932BC8"/>
    <w:rsid w:val="4EA5346F"/>
    <w:rsid w:val="4EA65831"/>
    <w:rsid w:val="4EAE0FFE"/>
    <w:rsid w:val="4EB35641"/>
    <w:rsid w:val="4EBB4D2C"/>
    <w:rsid w:val="4EC00FAD"/>
    <w:rsid w:val="4EC3301B"/>
    <w:rsid w:val="4EE42A8C"/>
    <w:rsid w:val="4EE46ABE"/>
    <w:rsid w:val="4EED6A89"/>
    <w:rsid w:val="4EF632C3"/>
    <w:rsid w:val="4F111E0D"/>
    <w:rsid w:val="4F304531"/>
    <w:rsid w:val="4F47215B"/>
    <w:rsid w:val="4F4C7C49"/>
    <w:rsid w:val="4F601ECF"/>
    <w:rsid w:val="4F7A2DB5"/>
    <w:rsid w:val="4F8449C1"/>
    <w:rsid w:val="4F8F63DD"/>
    <w:rsid w:val="4F932A34"/>
    <w:rsid w:val="4F9843DC"/>
    <w:rsid w:val="4FA50603"/>
    <w:rsid w:val="4FAF5AF9"/>
    <w:rsid w:val="4FB62866"/>
    <w:rsid w:val="4FC62A8C"/>
    <w:rsid w:val="4FE20F0D"/>
    <w:rsid w:val="4FE51552"/>
    <w:rsid w:val="4FEA7DCD"/>
    <w:rsid w:val="500141A3"/>
    <w:rsid w:val="501B46D5"/>
    <w:rsid w:val="502378DB"/>
    <w:rsid w:val="502C5121"/>
    <w:rsid w:val="50357FE9"/>
    <w:rsid w:val="503A1947"/>
    <w:rsid w:val="503B3B11"/>
    <w:rsid w:val="503C1682"/>
    <w:rsid w:val="503C36CD"/>
    <w:rsid w:val="504C278A"/>
    <w:rsid w:val="504C759C"/>
    <w:rsid w:val="50504C4B"/>
    <w:rsid w:val="505B002D"/>
    <w:rsid w:val="505E04E8"/>
    <w:rsid w:val="506D2D54"/>
    <w:rsid w:val="506D39BB"/>
    <w:rsid w:val="50706F04"/>
    <w:rsid w:val="50707007"/>
    <w:rsid w:val="50707FEE"/>
    <w:rsid w:val="509251CF"/>
    <w:rsid w:val="509B6FFA"/>
    <w:rsid w:val="509C6E7C"/>
    <w:rsid w:val="50A143C0"/>
    <w:rsid w:val="50A36856"/>
    <w:rsid w:val="50AB13A9"/>
    <w:rsid w:val="50B124D8"/>
    <w:rsid w:val="50B22EC8"/>
    <w:rsid w:val="50BD624C"/>
    <w:rsid w:val="50C64592"/>
    <w:rsid w:val="50DD469C"/>
    <w:rsid w:val="50EA2022"/>
    <w:rsid w:val="51010DE6"/>
    <w:rsid w:val="511641BA"/>
    <w:rsid w:val="511C57EF"/>
    <w:rsid w:val="512A32DA"/>
    <w:rsid w:val="51366A4B"/>
    <w:rsid w:val="513C4A21"/>
    <w:rsid w:val="515E48D1"/>
    <w:rsid w:val="5162104E"/>
    <w:rsid w:val="51736DAF"/>
    <w:rsid w:val="517F2784"/>
    <w:rsid w:val="518B0578"/>
    <w:rsid w:val="51A42868"/>
    <w:rsid w:val="51C575E8"/>
    <w:rsid w:val="51DF5B75"/>
    <w:rsid w:val="51E17140"/>
    <w:rsid w:val="51E30C13"/>
    <w:rsid w:val="51F4226E"/>
    <w:rsid w:val="51F872B4"/>
    <w:rsid w:val="52000202"/>
    <w:rsid w:val="52113B07"/>
    <w:rsid w:val="521A722A"/>
    <w:rsid w:val="52274CF3"/>
    <w:rsid w:val="522A5C9F"/>
    <w:rsid w:val="52363773"/>
    <w:rsid w:val="526369F1"/>
    <w:rsid w:val="52642D2F"/>
    <w:rsid w:val="526731E3"/>
    <w:rsid w:val="526C4004"/>
    <w:rsid w:val="526C6A20"/>
    <w:rsid w:val="52893109"/>
    <w:rsid w:val="528B0128"/>
    <w:rsid w:val="529164B3"/>
    <w:rsid w:val="52AC6530"/>
    <w:rsid w:val="52B11E36"/>
    <w:rsid w:val="52D40070"/>
    <w:rsid w:val="52F01B80"/>
    <w:rsid w:val="53012582"/>
    <w:rsid w:val="530B3454"/>
    <w:rsid w:val="530E52B6"/>
    <w:rsid w:val="53144422"/>
    <w:rsid w:val="531D1EB9"/>
    <w:rsid w:val="531D4F56"/>
    <w:rsid w:val="53256ACF"/>
    <w:rsid w:val="53503830"/>
    <w:rsid w:val="53540175"/>
    <w:rsid w:val="5371089E"/>
    <w:rsid w:val="53746AB1"/>
    <w:rsid w:val="537B019D"/>
    <w:rsid w:val="537D589C"/>
    <w:rsid w:val="538250E3"/>
    <w:rsid w:val="53860F02"/>
    <w:rsid w:val="53984ED9"/>
    <w:rsid w:val="53A039CC"/>
    <w:rsid w:val="53A1505A"/>
    <w:rsid w:val="53AD56B9"/>
    <w:rsid w:val="53AE0572"/>
    <w:rsid w:val="53E83C7A"/>
    <w:rsid w:val="53EE5FF2"/>
    <w:rsid w:val="53EF08A4"/>
    <w:rsid w:val="53F56C2E"/>
    <w:rsid w:val="54063E08"/>
    <w:rsid w:val="54287D2C"/>
    <w:rsid w:val="542B32C6"/>
    <w:rsid w:val="542C7D3F"/>
    <w:rsid w:val="543437E8"/>
    <w:rsid w:val="543A58E8"/>
    <w:rsid w:val="543C5B7E"/>
    <w:rsid w:val="54520EFE"/>
    <w:rsid w:val="545809DB"/>
    <w:rsid w:val="545E1103"/>
    <w:rsid w:val="54607BC5"/>
    <w:rsid w:val="54706DDA"/>
    <w:rsid w:val="54A84B82"/>
    <w:rsid w:val="54BA4CF5"/>
    <w:rsid w:val="54C904E4"/>
    <w:rsid w:val="54CC2935"/>
    <w:rsid w:val="54DF56A3"/>
    <w:rsid w:val="54E20751"/>
    <w:rsid w:val="54F73313"/>
    <w:rsid w:val="54F80955"/>
    <w:rsid w:val="54F9581D"/>
    <w:rsid w:val="551056B5"/>
    <w:rsid w:val="552704DE"/>
    <w:rsid w:val="55294F04"/>
    <w:rsid w:val="5543118E"/>
    <w:rsid w:val="555170A7"/>
    <w:rsid w:val="55696993"/>
    <w:rsid w:val="557E5D22"/>
    <w:rsid w:val="5583158B"/>
    <w:rsid w:val="5587536D"/>
    <w:rsid w:val="558A0B6B"/>
    <w:rsid w:val="558D2B10"/>
    <w:rsid w:val="558D7297"/>
    <w:rsid w:val="559269FF"/>
    <w:rsid w:val="559B174B"/>
    <w:rsid w:val="55A02F76"/>
    <w:rsid w:val="55AE459E"/>
    <w:rsid w:val="55AF14F9"/>
    <w:rsid w:val="55B12BA8"/>
    <w:rsid w:val="55B1314D"/>
    <w:rsid w:val="55CE0CF4"/>
    <w:rsid w:val="55DA7CD6"/>
    <w:rsid w:val="55F35EFF"/>
    <w:rsid w:val="55F907FF"/>
    <w:rsid w:val="5606797F"/>
    <w:rsid w:val="56207C2B"/>
    <w:rsid w:val="562E5603"/>
    <w:rsid w:val="56354B45"/>
    <w:rsid w:val="56374EAA"/>
    <w:rsid w:val="5641747C"/>
    <w:rsid w:val="56551307"/>
    <w:rsid w:val="566E12B2"/>
    <w:rsid w:val="5673115F"/>
    <w:rsid w:val="56785D5C"/>
    <w:rsid w:val="569B7451"/>
    <w:rsid w:val="569B75FB"/>
    <w:rsid w:val="56B22A9C"/>
    <w:rsid w:val="56B81EB6"/>
    <w:rsid w:val="56B82F1D"/>
    <w:rsid w:val="56BC55AE"/>
    <w:rsid w:val="56E15D30"/>
    <w:rsid w:val="56EE21F5"/>
    <w:rsid w:val="56EF6CA0"/>
    <w:rsid w:val="56FA180D"/>
    <w:rsid w:val="56FC4BA7"/>
    <w:rsid w:val="56FD5545"/>
    <w:rsid w:val="57057A88"/>
    <w:rsid w:val="57074C24"/>
    <w:rsid w:val="570D547D"/>
    <w:rsid w:val="57110377"/>
    <w:rsid w:val="571E29B2"/>
    <w:rsid w:val="57201787"/>
    <w:rsid w:val="57201E7D"/>
    <w:rsid w:val="57306992"/>
    <w:rsid w:val="57363021"/>
    <w:rsid w:val="5739542A"/>
    <w:rsid w:val="575B2FEA"/>
    <w:rsid w:val="5762552C"/>
    <w:rsid w:val="577A7138"/>
    <w:rsid w:val="578332CF"/>
    <w:rsid w:val="57881761"/>
    <w:rsid w:val="5788782C"/>
    <w:rsid w:val="578A5233"/>
    <w:rsid w:val="579933E3"/>
    <w:rsid w:val="579954F5"/>
    <w:rsid w:val="57A000DB"/>
    <w:rsid w:val="57AD2106"/>
    <w:rsid w:val="57B72A76"/>
    <w:rsid w:val="57BB1155"/>
    <w:rsid w:val="57BC485B"/>
    <w:rsid w:val="57C174AB"/>
    <w:rsid w:val="57C33533"/>
    <w:rsid w:val="57C3426C"/>
    <w:rsid w:val="57CE1F93"/>
    <w:rsid w:val="57D2100B"/>
    <w:rsid w:val="57D65D4E"/>
    <w:rsid w:val="57E011BC"/>
    <w:rsid w:val="57E26ABC"/>
    <w:rsid w:val="57F16C7F"/>
    <w:rsid w:val="57F5339A"/>
    <w:rsid w:val="57F54FF9"/>
    <w:rsid w:val="5802435D"/>
    <w:rsid w:val="58111AAA"/>
    <w:rsid w:val="58152DE3"/>
    <w:rsid w:val="582F0E4F"/>
    <w:rsid w:val="58315F63"/>
    <w:rsid w:val="58410767"/>
    <w:rsid w:val="585A3481"/>
    <w:rsid w:val="585D31C3"/>
    <w:rsid w:val="586132BB"/>
    <w:rsid w:val="586C4FB5"/>
    <w:rsid w:val="5878114F"/>
    <w:rsid w:val="587D665A"/>
    <w:rsid w:val="58801DB1"/>
    <w:rsid w:val="588743D1"/>
    <w:rsid w:val="5887701A"/>
    <w:rsid w:val="589A10C5"/>
    <w:rsid w:val="58A23189"/>
    <w:rsid w:val="58A610DF"/>
    <w:rsid w:val="58B25161"/>
    <w:rsid w:val="58B53004"/>
    <w:rsid w:val="58BF0B2C"/>
    <w:rsid w:val="58C6396B"/>
    <w:rsid w:val="58DB3CC8"/>
    <w:rsid w:val="58E078C5"/>
    <w:rsid w:val="58EC21FF"/>
    <w:rsid w:val="58F951C9"/>
    <w:rsid w:val="58FD484E"/>
    <w:rsid w:val="59076AA4"/>
    <w:rsid w:val="591D603A"/>
    <w:rsid w:val="59333AF7"/>
    <w:rsid w:val="59530333"/>
    <w:rsid w:val="59601C33"/>
    <w:rsid w:val="596D1DFE"/>
    <w:rsid w:val="5971586D"/>
    <w:rsid w:val="597407EF"/>
    <w:rsid w:val="597E4984"/>
    <w:rsid w:val="59803FE2"/>
    <w:rsid w:val="598E258C"/>
    <w:rsid w:val="59922EC2"/>
    <w:rsid w:val="5999679A"/>
    <w:rsid w:val="599A3B6B"/>
    <w:rsid w:val="59A044B9"/>
    <w:rsid w:val="59AB5998"/>
    <w:rsid w:val="59AF0BA0"/>
    <w:rsid w:val="59B23D67"/>
    <w:rsid w:val="59C0439F"/>
    <w:rsid w:val="59DA72AD"/>
    <w:rsid w:val="59DD119C"/>
    <w:rsid w:val="59E00D5A"/>
    <w:rsid w:val="59E206DD"/>
    <w:rsid w:val="59E77602"/>
    <w:rsid w:val="59FA1DAE"/>
    <w:rsid w:val="5A094754"/>
    <w:rsid w:val="5A0C7DA1"/>
    <w:rsid w:val="5A241546"/>
    <w:rsid w:val="5A292EB5"/>
    <w:rsid w:val="5A332B1E"/>
    <w:rsid w:val="5A380C68"/>
    <w:rsid w:val="5A433E8F"/>
    <w:rsid w:val="5A64292F"/>
    <w:rsid w:val="5A684473"/>
    <w:rsid w:val="5A711F3A"/>
    <w:rsid w:val="5A91496C"/>
    <w:rsid w:val="5AAE2C06"/>
    <w:rsid w:val="5ABE2233"/>
    <w:rsid w:val="5AC23A05"/>
    <w:rsid w:val="5AC301ED"/>
    <w:rsid w:val="5AC32B55"/>
    <w:rsid w:val="5AC73CC7"/>
    <w:rsid w:val="5ACB302D"/>
    <w:rsid w:val="5AD47F0C"/>
    <w:rsid w:val="5AD51EA0"/>
    <w:rsid w:val="5ADC589F"/>
    <w:rsid w:val="5AED6458"/>
    <w:rsid w:val="5B250459"/>
    <w:rsid w:val="5B276375"/>
    <w:rsid w:val="5B3A63AD"/>
    <w:rsid w:val="5B3F5F54"/>
    <w:rsid w:val="5B46698D"/>
    <w:rsid w:val="5B4C1CC2"/>
    <w:rsid w:val="5B4F1634"/>
    <w:rsid w:val="5B5639C9"/>
    <w:rsid w:val="5B5F02F0"/>
    <w:rsid w:val="5B7749EC"/>
    <w:rsid w:val="5B7D2C2D"/>
    <w:rsid w:val="5B9C1782"/>
    <w:rsid w:val="5BA447C4"/>
    <w:rsid w:val="5BA65CCD"/>
    <w:rsid w:val="5BA913F1"/>
    <w:rsid w:val="5BBB73F9"/>
    <w:rsid w:val="5BCA4F70"/>
    <w:rsid w:val="5BDF5D95"/>
    <w:rsid w:val="5BE13EC6"/>
    <w:rsid w:val="5BF32AEA"/>
    <w:rsid w:val="5BF85D21"/>
    <w:rsid w:val="5BFE7528"/>
    <w:rsid w:val="5C110814"/>
    <w:rsid w:val="5C215B47"/>
    <w:rsid w:val="5C2360FB"/>
    <w:rsid w:val="5C2C0E70"/>
    <w:rsid w:val="5C2C6AB7"/>
    <w:rsid w:val="5C307260"/>
    <w:rsid w:val="5C637CEC"/>
    <w:rsid w:val="5C8C6F77"/>
    <w:rsid w:val="5C8D6C54"/>
    <w:rsid w:val="5CAE75C8"/>
    <w:rsid w:val="5CBA7F88"/>
    <w:rsid w:val="5CBD1826"/>
    <w:rsid w:val="5CC22EA7"/>
    <w:rsid w:val="5CC84367"/>
    <w:rsid w:val="5CCC30BE"/>
    <w:rsid w:val="5CD9609A"/>
    <w:rsid w:val="5CDA54BA"/>
    <w:rsid w:val="5CEB1E7E"/>
    <w:rsid w:val="5CF84154"/>
    <w:rsid w:val="5D061EFE"/>
    <w:rsid w:val="5D102772"/>
    <w:rsid w:val="5D1656B9"/>
    <w:rsid w:val="5D276C9F"/>
    <w:rsid w:val="5D2825E9"/>
    <w:rsid w:val="5D301F08"/>
    <w:rsid w:val="5D3D57DD"/>
    <w:rsid w:val="5D481A66"/>
    <w:rsid w:val="5D6409D6"/>
    <w:rsid w:val="5D663896"/>
    <w:rsid w:val="5D702FB5"/>
    <w:rsid w:val="5D706898"/>
    <w:rsid w:val="5D733FEF"/>
    <w:rsid w:val="5D79399F"/>
    <w:rsid w:val="5D802FF1"/>
    <w:rsid w:val="5D852D4C"/>
    <w:rsid w:val="5D9E1657"/>
    <w:rsid w:val="5DA86F8A"/>
    <w:rsid w:val="5DB36B47"/>
    <w:rsid w:val="5DBD5085"/>
    <w:rsid w:val="5DC05631"/>
    <w:rsid w:val="5DC07B22"/>
    <w:rsid w:val="5DC07B25"/>
    <w:rsid w:val="5DD84CF0"/>
    <w:rsid w:val="5DDB1F64"/>
    <w:rsid w:val="5DDE22FC"/>
    <w:rsid w:val="5DE828D3"/>
    <w:rsid w:val="5E080D24"/>
    <w:rsid w:val="5E140698"/>
    <w:rsid w:val="5E234ECD"/>
    <w:rsid w:val="5E2467F1"/>
    <w:rsid w:val="5E257683"/>
    <w:rsid w:val="5E345B6A"/>
    <w:rsid w:val="5E376244"/>
    <w:rsid w:val="5E427997"/>
    <w:rsid w:val="5E48479E"/>
    <w:rsid w:val="5E4C7404"/>
    <w:rsid w:val="5E526DBA"/>
    <w:rsid w:val="5E5276C9"/>
    <w:rsid w:val="5E545FC7"/>
    <w:rsid w:val="5E5D23B4"/>
    <w:rsid w:val="5E613807"/>
    <w:rsid w:val="5E685278"/>
    <w:rsid w:val="5E6F31AA"/>
    <w:rsid w:val="5E7A785C"/>
    <w:rsid w:val="5E8E1FD8"/>
    <w:rsid w:val="5E930A90"/>
    <w:rsid w:val="5EA07AA0"/>
    <w:rsid w:val="5EB94E99"/>
    <w:rsid w:val="5EDF2562"/>
    <w:rsid w:val="5EE22C33"/>
    <w:rsid w:val="5EE75BF6"/>
    <w:rsid w:val="5F0E0117"/>
    <w:rsid w:val="5F1A2B43"/>
    <w:rsid w:val="5F255037"/>
    <w:rsid w:val="5F2B53D3"/>
    <w:rsid w:val="5F3D6A89"/>
    <w:rsid w:val="5F424152"/>
    <w:rsid w:val="5F69359F"/>
    <w:rsid w:val="5F6E5059"/>
    <w:rsid w:val="5F71018C"/>
    <w:rsid w:val="5F802A46"/>
    <w:rsid w:val="5F853497"/>
    <w:rsid w:val="5F901CEA"/>
    <w:rsid w:val="5FA32F55"/>
    <w:rsid w:val="5FB01D74"/>
    <w:rsid w:val="5FB837BB"/>
    <w:rsid w:val="5FBB30B8"/>
    <w:rsid w:val="5FDB5461"/>
    <w:rsid w:val="5FE35175"/>
    <w:rsid w:val="5FE47CDD"/>
    <w:rsid w:val="60172EF4"/>
    <w:rsid w:val="60216F95"/>
    <w:rsid w:val="602272F4"/>
    <w:rsid w:val="60266F49"/>
    <w:rsid w:val="602D1CB3"/>
    <w:rsid w:val="6037302D"/>
    <w:rsid w:val="605B2558"/>
    <w:rsid w:val="606340E6"/>
    <w:rsid w:val="6072623A"/>
    <w:rsid w:val="608A3879"/>
    <w:rsid w:val="609E5775"/>
    <w:rsid w:val="60AB7C3F"/>
    <w:rsid w:val="60AC408B"/>
    <w:rsid w:val="60C44F62"/>
    <w:rsid w:val="60CC405A"/>
    <w:rsid w:val="60CC51D6"/>
    <w:rsid w:val="60CF7BE6"/>
    <w:rsid w:val="60DD7947"/>
    <w:rsid w:val="60E12EC3"/>
    <w:rsid w:val="60F014CF"/>
    <w:rsid w:val="60FB1851"/>
    <w:rsid w:val="61016185"/>
    <w:rsid w:val="61226435"/>
    <w:rsid w:val="614D2899"/>
    <w:rsid w:val="61573349"/>
    <w:rsid w:val="615838CB"/>
    <w:rsid w:val="616E4B31"/>
    <w:rsid w:val="61723401"/>
    <w:rsid w:val="617819BE"/>
    <w:rsid w:val="61803962"/>
    <w:rsid w:val="618413A9"/>
    <w:rsid w:val="618C18B3"/>
    <w:rsid w:val="619D3C07"/>
    <w:rsid w:val="619E45A8"/>
    <w:rsid w:val="61AE7609"/>
    <w:rsid w:val="61C40C44"/>
    <w:rsid w:val="61C639B0"/>
    <w:rsid w:val="61CE5D7A"/>
    <w:rsid w:val="61D80BF8"/>
    <w:rsid w:val="61DA664A"/>
    <w:rsid w:val="61DB7102"/>
    <w:rsid w:val="61E215D8"/>
    <w:rsid w:val="61F01383"/>
    <w:rsid w:val="61FA2788"/>
    <w:rsid w:val="62094BDF"/>
    <w:rsid w:val="620B2534"/>
    <w:rsid w:val="6212300E"/>
    <w:rsid w:val="621B3775"/>
    <w:rsid w:val="6233011F"/>
    <w:rsid w:val="62364782"/>
    <w:rsid w:val="62522FED"/>
    <w:rsid w:val="626403BB"/>
    <w:rsid w:val="627878FC"/>
    <w:rsid w:val="6287511B"/>
    <w:rsid w:val="628C12D3"/>
    <w:rsid w:val="628C45E4"/>
    <w:rsid w:val="62935CB3"/>
    <w:rsid w:val="629D5887"/>
    <w:rsid w:val="62A221DA"/>
    <w:rsid w:val="62AA0157"/>
    <w:rsid w:val="62BF00A6"/>
    <w:rsid w:val="62E03992"/>
    <w:rsid w:val="62F62311"/>
    <w:rsid w:val="62F97D52"/>
    <w:rsid w:val="63084640"/>
    <w:rsid w:val="630B30C7"/>
    <w:rsid w:val="63175305"/>
    <w:rsid w:val="63195435"/>
    <w:rsid w:val="632541E3"/>
    <w:rsid w:val="632B573B"/>
    <w:rsid w:val="632C1F30"/>
    <w:rsid w:val="63374F14"/>
    <w:rsid w:val="633B0172"/>
    <w:rsid w:val="635F710E"/>
    <w:rsid w:val="637522D1"/>
    <w:rsid w:val="63832623"/>
    <w:rsid w:val="63832FD4"/>
    <w:rsid w:val="63883AC0"/>
    <w:rsid w:val="6394356A"/>
    <w:rsid w:val="63975A8A"/>
    <w:rsid w:val="63A16A99"/>
    <w:rsid w:val="63A26F23"/>
    <w:rsid w:val="63C61B2C"/>
    <w:rsid w:val="63D3652E"/>
    <w:rsid w:val="63D40BE9"/>
    <w:rsid w:val="63D731CD"/>
    <w:rsid w:val="63E32883"/>
    <w:rsid w:val="640E2967"/>
    <w:rsid w:val="64102431"/>
    <w:rsid w:val="641107DB"/>
    <w:rsid w:val="64155BCF"/>
    <w:rsid w:val="641A014F"/>
    <w:rsid w:val="64290465"/>
    <w:rsid w:val="642F6D44"/>
    <w:rsid w:val="643C68A5"/>
    <w:rsid w:val="643E2F1B"/>
    <w:rsid w:val="644545DB"/>
    <w:rsid w:val="644674C0"/>
    <w:rsid w:val="64472AF6"/>
    <w:rsid w:val="644D18E9"/>
    <w:rsid w:val="644F444E"/>
    <w:rsid w:val="64702F4E"/>
    <w:rsid w:val="647731C0"/>
    <w:rsid w:val="64915A72"/>
    <w:rsid w:val="64955489"/>
    <w:rsid w:val="64A5243A"/>
    <w:rsid w:val="64AD4CD4"/>
    <w:rsid w:val="64B330A9"/>
    <w:rsid w:val="64E060B2"/>
    <w:rsid w:val="64E266D6"/>
    <w:rsid w:val="64E83DE8"/>
    <w:rsid w:val="64EB7E43"/>
    <w:rsid w:val="64EE729B"/>
    <w:rsid w:val="64F531DE"/>
    <w:rsid w:val="650E2596"/>
    <w:rsid w:val="651D3CA4"/>
    <w:rsid w:val="652B3EEA"/>
    <w:rsid w:val="652C6857"/>
    <w:rsid w:val="65373578"/>
    <w:rsid w:val="653C5A04"/>
    <w:rsid w:val="653C7216"/>
    <w:rsid w:val="65434DD5"/>
    <w:rsid w:val="656D3B1C"/>
    <w:rsid w:val="657E00B4"/>
    <w:rsid w:val="65872838"/>
    <w:rsid w:val="65A342B0"/>
    <w:rsid w:val="65B27CC3"/>
    <w:rsid w:val="65B60BEC"/>
    <w:rsid w:val="65BB78BB"/>
    <w:rsid w:val="65BC1357"/>
    <w:rsid w:val="65D33CB3"/>
    <w:rsid w:val="65F51DB9"/>
    <w:rsid w:val="660047F9"/>
    <w:rsid w:val="66073A56"/>
    <w:rsid w:val="66137072"/>
    <w:rsid w:val="662A7F8A"/>
    <w:rsid w:val="665402FB"/>
    <w:rsid w:val="66576847"/>
    <w:rsid w:val="66680B0D"/>
    <w:rsid w:val="66754311"/>
    <w:rsid w:val="667B3D6A"/>
    <w:rsid w:val="667D6CFB"/>
    <w:rsid w:val="667E4648"/>
    <w:rsid w:val="66B760C7"/>
    <w:rsid w:val="66E300DB"/>
    <w:rsid w:val="66EB3D79"/>
    <w:rsid w:val="66EC5D4D"/>
    <w:rsid w:val="66FA5876"/>
    <w:rsid w:val="671F124A"/>
    <w:rsid w:val="67220BBC"/>
    <w:rsid w:val="675441A3"/>
    <w:rsid w:val="675A5D4A"/>
    <w:rsid w:val="675D63FF"/>
    <w:rsid w:val="67717925"/>
    <w:rsid w:val="67743BB7"/>
    <w:rsid w:val="677A33C6"/>
    <w:rsid w:val="679528B0"/>
    <w:rsid w:val="679974B9"/>
    <w:rsid w:val="67A50CD3"/>
    <w:rsid w:val="67A929B2"/>
    <w:rsid w:val="67AC53B3"/>
    <w:rsid w:val="67B60282"/>
    <w:rsid w:val="67BF6A34"/>
    <w:rsid w:val="67C76689"/>
    <w:rsid w:val="67DF1B99"/>
    <w:rsid w:val="67E114F7"/>
    <w:rsid w:val="67F444D5"/>
    <w:rsid w:val="67FF6C6B"/>
    <w:rsid w:val="67FF7E99"/>
    <w:rsid w:val="681F6961"/>
    <w:rsid w:val="68213F33"/>
    <w:rsid w:val="68257453"/>
    <w:rsid w:val="6834708F"/>
    <w:rsid w:val="684A5D11"/>
    <w:rsid w:val="685B1551"/>
    <w:rsid w:val="68610A2F"/>
    <w:rsid w:val="68682EB7"/>
    <w:rsid w:val="68805514"/>
    <w:rsid w:val="688211C0"/>
    <w:rsid w:val="68830136"/>
    <w:rsid w:val="68841B84"/>
    <w:rsid w:val="68906041"/>
    <w:rsid w:val="68924D2A"/>
    <w:rsid w:val="68A1024E"/>
    <w:rsid w:val="68B85826"/>
    <w:rsid w:val="68C9196B"/>
    <w:rsid w:val="68CF64ED"/>
    <w:rsid w:val="68DD3C63"/>
    <w:rsid w:val="68E66F31"/>
    <w:rsid w:val="68F477C4"/>
    <w:rsid w:val="68FA5E59"/>
    <w:rsid w:val="69140A20"/>
    <w:rsid w:val="692A0C69"/>
    <w:rsid w:val="692C0C80"/>
    <w:rsid w:val="69316E2F"/>
    <w:rsid w:val="694766FF"/>
    <w:rsid w:val="694E2071"/>
    <w:rsid w:val="6958232B"/>
    <w:rsid w:val="695F1FE4"/>
    <w:rsid w:val="69766163"/>
    <w:rsid w:val="697A3B33"/>
    <w:rsid w:val="69835A17"/>
    <w:rsid w:val="6983783B"/>
    <w:rsid w:val="69914D34"/>
    <w:rsid w:val="69967687"/>
    <w:rsid w:val="69A62BA0"/>
    <w:rsid w:val="69A76484"/>
    <w:rsid w:val="69BE57C3"/>
    <w:rsid w:val="69C238AD"/>
    <w:rsid w:val="69D01A59"/>
    <w:rsid w:val="69D44760"/>
    <w:rsid w:val="69F15CD9"/>
    <w:rsid w:val="69F43ABF"/>
    <w:rsid w:val="6A0933F8"/>
    <w:rsid w:val="6A0C7B39"/>
    <w:rsid w:val="6A13463D"/>
    <w:rsid w:val="6A1541E8"/>
    <w:rsid w:val="6A2B4273"/>
    <w:rsid w:val="6A344891"/>
    <w:rsid w:val="6A38097E"/>
    <w:rsid w:val="6A3F514D"/>
    <w:rsid w:val="6A492160"/>
    <w:rsid w:val="6A520EC7"/>
    <w:rsid w:val="6A590AD6"/>
    <w:rsid w:val="6A615EE7"/>
    <w:rsid w:val="6A675C5C"/>
    <w:rsid w:val="6A690CCA"/>
    <w:rsid w:val="6A767F57"/>
    <w:rsid w:val="6A7752CC"/>
    <w:rsid w:val="6A7C7393"/>
    <w:rsid w:val="6A821A10"/>
    <w:rsid w:val="6AA00713"/>
    <w:rsid w:val="6AAC36BF"/>
    <w:rsid w:val="6AB86835"/>
    <w:rsid w:val="6ABC4ECB"/>
    <w:rsid w:val="6ABF3C30"/>
    <w:rsid w:val="6AD617EC"/>
    <w:rsid w:val="6AE0291A"/>
    <w:rsid w:val="6AF87E20"/>
    <w:rsid w:val="6B034621"/>
    <w:rsid w:val="6B0C289F"/>
    <w:rsid w:val="6B0F4D73"/>
    <w:rsid w:val="6B237F22"/>
    <w:rsid w:val="6B2903BC"/>
    <w:rsid w:val="6B322639"/>
    <w:rsid w:val="6B466EA6"/>
    <w:rsid w:val="6B4C1B7B"/>
    <w:rsid w:val="6B4E1417"/>
    <w:rsid w:val="6B6535FA"/>
    <w:rsid w:val="6B675598"/>
    <w:rsid w:val="6B6A5AEC"/>
    <w:rsid w:val="6B713245"/>
    <w:rsid w:val="6B991E8C"/>
    <w:rsid w:val="6B9A5503"/>
    <w:rsid w:val="6B9E0A74"/>
    <w:rsid w:val="6BAC5F05"/>
    <w:rsid w:val="6BAD2A66"/>
    <w:rsid w:val="6BBF1F51"/>
    <w:rsid w:val="6BC85664"/>
    <w:rsid w:val="6BDC6C69"/>
    <w:rsid w:val="6BDD18FA"/>
    <w:rsid w:val="6BE03246"/>
    <w:rsid w:val="6BEB44FE"/>
    <w:rsid w:val="6BF62339"/>
    <w:rsid w:val="6BF75DA0"/>
    <w:rsid w:val="6BFE77CD"/>
    <w:rsid w:val="6C066BF4"/>
    <w:rsid w:val="6C0E79A8"/>
    <w:rsid w:val="6C114CDE"/>
    <w:rsid w:val="6C3B6AD1"/>
    <w:rsid w:val="6C3D5825"/>
    <w:rsid w:val="6C497097"/>
    <w:rsid w:val="6C502075"/>
    <w:rsid w:val="6C636C38"/>
    <w:rsid w:val="6C7053CB"/>
    <w:rsid w:val="6C7A1EBD"/>
    <w:rsid w:val="6C7A503E"/>
    <w:rsid w:val="6C7B5DB0"/>
    <w:rsid w:val="6C7F22D8"/>
    <w:rsid w:val="6CA00A89"/>
    <w:rsid w:val="6CD72DB8"/>
    <w:rsid w:val="6CE52B9E"/>
    <w:rsid w:val="6D052644"/>
    <w:rsid w:val="6D2653C6"/>
    <w:rsid w:val="6D2C61F2"/>
    <w:rsid w:val="6D491076"/>
    <w:rsid w:val="6D5533B5"/>
    <w:rsid w:val="6D5B4E6F"/>
    <w:rsid w:val="6D5B7512"/>
    <w:rsid w:val="6D797B16"/>
    <w:rsid w:val="6D833874"/>
    <w:rsid w:val="6D836174"/>
    <w:rsid w:val="6DB34098"/>
    <w:rsid w:val="6DB545B6"/>
    <w:rsid w:val="6DCB6D6C"/>
    <w:rsid w:val="6DCE20F9"/>
    <w:rsid w:val="6DD46797"/>
    <w:rsid w:val="6DD71635"/>
    <w:rsid w:val="6DE02FB4"/>
    <w:rsid w:val="6DEB3BCA"/>
    <w:rsid w:val="6DF2169F"/>
    <w:rsid w:val="6DF27EC3"/>
    <w:rsid w:val="6DF42BCE"/>
    <w:rsid w:val="6DFA6436"/>
    <w:rsid w:val="6E0127B0"/>
    <w:rsid w:val="6E072CD5"/>
    <w:rsid w:val="6E076E1B"/>
    <w:rsid w:val="6E08115A"/>
    <w:rsid w:val="6E115AA4"/>
    <w:rsid w:val="6E1A70BD"/>
    <w:rsid w:val="6E2848E4"/>
    <w:rsid w:val="6E293B49"/>
    <w:rsid w:val="6E2D16DE"/>
    <w:rsid w:val="6E2E21E9"/>
    <w:rsid w:val="6E301E58"/>
    <w:rsid w:val="6E3115EA"/>
    <w:rsid w:val="6E331277"/>
    <w:rsid w:val="6E514CED"/>
    <w:rsid w:val="6E631E72"/>
    <w:rsid w:val="6E7A30D3"/>
    <w:rsid w:val="6E9048CA"/>
    <w:rsid w:val="6E9457DF"/>
    <w:rsid w:val="6EA45B20"/>
    <w:rsid w:val="6EAF69D6"/>
    <w:rsid w:val="6EB11538"/>
    <w:rsid w:val="6EB563D5"/>
    <w:rsid w:val="6EC25C2F"/>
    <w:rsid w:val="6ED92677"/>
    <w:rsid w:val="6EF57D98"/>
    <w:rsid w:val="6F0022F6"/>
    <w:rsid w:val="6F0859EB"/>
    <w:rsid w:val="6F156665"/>
    <w:rsid w:val="6F225983"/>
    <w:rsid w:val="6F231884"/>
    <w:rsid w:val="6F357C96"/>
    <w:rsid w:val="6F5A4CB2"/>
    <w:rsid w:val="6F5A64A4"/>
    <w:rsid w:val="6F74189D"/>
    <w:rsid w:val="6F742529"/>
    <w:rsid w:val="6F7709A8"/>
    <w:rsid w:val="6F856A98"/>
    <w:rsid w:val="6F8825AF"/>
    <w:rsid w:val="6FA12C4C"/>
    <w:rsid w:val="6FB42B5E"/>
    <w:rsid w:val="6FB75A30"/>
    <w:rsid w:val="6FBA6E55"/>
    <w:rsid w:val="6FBB39A3"/>
    <w:rsid w:val="6FC12916"/>
    <w:rsid w:val="6FD06CC2"/>
    <w:rsid w:val="6FD326D3"/>
    <w:rsid w:val="6FD80C78"/>
    <w:rsid w:val="6FE84619"/>
    <w:rsid w:val="6FEF1B0E"/>
    <w:rsid w:val="6FFC5590"/>
    <w:rsid w:val="7007308C"/>
    <w:rsid w:val="70105C1E"/>
    <w:rsid w:val="70471E2D"/>
    <w:rsid w:val="706564E0"/>
    <w:rsid w:val="706D1DD0"/>
    <w:rsid w:val="70805432"/>
    <w:rsid w:val="7082773A"/>
    <w:rsid w:val="70856B87"/>
    <w:rsid w:val="708D5DD0"/>
    <w:rsid w:val="709935E0"/>
    <w:rsid w:val="709B0AC0"/>
    <w:rsid w:val="70A44B0F"/>
    <w:rsid w:val="70AA6BFE"/>
    <w:rsid w:val="70B15B99"/>
    <w:rsid w:val="70BC453E"/>
    <w:rsid w:val="70D527EE"/>
    <w:rsid w:val="70D90990"/>
    <w:rsid w:val="70E1568B"/>
    <w:rsid w:val="70F74E78"/>
    <w:rsid w:val="71103E0A"/>
    <w:rsid w:val="711A726D"/>
    <w:rsid w:val="713118C3"/>
    <w:rsid w:val="713D6842"/>
    <w:rsid w:val="71565105"/>
    <w:rsid w:val="715B5300"/>
    <w:rsid w:val="71693FEF"/>
    <w:rsid w:val="71734506"/>
    <w:rsid w:val="7175549E"/>
    <w:rsid w:val="7181560E"/>
    <w:rsid w:val="718651FB"/>
    <w:rsid w:val="718F6E95"/>
    <w:rsid w:val="7190090F"/>
    <w:rsid w:val="719B5E06"/>
    <w:rsid w:val="71A4221A"/>
    <w:rsid w:val="71AE56D4"/>
    <w:rsid w:val="71B07A23"/>
    <w:rsid w:val="71B737AC"/>
    <w:rsid w:val="71BA03FD"/>
    <w:rsid w:val="71CA53CD"/>
    <w:rsid w:val="71D27F8A"/>
    <w:rsid w:val="71D31EB9"/>
    <w:rsid w:val="71E54D3E"/>
    <w:rsid w:val="722A2DD4"/>
    <w:rsid w:val="72553024"/>
    <w:rsid w:val="726E11A1"/>
    <w:rsid w:val="728472A8"/>
    <w:rsid w:val="728564EA"/>
    <w:rsid w:val="72A35177"/>
    <w:rsid w:val="72B14244"/>
    <w:rsid w:val="72C34DA2"/>
    <w:rsid w:val="72C34F6A"/>
    <w:rsid w:val="72CC3862"/>
    <w:rsid w:val="72E33428"/>
    <w:rsid w:val="72EB0BBB"/>
    <w:rsid w:val="73122968"/>
    <w:rsid w:val="731E1D51"/>
    <w:rsid w:val="731F5D5E"/>
    <w:rsid w:val="73327B6B"/>
    <w:rsid w:val="73353A6C"/>
    <w:rsid w:val="734B0566"/>
    <w:rsid w:val="735073B5"/>
    <w:rsid w:val="73550D5A"/>
    <w:rsid w:val="73563A76"/>
    <w:rsid w:val="7358775B"/>
    <w:rsid w:val="73700F48"/>
    <w:rsid w:val="737D2643"/>
    <w:rsid w:val="73886F6D"/>
    <w:rsid w:val="738A339C"/>
    <w:rsid w:val="738A6D0B"/>
    <w:rsid w:val="738B702F"/>
    <w:rsid w:val="73C51379"/>
    <w:rsid w:val="73C51AD5"/>
    <w:rsid w:val="73CA55CF"/>
    <w:rsid w:val="73CD6DE1"/>
    <w:rsid w:val="73CF5C6F"/>
    <w:rsid w:val="73D70FAC"/>
    <w:rsid w:val="73F016C2"/>
    <w:rsid w:val="73F50463"/>
    <w:rsid w:val="741E793C"/>
    <w:rsid w:val="74212F3D"/>
    <w:rsid w:val="742C1313"/>
    <w:rsid w:val="743069AD"/>
    <w:rsid w:val="743756AE"/>
    <w:rsid w:val="74450BAF"/>
    <w:rsid w:val="74454A0F"/>
    <w:rsid w:val="7447255B"/>
    <w:rsid w:val="744F6056"/>
    <w:rsid w:val="74522790"/>
    <w:rsid w:val="745B7431"/>
    <w:rsid w:val="745E3944"/>
    <w:rsid w:val="74647D79"/>
    <w:rsid w:val="74721557"/>
    <w:rsid w:val="74760B3E"/>
    <w:rsid w:val="74786307"/>
    <w:rsid w:val="7489275C"/>
    <w:rsid w:val="748E206D"/>
    <w:rsid w:val="74991BE1"/>
    <w:rsid w:val="74A63C10"/>
    <w:rsid w:val="74BD0359"/>
    <w:rsid w:val="74C4399D"/>
    <w:rsid w:val="74C45689"/>
    <w:rsid w:val="74C755EA"/>
    <w:rsid w:val="74DE6CEE"/>
    <w:rsid w:val="74E044A9"/>
    <w:rsid w:val="74E66B6F"/>
    <w:rsid w:val="750A65E7"/>
    <w:rsid w:val="750C4CA1"/>
    <w:rsid w:val="750E0AAE"/>
    <w:rsid w:val="75124DD4"/>
    <w:rsid w:val="7514177B"/>
    <w:rsid w:val="751B030C"/>
    <w:rsid w:val="75297601"/>
    <w:rsid w:val="75547FB1"/>
    <w:rsid w:val="755715A5"/>
    <w:rsid w:val="755B7815"/>
    <w:rsid w:val="756248C1"/>
    <w:rsid w:val="757529B0"/>
    <w:rsid w:val="75784795"/>
    <w:rsid w:val="758807CB"/>
    <w:rsid w:val="75890BFC"/>
    <w:rsid w:val="7590275E"/>
    <w:rsid w:val="7595252D"/>
    <w:rsid w:val="75B61380"/>
    <w:rsid w:val="75C53367"/>
    <w:rsid w:val="75F12DE5"/>
    <w:rsid w:val="75F75C0E"/>
    <w:rsid w:val="75FA5A59"/>
    <w:rsid w:val="75FE0D02"/>
    <w:rsid w:val="76014B9E"/>
    <w:rsid w:val="760551CA"/>
    <w:rsid w:val="760A030B"/>
    <w:rsid w:val="76171EA7"/>
    <w:rsid w:val="76172FD8"/>
    <w:rsid w:val="761A519B"/>
    <w:rsid w:val="7635099D"/>
    <w:rsid w:val="76382D29"/>
    <w:rsid w:val="763F5F7B"/>
    <w:rsid w:val="76425D0C"/>
    <w:rsid w:val="76446D4F"/>
    <w:rsid w:val="76556F8D"/>
    <w:rsid w:val="76575772"/>
    <w:rsid w:val="765C05BD"/>
    <w:rsid w:val="765E32DA"/>
    <w:rsid w:val="76641D33"/>
    <w:rsid w:val="766C40EC"/>
    <w:rsid w:val="76701913"/>
    <w:rsid w:val="768C76D2"/>
    <w:rsid w:val="76A7687B"/>
    <w:rsid w:val="76B82A80"/>
    <w:rsid w:val="76EC05CA"/>
    <w:rsid w:val="770E6D68"/>
    <w:rsid w:val="77133139"/>
    <w:rsid w:val="77144A31"/>
    <w:rsid w:val="77244524"/>
    <w:rsid w:val="772F12D6"/>
    <w:rsid w:val="77384ABB"/>
    <w:rsid w:val="773C2AE2"/>
    <w:rsid w:val="773E13B6"/>
    <w:rsid w:val="77707E41"/>
    <w:rsid w:val="777155D2"/>
    <w:rsid w:val="77762421"/>
    <w:rsid w:val="77971ACE"/>
    <w:rsid w:val="779B7DB1"/>
    <w:rsid w:val="779E6E2B"/>
    <w:rsid w:val="77A10FB4"/>
    <w:rsid w:val="77B12B96"/>
    <w:rsid w:val="77B56B1F"/>
    <w:rsid w:val="77CC2A1C"/>
    <w:rsid w:val="77CF0E80"/>
    <w:rsid w:val="77D424BD"/>
    <w:rsid w:val="77DF044B"/>
    <w:rsid w:val="77DF2506"/>
    <w:rsid w:val="77EBC952"/>
    <w:rsid w:val="77EC4191"/>
    <w:rsid w:val="77F51F25"/>
    <w:rsid w:val="77FE63C8"/>
    <w:rsid w:val="78033C18"/>
    <w:rsid w:val="780C782A"/>
    <w:rsid w:val="780F09F4"/>
    <w:rsid w:val="78374BC8"/>
    <w:rsid w:val="78530372"/>
    <w:rsid w:val="78566F5B"/>
    <w:rsid w:val="78632398"/>
    <w:rsid w:val="7866291A"/>
    <w:rsid w:val="7871046B"/>
    <w:rsid w:val="78727047"/>
    <w:rsid w:val="78850FF2"/>
    <w:rsid w:val="789F56DC"/>
    <w:rsid w:val="78A13B48"/>
    <w:rsid w:val="78A831B1"/>
    <w:rsid w:val="78A90480"/>
    <w:rsid w:val="78B35B5F"/>
    <w:rsid w:val="78C62D0E"/>
    <w:rsid w:val="78CD1009"/>
    <w:rsid w:val="78DA091C"/>
    <w:rsid w:val="78E80518"/>
    <w:rsid w:val="78F148D9"/>
    <w:rsid w:val="78F60655"/>
    <w:rsid w:val="78F74540"/>
    <w:rsid w:val="78F76A00"/>
    <w:rsid w:val="790209BB"/>
    <w:rsid w:val="790A22CE"/>
    <w:rsid w:val="790F5F42"/>
    <w:rsid w:val="79102392"/>
    <w:rsid w:val="79150EC3"/>
    <w:rsid w:val="791F5209"/>
    <w:rsid w:val="79210E38"/>
    <w:rsid w:val="79212029"/>
    <w:rsid w:val="792A5224"/>
    <w:rsid w:val="79392612"/>
    <w:rsid w:val="7949428C"/>
    <w:rsid w:val="794C6296"/>
    <w:rsid w:val="7956521C"/>
    <w:rsid w:val="796C04E5"/>
    <w:rsid w:val="797305F3"/>
    <w:rsid w:val="798A0843"/>
    <w:rsid w:val="798A0B74"/>
    <w:rsid w:val="799179FE"/>
    <w:rsid w:val="799D236B"/>
    <w:rsid w:val="79A76C7B"/>
    <w:rsid w:val="79AC7079"/>
    <w:rsid w:val="79BB2279"/>
    <w:rsid w:val="79D6216E"/>
    <w:rsid w:val="79DB3D4A"/>
    <w:rsid w:val="79DE7BA6"/>
    <w:rsid w:val="79FE7607"/>
    <w:rsid w:val="7A0B7A04"/>
    <w:rsid w:val="7A104289"/>
    <w:rsid w:val="7A143EA0"/>
    <w:rsid w:val="7A276B54"/>
    <w:rsid w:val="7A2D14CE"/>
    <w:rsid w:val="7A364017"/>
    <w:rsid w:val="7A460355"/>
    <w:rsid w:val="7A4C4B7B"/>
    <w:rsid w:val="7A4D272F"/>
    <w:rsid w:val="7A5D0295"/>
    <w:rsid w:val="7A6B3FB3"/>
    <w:rsid w:val="7A6B627C"/>
    <w:rsid w:val="7A6C1DED"/>
    <w:rsid w:val="7A6E2630"/>
    <w:rsid w:val="7A6F11CC"/>
    <w:rsid w:val="7A773C94"/>
    <w:rsid w:val="7A8265E1"/>
    <w:rsid w:val="7A92514B"/>
    <w:rsid w:val="7A936854"/>
    <w:rsid w:val="7A992DD6"/>
    <w:rsid w:val="7AA06CE6"/>
    <w:rsid w:val="7AAB2646"/>
    <w:rsid w:val="7AAD0E3F"/>
    <w:rsid w:val="7AB06EEE"/>
    <w:rsid w:val="7AB84C27"/>
    <w:rsid w:val="7AD820C2"/>
    <w:rsid w:val="7AEF309B"/>
    <w:rsid w:val="7B055AA2"/>
    <w:rsid w:val="7B0855B3"/>
    <w:rsid w:val="7B0F7207"/>
    <w:rsid w:val="7B203254"/>
    <w:rsid w:val="7B316C97"/>
    <w:rsid w:val="7B5B5B85"/>
    <w:rsid w:val="7B604052"/>
    <w:rsid w:val="7B605DDE"/>
    <w:rsid w:val="7B686D42"/>
    <w:rsid w:val="7B76464E"/>
    <w:rsid w:val="7B7B559F"/>
    <w:rsid w:val="7B7C78D5"/>
    <w:rsid w:val="7B834CA7"/>
    <w:rsid w:val="7B841746"/>
    <w:rsid w:val="7B886713"/>
    <w:rsid w:val="7B946C26"/>
    <w:rsid w:val="7BB440AD"/>
    <w:rsid w:val="7BBE6C4E"/>
    <w:rsid w:val="7BE111D1"/>
    <w:rsid w:val="7BF75901"/>
    <w:rsid w:val="7BF811F7"/>
    <w:rsid w:val="7C094BFB"/>
    <w:rsid w:val="7C0D66DE"/>
    <w:rsid w:val="7C2E19A1"/>
    <w:rsid w:val="7C3451FF"/>
    <w:rsid w:val="7C4E431B"/>
    <w:rsid w:val="7C522610"/>
    <w:rsid w:val="7C5D3562"/>
    <w:rsid w:val="7C6C5AC7"/>
    <w:rsid w:val="7C6E53D7"/>
    <w:rsid w:val="7C87277D"/>
    <w:rsid w:val="7C90030D"/>
    <w:rsid w:val="7CA60AFA"/>
    <w:rsid w:val="7CA67F3F"/>
    <w:rsid w:val="7CC6544B"/>
    <w:rsid w:val="7CD67ABD"/>
    <w:rsid w:val="7CEB0964"/>
    <w:rsid w:val="7CEC40E6"/>
    <w:rsid w:val="7CF15B80"/>
    <w:rsid w:val="7CF464BB"/>
    <w:rsid w:val="7CFC65CF"/>
    <w:rsid w:val="7CFF302C"/>
    <w:rsid w:val="7D002024"/>
    <w:rsid w:val="7D0239FF"/>
    <w:rsid w:val="7D04746C"/>
    <w:rsid w:val="7D0878B5"/>
    <w:rsid w:val="7D172730"/>
    <w:rsid w:val="7D1C0994"/>
    <w:rsid w:val="7D220C40"/>
    <w:rsid w:val="7D3719F8"/>
    <w:rsid w:val="7D402EA3"/>
    <w:rsid w:val="7D4A267A"/>
    <w:rsid w:val="7D52523E"/>
    <w:rsid w:val="7D5E40CD"/>
    <w:rsid w:val="7D5E4B76"/>
    <w:rsid w:val="7D6513F2"/>
    <w:rsid w:val="7D693CB1"/>
    <w:rsid w:val="7D6F1533"/>
    <w:rsid w:val="7D7654E6"/>
    <w:rsid w:val="7D792151"/>
    <w:rsid w:val="7D847ACA"/>
    <w:rsid w:val="7D87580C"/>
    <w:rsid w:val="7D8C2E23"/>
    <w:rsid w:val="7DAB3F44"/>
    <w:rsid w:val="7DBB71E8"/>
    <w:rsid w:val="7DBF6FDB"/>
    <w:rsid w:val="7DC3365B"/>
    <w:rsid w:val="7DC9372F"/>
    <w:rsid w:val="7DCA74A7"/>
    <w:rsid w:val="7DCD56F2"/>
    <w:rsid w:val="7DD05453"/>
    <w:rsid w:val="7DDA7FCE"/>
    <w:rsid w:val="7DE7526B"/>
    <w:rsid w:val="7DE75883"/>
    <w:rsid w:val="7E186464"/>
    <w:rsid w:val="7E2F6A52"/>
    <w:rsid w:val="7E4C3126"/>
    <w:rsid w:val="7E5274E2"/>
    <w:rsid w:val="7E5751DF"/>
    <w:rsid w:val="7E674437"/>
    <w:rsid w:val="7E710FB9"/>
    <w:rsid w:val="7E7B68FD"/>
    <w:rsid w:val="7E807F37"/>
    <w:rsid w:val="7E8B132C"/>
    <w:rsid w:val="7E94074B"/>
    <w:rsid w:val="7E9B6356"/>
    <w:rsid w:val="7EB03EDB"/>
    <w:rsid w:val="7EB72C7A"/>
    <w:rsid w:val="7EC8199E"/>
    <w:rsid w:val="7ECB2F1C"/>
    <w:rsid w:val="7ECC6A62"/>
    <w:rsid w:val="7ED40592"/>
    <w:rsid w:val="7EEC6468"/>
    <w:rsid w:val="7EFA7F08"/>
    <w:rsid w:val="7F001CE7"/>
    <w:rsid w:val="7F2C666B"/>
    <w:rsid w:val="7F5C3C77"/>
    <w:rsid w:val="7F62208D"/>
    <w:rsid w:val="7F65538E"/>
    <w:rsid w:val="7F6C4CBA"/>
    <w:rsid w:val="7F745853"/>
    <w:rsid w:val="7F7E679B"/>
    <w:rsid w:val="7F8A2295"/>
    <w:rsid w:val="7F8B6604"/>
    <w:rsid w:val="7F9D6665"/>
    <w:rsid w:val="7FC25B94"/>
    <w:rsid w:val="7FC75C87"/>
    <w:rsid w:val="7FC90E51"/>
    <w:rsid w:val="7FDC63FB"/>
    <w:rsid w:val="7FE47E50"/>
    <w:rsid w:val="7FE81636"/>
    <w:rsid w:val="7FEC1957"/>
    <w:rsid w:val="7FFC7DB7"/>
    <w:rsid w:val="FEEF59E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nhideWhenUsed="0"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39" w:semiHidden="0" w:name="toc 2" w:locked="1"/>
    <w:lsdException w:qFormat="1" w:unhideWhenUsed="0" w:uiPriority="0" w:semiHidden="0" w:name="toc 3" w:locked="1"/>
    <w:lsdException w:qFormat="1" w:unhideWhenUsed="0" w:uiPriority="0" w:semiHidden="0" w:name="toc 4" w:locked="1"/>
    <w:lsdException w:qFormat="1" w:unhideWhenUsed="0" w:uiPriority="0" w:semiHidden="0" w:name="toc 5" w:locked="1"/>
    <w:lsdException w:unhideWhenUsed="0" w:uiPriority="0" w:semiHidden="0" w:name="toc 6" w:locked="1"/>
    <w:lsdException w:qFormat="1"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99" w:semiHidden="0" w:name="header"/>
    <w:lsdException w:qFormat="1" w:unhideWhenUsed="0" w:uiPriority="99" w:semiHidden="0" w:name="footer"/>
    <w:lsdException w:unhideWhenUsed="0" w:uiPriority="0" w:semiHidden="0" w:name="index heading" w:locked="1"/>
    <w:lsdException w:qFormat="1" w:uiPriority="0" w:semiHidden="0" w:name="caption" w:locked="1"/>
    <w:lsdException w:qFormat="1"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qFormat="1" w:unhideWhenUsed="0" w:uiPriority="0" w:semiHidden="0" w:name="Note Heading" w:locked="1"/>
    <w:lsdException w:qFormat="1"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qFormat="1" w:unhideWhenUsed="0" w:uiPriority="0" w:semiHidden="0" w:name="Block Text" w:locked="1"/>
    <w:lsdException w:qFormat="1" w:uiPriority="99"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qFormat/>
    <w:locked/>
    <w:uiPriority w:val="0"/>
    <w:pPr>
      <w:keepNext/>
      <w:adjustRightInd w:val="0"/>
      <w:snapToGrid w:val="0"/>
      <w:spacing w:beforeLines="100" w:afterLines="50"/>
      <w:outlineLvl w:val="1"/>
    </w:pPr>
    <w:rPr>
      <w:rFonts w:ascii="黑体" w:eastAsia="黑体"/>
      <w:snapToGrid w:val="0"/>
      <w:sz w:val="30"/>
    </w:rPr>
  </w:style>
  <w:style w:type="paragraph" w:styleId="5">
    <w:name w:val="heading 3"/>
    <w:basedOn w:val="1"/>
    <w:next w:val="1"/>
    <w:qFormat/>
    <w:locked/>
    <w:uiPriority w:val="0"/>
    <w:pPr>
      <w:adjustRightInd w:val="0"/>
      <w:snapToGrid w:val="0"/>
      <w:spacing w:beforeLines="50" w:after="100" w:afterAutospacing="1" w:line="360" w:lineRule="auto"/>
      <w:outlineLvl w:val="2"/>
    </w:pPr>
    <w:rPr>
      <w:rFonts w:eastAsia="黑体"/>
      <w:snapToGrid w:val="0"/>
      <w:sz w:val="28"/>
    </w:rPr>
  </w:style>
  <w:style w:type="paragraph" w:styleId="6">
    <w:name w:val="heading 4"/>
    <w:basedOn w:val="1"/>
    <w:next w:val="1"/>
    <w:qFormat/>
    <w:locked/>
    <w:uiPriority w:val="0"/>
    <w:pPr>
      <w:keepNext/>
      <w:keepLines/>
      <w:adjustRightInd w:val="0"/>
      <w:snapToGrid w:val="0"/>
      <w:spacing w:line="360" w:lineRule="auto"/>
      <w:jc w:val="left"/>
      <w:outlineLvl w:val="3"/>
    </w:pPr>
    <w:rPr>
      <w:rFonts w:eastAsia="黑体"/>
      <w:bCs/>
      <w:sz w:val="24"/>
      <w:szCs w:val="28"/>
    </w:rPr>
  </w:style>
  <w:style w:type="paragraph" w:styleId="7">
    <w:name w:val="heading 5"/>
    <w:basedOn w:val="1"/>
    <w:next w:val="1"/>
    <w:link w:val="45"/>
    <w:qFormat/>
    <w:locked/>
    <w:uiPriority w:val="0"/>
    <w:pPr>
      <w:keepNext/>
      <w:adjustRightInd w:val="0"/>
      <w:snapToGrid w:val="0"/>
      <w:jc w:val="center"/>
      <w:outlineLvl w:val="4"/>
    </w:pPr>
    <w:rPr>
      <w:rFonts w:eastAsia="黑体"/>
    </w:rPr>
  </w:style>
  <w:style w:type="character" w:default="1" w:styleId="36">
    <w:name w:val="Default Paragraph Font"/>
    <w:semiHidden/>
    <w:unhideWhenUsed/>
    <w:qFormat/>
    <w:uiPriority w:val="1"/>
  </w:style>
  <w:style w:type="table" w:default="1" w:styleId="34">
    <w:name w:val="Normal Table"/>
    <w:semiHidden/>
    <w:unhideWhenUsed/>
    <w:qFormat/>
    <w:uiPriority w:val="99"/>
    <w:tblPr>
      <w:tblCellMar>
        <w:top w:w="0" w:type="dxa"/>
        <w:left w:w="108" w:type="dxa"/>
        <w:bottom w:w="0" w:type="dxa"/>
        <w:right w:w="108" w:type="dxa"/>
      </w:tblCellMar>
    </w:tblPr>
  </w:style>
  <w:style w:type="paragraph" w:customStyle="1" w:styleId="2">
    <w:name w:val="正文(首行缩进)"/>
    <w:basedOn w:val="1"/>
    <w:qFormat/>
    <w:uiPriority w:val="0"/>
    <w:pPr>
      <w:adjustRightInd w:val="0"/>
      <w:snapToGrid w:val="0"/>
      <w:spacing w:line="360" w:lineRule="auto"/>
      <w:ind w:firstLine="200" w:firstLineChars="200"/>
    </w:pPr>
    <w:rPr>
      <w:snapToGrid w:val="0"/>
    </w:rPr>
  </w:style>
  <w:style w:type="paragraph" w:styleId="8">
    <w:name w:val="toc 7"/>
    <w:basedOn w:val="1"/>
    <w:next w:val="1"/>
    <w:qFormat/>
    <w:locked/>
    <w:uiPriority w:val="0"/>
    <w:pPr>
      <w:adjustRightInd w:val="0"/>
      <w:snapToGrid w:val="0"/>
      <w:ind w:left="2520" w:leftChars="1200"/>
    </w:pPr>
  </w:style>
  <w:style w:type="paragraph" w:styleId="9">
    <w:name w:val="Note Heading"/>
    <w:basedOn w:val="1"/>
    <w:next w:val="1"/>
    <w:qFormat/>
    <w:locked/>
    <w:uiPriority w:val="0"/>
    <w:pPr>
      <w:jc w:val="left"/>
    </w:pPr>
  </w:style>
  <w:style w:type="paragraph" w:styleId="10">
    <w:name w:val="Normal Indent"/>
    <w:basedOn w:val="1"/>
    <w:next w:val="11"/>
    <w:qFormat/>
    <w:locked/>
    <w:uiPriority w:val="0"/>
    <w:pPr>
      <w:ind w:firstLine="567"/>
    </w:pPr>
  </w:style>
  <w:style w:type="paragraph" w:styleId="11">
    <w:name w:val="toc 1"/>
    <w:basedOn w:val="1"/>
    <w:next w:val="1"/>
    <w:qFormat/>
    <w:locked/>
    <w:uiPriority w:val="39"/>
  </w:style>
  <w:style w:type="paragraph" w:styleId="12">
    <w:name w:val="caption"/>
    <w:basedOn w:val="1"/>
    <w:next w:val="1"/>
    <w:unhideWhenUsed/>
    <w:qFormat/>
    <w:locked/>
    <w:uiPriority w:val="0"/>
    <w:rPr>
      <w:rFonts w:ascii="Cambria" w:hAnsi="Cambria" w:eastAsia="黑体"/>
    </w:rPr>
  </w:style>
  <w:style w:type="paragraph" w:styleId="13">
    <w:name w:val="annotation text"/>
    <w:basedOn w:val="1"/>
    <w:link w:val="46"/>
    <w:semiHidden/>
    <w:qFormat/>
    <w:uiPriority w:val="0"/>
    <w:pPr>
      <w:jc w:val="left"/>
    </w:pPr>
    <w:rPr>
      <w:kern w:val="0"/>
      <w:sz w:val="24"/>
      <w:szCs w:val="20"/>
    </w:rPr>
  </w:style>
  <w:style w:type="paragraph" w:styleId="14">
    <w:name w:val="Body Text"/>
    <w:basedOn w:val="1"/>
    <w:next w:val="1"/>
    <w:link w:val="44"/>
    <w:qFormat/>
    <w:uiPriority w:val="0"/>
    <w:pPr>
      <w:widowControl/>
      <w:snapToGrid w:val="0"/>
      <w:spacing w:before="60" w:after="160" w:line="259" w:lineRule="auto"/>
      <w:ind w:right="113"/>
    </w:pPr>
    <w:rPr>
      <w:kern w:val="0"/>
      <w:sz w:val="18"/>
      <w:szCs w:val="20"/>
    </w:rPr>
  </w:style>
  <w:style w:type="paragraph" w:styleId="15">
    <w:name w:val="Body Text Indent"/>
    <w:basedOn w:val="1"/>
    <w:next w:val="16"/>
    <w:link w:val="47"/>
    <w:qFormat/>
    <w:uiPriority w:val="0"/>
    <w:pPr>
      <w:spacing w:after="120"/>
      <w:ind w:left="420" w:leftChars="200"/>
    </w:pPr>
    <w:rPr>
      <w:kern w:val="0"/>
      <w:sz w:val="24"/>
      <w:szCs w:val="20"/>
    </w:rPr>
  </w:style>
  <w:style w:type="paragraph" w:styleId="16">
    <w:name w:val="Body Text Indent 2"/>
    <w:basedOn w:val="1"/>
    <w:next w:val="17"/>
    <w:qFormat/>
    <w:locked/>
    <w:uiPriority w:val="0"/>
    <w:pPr>
      <w:spacing w:line="480" w:lineRule="auto"/>
      <w:ind w:left="420" w:leftChars="200"/>
    </w:pPr>
  </w:style>
  <w:style w:type="paragraph" w:styleId="17">
    <w:name w:val="Body Text First Indent 2"/>
    <w:basedOn w:val="15"/>
    <w:next w:val="1"/>
    <w:qFormat/>
    <w:locked/>
    <w:uiPriority w:val="0"/>
    <w:pPr>
      <w:widowControl/>
      <w:ind w:firstLine="420" w:firstLineChars="200"/>
      <w:jc w:val="left"/>
    </w:pPr>
    <w:rPr>
      <w:sz w:val="28"/>
      <w:szCs w:val="28"/>
    </w:rPr>
  </w:style>
  <w:style w:type="paragraph" w:styleId="18">
    <w:name w:val="Block Text"/>
    <w:basedOn w:val="1"/>
    <w:qFormat/>
    <w:locked/>
    <w:uiPriority w:val="0"/>
    <w:pPr>
      <w:adjustRightInd w:val="0"/>
      <w:spacing w:line="360" w:lineRule="atLeast"/>
      <w:ind w:left="120" w:right="120" w:firstLine="480"/>
      <w:jc w:val="left"/>
      <w:textAlignment w:val="baseline"/>
    </w:pPr>
    <w:rPr>
      <w:rFonts w:ascii="宋体"/>
      <w:kern w:val="0"/>
      <w:sz w:val="28"/>
      <w:szCs w:val="20"/>
    </w:rPr>
  </w:style>
  <w:style w:type="paragraph" w:styleId="19">
    <w:name w:val="toc 5"/>
    <w:basedOn w:val="1"/>
    <w:next w:val="1"/>
    <w:qFormat/>
    <w:locked/>
    <w:uiPriority w:val="0"/>
    <w:pPr>
      <w:ind w:left="1680" w:leftChars="800"/>
    </w:pPr>
  </w:style>
  <w:style w:type="paragraph" w:styleId="20">
    <w:name w:val="toc 3"/>
    <w:basedOn w:val="1"/>
    <w:next w:val="1"/>
    <w:qFormat/>
    <w:locked/>
    <w:uiPriority w:val="0"/>
    <w:pPr>
      <w:ind w:left="840" w:leftChars="400"/>
    </w:pPr>
  </w:style>
  <w:style w:type="paragraph" w:styleId="21">
    <w:name w:val="Plain Text"/>
    <w:basedOn w:val="1"/>
    <w:next w:val="11"/>
    <w:qFormat/>
    <w:locked/>
    <w:uiPriority w:val="0"/>
    <w:rPr>
      <w:rFonts w:ascii="宋体" w:hAnsi="Courier New" w:cs="宋体"/>
      <w:kern w:val="44"/>
      <w:szCs w:val="21"/>
    </w:rPr>
  </w:style>
  <w:style w:type="paragraph" w:styleId="22">
    <w:name w:val="Date"/>
    <w:basedOn w:val="1"/>
    <w:next w:val="1"/>
    <w:link w:val="48"/>
    <w:qFormat/>
    <w:uiPriority w:val="0"/>
    <w:pPr>
      <w:ind w:left="100" w:leftChars="2500"/>
    </w:pPr>
    <w:rPr>
      <w:kern w:val="0"/>
      <w:sz w:val="24"/>
      <w:szCs w:val="20"/>
    </w:rPr>
  </w:style>
  <w:style w:type="paragraph" w:styleId="23">
    <w:name w:val="Balloon Text"/>
    <w:basedOn w:val="1"/>
    <w:link w:val="49"/>
    <w:semiHidden/>
    <w:qFormat/>
    <w:uiPriority w:val="0"/>
    <w:rPr>
      <w:kern w:val="0"/>
      <w:sz w:val="18"/>
      <w:szCs w:val="20"/>
    </w:rPr>
  </w:style>
  <w:style w:type="paragraph" w:styleId="24">
    <w:name w:val="footer"/>
    <w:basedOn w:val="1"/>
    <w:link w:val="50"/>
    <w:qFormat/>
    <w:uiPriority w:val="99"/>
    <w:pPr>
      <w:tabs>
        <w:tab w:val="center" w:pos="4153"/>
        <w:tab w:val="right" w:pos="8306"/>
      </w:tabs>
      <w:snapToGrid w:val="0"/>
      <w:jc w:val="left"/>
    </w:pPr>
    <w:rPr>
      <w:kern w:val="0"/>
      <w:sz w:val="18"/>
      <w:szCs w:val="20"/>
    </w:rPr>
  </w:style>
  <w:style w:type="paragraph" w:styleId="25">
    <w:name w:val="header"/>
    <w:basedOn w:val="1"/>
    <w:link w:val="51"/>
    <w:qFormat/>
    <w:uiPriority w:val="99"/>
    <w:pPr>
      <w:pBdr>
        <w:bottom w:val="single" w:color="auto" w:sz="6" w:space="1"/>
      </w:pBdr>
      <w:tabs>
        <w:tab w:val="center" w:pos="4153"/>
        <w:tab w:val="right" w:pos="8306"/>
      </w:tabs>
      <w:snapToGrid w:val="0"/>
      <w:jc w:val="center"/>
    </w:pPr>
    <w:rPr>
      <w:kern w:val="0"/>
      <w:sz w:val="18"/>
      <w:szCs w:val="20"/>
    </w:rPr>
  </w:style>
  <w:style w:type="paragraph" w:styleId="26">
    <w:name w:val="toc 4"/>
    <w:basedOn w:val="1"/>
    <w:next w:val="1"/>
    <w:qFormat/>
    <w:locked/>
    <w:uiPriority w:val="0"/>
    <w:pPr>
      <w:ind w:left="1260" w:leftChars="600"/>
    </w:pPr>
  </w:style>
  <w:style w:type="paragraph" w:styleId="27">
    <w:name w:val="table of figures"/>
    <w:basedOn w:val="1"/>
    <w:next w:val="1"/>
    <w:qFormat/>
    <w:locked/>
    <w:uiPriority w:val="0"/>
    <w:pPr>
      <w:ind w:left="200" w:leftChars="200" w:hanging="200" w:hangingChars="200"/>
    </w:pPr>
  </w:style>
  <w:style w:type="paragraph" w:styleId="28">
    <w:name w:val="toc 2"/>
    <w:basedOn w:val="1"/>
    <w:next w:val="1"/>
    <w:qFormat/>
    <w:locked/>
    <w:uiPriority w:val="39"/>
    <w:pPr>
      <w:ind w:left="420" w:leftChars="200"/>
    </w:pPr>
  </w:style>
  <w:style w:type="paragraph" w:styleId="29">
    <w:name w:val="Body Text 2"/>
    <w:basedOn w:val="1"/>
    <w:qFormat/>
    <w:locked/>
    <w:uiPriority w:val="0"/>
    <w:pPr>
      <w:spacing w:after="120" w:line="480" w:lineRule="auto"/>
    </w:pPr>
  </w:style>
  <w:style w:type="paragraph" w:styleId="30">
    <w:name w:val="Normal (Web)"/>
    <w:basedOn w:val="1"/>
    <w:link w:val="52"/>
    <w:qFormat/>
    <w:uiPriority w:val="0"/>
    <w:pPr>
      <w:widowControl/>
      <w:spacing w:before="100" w:beforeAutospacing="1" w:after="100" w:afterAutospacing="1"/>
      <w:jc w:val="left"/>
    </w:pPr>
    <w:rPr>
      <w:rFonts w:ascii="宋体" w:hAnsi="宋体"/>
      <w:kern w:val="0"/>
      <w:sz w:val="24"/>
      <w:szCs w:val="20"/>
    </w:rPr>
  </w:style>
  <w:style w:type="paragraph" w:styleId="31">
    <w:name w:val="Title"/>
    <w:basedOn w:val="1"/>
    <w:next w:val="1"/>
    <w:qFormat/>
    <w:locked/>
    <w:uiPriority w:val="0"/>
    <w:pPr>
      <w:spacing w:before="240" w:after="60" w:line="360" w:lineRule="auto"/>
      <w:ind w:right="454"/>
      <w:jc w:val="center"/>
      <w:outlineLvl w:val="0"/>
    </w:pPr>
    <w:rPr>
      <w:rFonts w:ascii="Arial" w:hAnsi="Arial"/>
      <w:b/>
      <w:sz w:val="32"/>
      <w:szCs w:val="20"/>
    </w:rPr>
  </w:style>
  <w:style w:type="paragraph" w:styleId="32">
    <w:name w:val="annotation subject"/>
    <w:basedOn w:val="13"/>
    <w:next w:val="13"/>
    <w:link w:val="53"/>
    <w:semiHidden/>
    <w:qFormat/>
    <w:uiPriority w:val="0"/>
    <w:rPr>
      <w:b/>
    </w:rPr>
  </w:style>
  <w:style w:type="paragraph" w:styleId="33">
    <w:name w:val="Body Text First Indent"/>
    <w:basedOn w:val="14"/>
    <w:next w:val="1"/>
    <w:qFormat/>
    <w:locked/>
    <w:uiPriority w:val="0"/>
    <w:pPr>
      <w:ind w:firstLine="640" w:firstLineChars="200"/>
    </w:pPr>
  </w:style>
  <w:style w:type="table" w:styleId="35">
    <w:name w:val="Table Grid"/>
    <w:basedOn w:val="34"/>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7">
    <w:name w:val="Strong"/>
    <w:basedOn w:val="36"/>
    <w:qFormat/>
    <w:locked/>
    <w:uiPriority w:val="0"/>
    <w:rPr>
      <w:b/>
    </w:rPr>
  </w:style>
  <w:style w:type="character" w:styleId="38">
    <w:name w:val="page number"/>
    <w:basedOn w:val="36"/>
    <w:qFormat/>
    <w:locked/>
    <w:uiPriority w:val="0"/>
  </w:style>
  <w:style w:type="character" w:styleId="39">
    <w:name w:val="Hyperlink"/>
    <w:basedOn w:val="36"/>
    <w:unhideWhenUsed/>
    <w:qFormat/>
    <w:locked/>
    <w:uiPriority w:val="99"/>
    <w:rPr>
      <w:color w:val="0563C1"/>
      <w:u w:val="single"/>
    </w:rPr>
  </w:style>
  <w:style w:type="character" w:styleId="40">
    <w:name w:val="annotation reference"/>
    <w:semiHidden/>
    <w:qFormat/>
    <w:uiPriority w:val="0"/>
    <w:rPr>
      <w:sz w:val="21"/>
    </w:rPr>
  </w:style>
  <w:style w:type="paragraph" w:customStyle="1" w:styleId="41">
    <w:name w:val="0正文"/>
    <w:basedOn w:val="30"/>
    <w:unhideWhenUsed/>
    <w:qFormat/>
    <w:uiPriority w:val="0"/>
    <w:pPr>
      <w:widowControl w:val="0"/>
      <w:spacing w:line="360" w:lineRule="auto"/>
      <w:ind w:firstLine="720" w:firstLineChars="200"/>
      <w:jc w:val="both"/>
    </w:pPr>
    <w:rPr>
      <w:rFonts w:ascii="Times New Roman" w:hAnsi="Times New Roman"/>
      <w:szCs w:val="22"/>
    </w:rPr>
  </w:style>
  <w:style w:type="paragraph" w:customStyle="1" w:styleId="42">
    <w:name w:val="Default"/>
    <w:basedOn w:val="43"/>
    <w:next w:val="8"/>
    <w:qFormat/>
    <w:uiPriority w:val="0"/>
    <w:pPr>
      <w:autoSpaceDE w:val="0"/>
      <w:autoSpaceDN w:val="0"/>
      <w:adjustRightInd w:val="0"/>
    </w:pPr>
    <w:rPr>
      <w:rFonts w:ascii="宋体" w:hAnsi="宋体" w:cs="宋体"/>
      <w:sz w:val="24"/>
    </w:rPr>
  </w:style>
  <w:style w:type="paragraph" w:customStyle="1" w:styleId="43">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character" w:customStyle="1" w:styleId="44">
    <w:name w:val="正文文本 字符"/>
    <w:link w:val="14"/>
    <w:qFormat/>
    <w:locked/>
    <w:uiPriority w:val="0"/>
    <w:rPr>
      <w:sz w:val="18"/>
    </w:rPr>
  </w:style>
  <w:style w:type="character" w:customStyle="1" w:styleId="45">
    <w:name w:val="标题 5 字符"/>
    <w:link w:val="7"/>
    <w:qFormat/>
    <w:uiPriority w:val="0"/>
    <w:rPr>
      <w:rFonts w:ascii="Times New Roman" w:hAnsi="Times New Roman" w:eastAsia="黑体"/>
    </w:rPr>
  </w:style>
  <w:style w:type="character" w:customStyle="1" w:styleId="46">
    <w:name w:val="批注文字 字符"/>
    <w:link w:val="13"/>
    <w:qFormat/>
    <w:locked/>
    <w:uiPriority w:val="0"/>
    <w:rPr>
      <w:rFonts w:ascii="Times New Roman" w:hAnsi="Times New Roman" w:eastAsia="宋体"/>
      <w:sz w:val="24"/>
    </w:rPr>
  </w:style>
  <w:style w:type="character" w:customStyle="1" w:styleId="47">
    <w:name w:val="正文文本缩进 字符"/>
    <w:link w:val="15"/>
    <w:semiHidden/>
    <w:qFormat/>
    <w:locked/>
    <w:uiPriority w:val="0"/>
    <w:rPr>
      <w:rFonts w:ascii="Times New Roman" w:hAnsi="Times New Roman" w:eastAsia="宋体"/>
      <w:sz w:val="24"/>
    </w:rPr>
  </w:style>
  <w:style w:type="character" w:customStyle="1" w:styleId="48">
    <w:name w:val="日期 字符1"/>
    <w:link w:val="22"/>
    <w:qFormat/>
    <w:locked/>
    <w:uiPriority w:val="0"/>
    <w:rPr>
      <w:rFonts w:ascii="Times New Roman" w:hAnsi="Times New Roman" w:eastAsia="宋体"/>
      <w:sz w:val="24"/>
    </w:rPr>
  </w:style>
  <w:style w:type="character" w:customStyle="1" w:styleId="49">
    <w:name w:val="批注框文本 字符"/>
    <w:link w:val="23"/>
    <w:semiHidden/>
    <w:qFormat/>
    <w:locked/>
    <w:uiPriority w:val="0"/>
    <w:rPr>
      <w:rFonts w:ascii="Times New Roman" w:hAnsi="Times New Roman" w:eastAsia="宋体"/>
      <w:sz w:val="18"/>
    </w:rPr>
  </w:style>
  <w:style w:type="character" w:customStyle="1" w:styleId="50">
    <w:name w:val="页脚 字符1"/>
    <w:link w:val="24"/>
    <w:qFormat/>
    <w:locked/>
    <w:uiPriority w:val="99"/>
    <w:rPr>
      <w:sz w:val="18"/>
    </w:rPr>
  </w:style>
  <w:style w:type="character" w:customStyle="1" w:styleId="51">
    <w:name w:val="页眉 字符"/>
    <w:link w:val="25"/>
    <w:qFormat/>
    <w:locked/>
    <w:uiPriority w:val="99"/>
    <w:rPr>
      <w:sz w:val="18"/>
    </w:rPr>
  </w:style>
  <w:style w:type="character" w:customStyle="1" w:styleId="52">
    <w:name w:val="普通(网站) 字符"/>
    <w:link w:val="30"/>
    <w:qFormat/>
    <w:locked/>
    <w:uiPriority w:val="0"/>
    <w:rPr>
      <w:rFonts w:ascii="宋体" w:hAnsi="宋体" w:eastAsia="宋体"/>
      <w:sz w:val="24"/>
    </w:rPr>
  </w:style>
  <w:style w:type="character" w:customStyle="1" w:styleId="53">
    <w:name w:val="批注主题 字符"/>
    <w:link w:val="32"/>
    <w:semiHidden/>
    <w:qFormat/>
    <w:locked/>
    <w:uiPriority w:val="0"/>
    <w:rPr>
      <w:rFonts w:ascii="Times New Roman" w:hAnsi="Times New Roman" w:eastAsia="宋体"/>
      <w:b/>
      <w:kern w:val="2"/>
      <w:sz w:val="24"/>
    </w:rPr>
  </w:style>
  <w:style w:type="paragraph" w:customStyle="1" w:styleId="54">
    <w:name w:val="样式 正文文本缩进 + 行距: 1.5 倍行距"/>
    <w:basedOn w:val="1"/>
    <w:qFormat/>
    <w:uiPriority w:val="0"/>
    <w:pPr>
      <w:spacing w:after="120"/>
      <w:ind w:left="90" w:leftChars="32" w:firstLine="560"/>
    </w:pPr>
    <w:rPr>
      <w:rFonts w:cs="宋体"/>
    </w:rPr>
  </w:style>
  <w:style w:type="character" w:customStyle="1" w:styleId="55">
    <w:name w:val="表格 Char"/>
    <w:link w:val="56"/>
    <w:qFormat/>
    <w:locked/>
    <w:uiPriority w:val="0"/>
    <w:rPr>
      <w:rFonts w:ascii="宋体"/>
      <w:sz w:val="21"/>
    </w:rPr>
  </w:style>
  <w:style w:type="paragraph" w:customStyle="1" w:styleId="56">
    <w:name w:val="表格"/>
    <w:basedOn w:val="10"/>
    <w:next w:val="1"/>
    <w:link w:val="55"/>
    <w:qFormat/>
    <w:uiPriority w:val="0"/>
    <w:pPr>
      <w:adjustRightInd w:val="0"/>
      <w:snapToGrid w:val="0"/>
      <w:spacing w:beforeLines="10" w:afterLines="10" w:line="259" w:lineRule="auto"/>
      <w:jc w:val="center"/>
    </w:pPr>
    <w:rPr>
      <w:rFonts w:ascii="宋体"/>
      <w:kern w:val="0"/>
      <w:szCs w:val="20"/>
    </w:rPr>
  </w:style>
  <w:style w:type="paragraph" w:customStyle="1" w:styleId="57">
    <w:name w:val="三化正文文本"/>
    <w:qFormat/>
    <w:uiPriority w:val="0"/>
    <w:pPr>
      <w:widowControl w:val="0"/>
      <w:adjustRightInd w:val="0"/>
      <w:snapToGrid w:val="0"/>
      <w:spacing w:line="420" w:lineRule="exact"/>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58">
    <w:name w:val="日期 字符"/>
    <w:semiHidden/>
    <w:qFormat/>
    <w:uiPriority w:val="0"/>
    <w:rPr>
      <w:rFonts w:ascii="Times New Roman" w:hAnsi="Times New Roman" w:eastAsia="宋体"/>
      <w:sz w:val="24"/>
    </w:rPr>
  </w:style>
  <w:style w:type="character" w:customStyle="1" w:styleId="59">
    <w:name w:val="正文文本 字符1"/>
    <w:semiHidden/>
    <w:qFormat/>
    <w:uiPriority w:val="0"/>
    <w:rPr>
      <w:rFonts w:ascii="Times New Roman" w:hAnsi="Times New Roman" w:eastAsia="宋体"/>
      <w:sz w:val="24"/>
    </w:rPr>
  </w:style>
  <w:style w:type="character" w:customStyle="1" w:styleId="60">
    <w:name w:val="页脚 字符"/>
    <w:basedOn w:val="36"/>
    <w:qFormat/>
    <w:uiPriority w:val="99"/>
  </w:style>
  <w:style w:type="character" w:customStyle="1" w:styleId="61">
    <w:name w:val="批注文字 字符1"/>
    <w:semiHidden/>
    <w:qFormat/>
    <w:uiPriority w:val="0"/>
    <w:rPr>
      <w:rFonts w:ascii="Times New Roman" w:hAnsi="Times New Roman" w:eastAsia="宋体"/>
      <w:sz w:val="24"/>
    </w:rPr>
  </w:style>
  <w:style w:type="paragraph" w:customStyle="1" w:styleId="62">
    <w:name w:val="注"/>
    <w:basedOn w:val="1"/>
    <w:next w:val="1"/>
    <w:qFormat/>
    <w:uiPriority w:val="0"/>
    <w:rPr>
      <w:sz w:val="18"/>
    </w:rPr>
  </w:style>
  <w:style w:type="paragraph" w:customStyle="1" w:styleId="63">
    <w:name w:val="样式 7表格(治) + 宋体"/>
    <w:basedOn w:val="64"/>
    <w:qFormat/>
    <w:uiPriority w:val="0"/>
  </w:style>
  <w:style w:type="paragraph" w:customStyle="1" w:styleId="64">
    <w:name w:val="7表格(治)"/>
    <w:qFormat/>
    <w:uiPriority w:val="0"/>
    <w:pPr>
      <w:jc w:val="center"/>
    </w:pPr>
    <w:rPr>
      <w:rFonts w:ascii="Times New Roman" w:hAnsi="Times New Roman" w:eastAsia="Times New Roman" w:cs="Times New Roman"/>
      <w:sz w:val="21"/>
      <w:szCs w:val="22"/>
      <w:lang w:val="en-US" w:eastAsia="zh-CN" w:bidi="ar-SA"/>
    </w:rPr>
  </w:style>
  <w:style w:type="paragraph" w:customStyle="1" w:styleId="65">
    <w:name w:val="Table Paragraph"/>
    <w:basedOn w:val="1"/>
    <w:qFormat/>
    <w:uiPriority w:val="0"/>
    <w:rPr>
      <w:rFonts w:ascii="Calibri" w:hAnsi="Calibri"/>
      <w:sz w:val="22"/>
      <w:szCs w:val="22"/>
      <w:lang w:eastAsia="en-US"/>
    </w:rPr>
  </w:style>
  <w:style w:type="paragraph" w:customStyle="1" w:styleId="66">
    <w:name w:val="首行缩进2 字符"/>
    <w:basedOn w:val="1"/>
    <w:qFormat/>
    <w:uiPriority w:val="0"/>
    <w:pPr>
      <w:spacing w:line="360" w:lineRule="auto"/>
      <w:ind w:firstLine="480" w:firstLineChars="200"/>
    </w:pPr>
    <w:rPr>
      <w:rFonts w:ascii="Calibri" w:hAnsi="Calibri" w:cs="宋体"/>
    </w:rPr>
  </w:style>
  <w:style w:type="paragraph" w:customStyle="1" w:styleId="67">
    <w:name w:val="T表格"/>
    <w:qFormat/>
    <w:uiPriority w:val="0"/>
    <w:pPr>
      <w:jc w:val="center"/>
    </w:pPr>
    <w:rPr>
      <w:rFonts w:ascii="Calibri" w:hAnsi="Calibri" w:eastAsia="Times New Roman" w:cs="Times New Roman"/>
      <w:kern w:val="2"/>
      <w:sz w:val="21"/>
      <w:szCs w:val="22"/>
      <w:lang w:val="en-US" w:eastAsia="zh-CN" w:bidi="ar-SA"/>
    </w:rPr>
  </w:style>
  <w:style w:type="paragraph" w:customStyle="1" w:styleId="68">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9">
    <w:name w:val="图名"/>
    <w:basedOn w:val="1"/>
    <w:qFormat/>
    <w:uiPriority w:val="0"/>
    <w:pPr>
      <w:jc w:val="center"/>
    </w:pPr>
    <w:rPr>
      <w:rFonts w:eastAsia="黑体"/>
      <w:b/>
    </w:rPr>
  </w:style>
  <w:style w:type="paragraph" w:customStyle="1" w:styleId="70">
    <w:name w:val="My正文"/>
    <w:basedOn w:val="1"/>
    <w:qFormat/>
    <w:uiPriority w:val="0"/>
    <w:pPr>
      <w:adjustRightInd w:val="0"/>
      <w:snapToGrid w:val="0"/>
      <w:spacing w:line="360" w:lineRule="auto"/>
      <w:ind w:firstLine="480" w:firstLineChars="200"/>
    </w:pPr>
    <w:rPr>
      <w:rFonts w:ascii="宋体" w:hAnsi="宋体" w:cs="宋体"/>
      <w:color w:val="000000"/>
      <w:sz w:val="24"/>
    </w:rPr>
  </w:style>
  <w:style w:type="paragraph" w:customStyle="1" w:styleId="71">
    <w:name w:val="表格内容"/>
    <w:next w:val="1"/>
    <w:qFormat/>
    <w:uiPriority w:val="0"/>
    <w:pPr>
      <w:tabs>
        <w:tab w:val="right" w:leader="dot" w:pos="8777"/>
      </w:tabs>
      <w:adjustRightInd w:val="0"/>
      <w:snapToGrid w:val="0"/>
      <w:spacing w:line="280" w:lineRule="exact"/>
      <w:jc w:val="center"/>
    </w:pPr>
    <w:rPr>
      <w:rFonts w:ascii="Times New Roman" w:hAnsi="Times New Roman" w:eastAsia="宋体" w:cs="Times New Roman"/>
      <w:color w:val="000000"/>
      <w:kern w:val="2"/>
      <w:sz w:val="21"/>
      <w:szCs w:val="18"/>
      <w:lang w:val="en-US" w:eastAsia="zh-CN" w:bidi="ar-SA"/>
    </w:rPr>
  </w:style>
  <w:style w:type="paragraph" w:customStyle="1" w:styleId="72">
    <w:name w:val="表头"/>
    <w:basedOn w:val="73"/>
    <w:next w:val="1"/>
    <w:qFormat/>
    <w:uiPriority w:val="0"/>
    <w:pPr>
      <w:tabs>
        <w:tab w:val="left" w:pos="3420"/>
      </w:tabs>
      <w:spacing w:line="360" w:lineRule="auto"/>
    </w:pPr>
    <w:rPr>
      <w:rFonts w:eastAsia="黑体"/>
      <w:snapToGrid w:val="0"/>
      <w:sz w:val="28"/>
    </w:rPr>
  </w:style>
  <w:style w:type="paragraph" w:customStyle="1" w:styleId="73">
    <w:name w:val="正文1"/>
    <w:basedOn w:val="15"/>
    <w:qFormat/>
    <w:uiPriority w:val="0"/>
    <w:pPr>
      <w:tabs>
        <w:tab w:val="left" w:pos="3420"/>
      </w:tabs>
      <w:adjustRightInd w:val="0"/>
      <w:spacing w:line="312" w:lineRule="atLeast"/>
      <w:textAlignment w:val="baseline"/>
    </w:pPr>
  </w:style>
  <w:style w:type="paragraph" w:customStyle="1" w:styleId="74">
    <w:name w:val="标题4"/>
    <w:basedOn w:val="1"/>
    <w:next w:val="1"/>
    <w:qFormat/>
    <w:uiPriority w:val="0"/>
    <w:pPr>
      <w:wordWrap w:val="0"/>
      <w:topLinePunct/>
      <w:adjustRightInd w:val="0"/>
      <w:snapToGrid w:val="0"/>
      <w:spacing w:beforeLines="50" w:afterLines="50"/>
    </w:pPr>
  </w:style>
  <w:style w:type="paragraph" w:customStyle="1" w:styleId="75">
    <w:name w:val="a四级标题"/>
    <w:basedOn w:val="1"/>
    <w:qFormat/>
    <w:uiPriority w:val="0"/>
    <w:pPr>
      <w:spacing w:line="360" w:lineRule="auto"/>
    </w:pPr>
    <w:rPr>
      <w:b/>
    </w:rPr>
  </w:style>
  <w:style w:type="paragraph" w:customStyle="1" w:styleId="76">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77">
    <w:name w:val="报告宋体小四"/>
    <w:next w:val="1"/>
    <w:qFormat/>
    <w:uiPriority w:val="0"/>
    <w:pPr>
      <w:widowControl w:val="0"/>
      <w:spacing w:line="360" w:lineRule="auto"/>
      <w:ind w:firstLine="480" w:firstLineChars="200"/>
      <w:jc w:val="both"/>
    </w:pPr>
    <w:rPr>
      <w:rFonts w:ascii="Times New Roman" w:hAnsi="Times New Roman" w:eastAsia="宋体" w:cs="Times New Roman"/>
      <w:color w:val="000000"/>
      <w:sz w:val="24"/>
      <w:lang w:val="en-US" w:eastAsia="zh-CN" w:bidi="ar-SA"/>
    </w:rPr>
  </w:style>
  <w:style w:type="paragraph" w:customStyle="1" w:styleId="78">
    <w:name w:val="已有表格"/>
    <w:basedOn w:val="1"/>
    <w:qFormat/>
    <w:uiPriority w:val="0"/>
    <w:pPr>
      <w:adjustRightInd w:val="0"/>
      <w:spacing w:before="40" w:after="40"/>
      <w:jc w:val="center"/>
    </w:pPr>
    <w:rPr>
      <w:b/>
      <w:kern w:val="0"/>
      <w:sz w:val="24"/>
    </w:rPr>
  </w:style>
  <w:style w:type="paragraph" w:customStyle="1" w:styleId="79">
    <w:name w:val="0表格正文"/>
    <w:basedOn w:val="1"/>
    <w:qFormat/>
    <w:uiPriority w:val="0"/>
    <w:pPr>
      <w:adjustRightInd w:val="0"/>
      <w:snapToGrid w:val="0"/>
      <w:contextualSpacing/>
      <w:jc w:val="center"/>
    </w:pPr>
  </w:style>
  <w:style w:type="paragraph" w:customStyle="1" w:styleId="80">
    <w:name w:val="应填表格"/>
    <w:basedOn w:val="78"/>
    <w:qFormat/>
    <w:uiPriority w:val="0"/>
    <w:pPr>
      <w:jc w:val="both"/>
    </w:pPr>
    <w:rPr>
      <w:rFonts w:hint="eastAsia" w:ascii="宋体"/>
      <w:spacing w:val="40"/>
    </w:rPr>
  </w:style>
  <w:style w:type="paragraph" w:customStyle="1" w:styleId="81">
    <w:name w:val="正文小四"/>
    <w:basedOn w:val="1"/>
    <w:qFormat/>
    <w:uiPriority w:val="0"/>
    <w:pPr>
      <w:spacing w:line="360" w:lineRule="auto"/>
      <w:ind w:firstLine="200" w:firstLineChars="200"/>
    </w:pPr>
  </w:style>
  <w:style w:type="paragraph" w:customStyle="1" w:styleId="82">
    <w:name w:val="报告表格"/>
    <w:basedOn w:val="1"/>
    <w:qFormat/>
    <w:uiPriority w:val="0"/>
    <w:pPr>
      <w:autoSpaceDE w:val="0"/>
      <w:autoSpaceDN w:val="0"/>
      <w:adjustRightInd w:val="0"/>
      <w:spacing w:before="40" w:after="40"/>
      <w:jc w:val="center"/>
    </w:pPr>
    <w:rPr>
      <w:kern w:val="0"/>
    </w:rPr>
  </w:style>
  <w:style w:type="paragraph" w:customStyle="1" w:styleId="83">
    <w:name w:val="5文章(治)"/>
    <w:basedOn w:val="1"/>
    <w:qFormat/>
    <w:uiPriority w:val="0"/>
    <w:pPr>
      <w:spacing w:line="360" w:lineRule="auto"/>
      <w:ind w:firstLine="480" w:firstLineChars="200"/>
    </w:pPr>
    <w:rPr>
      <w:snapToGrid w:val="0"/>
      <w:color w:val="000000"/>
      <w:lang w:val="en-GB"/>
    </w:rPr>
  </w:style>
  <w:style w:type="table" w:customStyle="1" w:styleId="84">
    <w:name w:val="Table Normal"/>
    <w:unhideWhenUsed/>
    <w:qFormat/>
    <w:uiPriority w:val="0"/>
    <w:tblPr>
      <w:tblCellMar>
        <w:top w:w="0" w:type="dxa"/>
        <w:left w:w="0" w:type="dxa"/>
        <w:bottom w:w="0" w:type="dxa"/>
        <w:right w:w="0" w:type="dxa"/>
      </w:tblCellMar>
    </w:tblPr>
  </w:style>
  <w:style w:type="paragraph" w:customStyle="1" w:styleId="85">
    <w:name w:val="【表头】"/>
    <w:basedOn w:val="1"/>
    <w:qFormat/>
    <w:uiPriority w:val="0"/>
    <w:pPr>
      <w:adjustRightInd w:val="0"/>
      <w:snapToGrid w:val="0"/>
      <w:spacing w:before="60"/>
      <w:jc w:val="center"/>
    </w:pPr>
    <w:rPr>
      <w:b/>
    </w:rPr>
  </w:style>
  <w:style w:type="paragraph" w:customStyle="1" w:styleId="86">
    <w:name w:val="表格的字"/>
    <w:basedOn w:val="1"/>
    <w:qFormat/>
    <w:uiPriority w:val="0"/>
    <w:pPr>
      <w:jc w:val="center"/>
    </w:pPr>
    <w:rPr>
      <w:szCs w:val="21"/>
    </w:rPr>
  </w:style>
  <w:style w:type="paragraph" w:customStyle="1" w:styleId="87">
    <w:name w:val="表格的格式"/>
    <w:basedOn w:val="1"/>
    <w:qFormat/>
    <w:uiPriority w:val="0"/>
    <w:pPr>
      <w:jc w:val="center"/>
    </w:pPr>
    <w:rPr>
      <w:szCs w:val="21"/>
    </w:rPr>
  </w:style>
  <w:style w:type="paragraph" w:customStyle="1" w:styleId="88">
    <w:name w:val="一级aaa"/>
    <w:basedOn w:val="3"/>
    <w:next w:val="1"/>
    <w:qFormat/>
    <w:uiPriority w:val="0"/>
    <w:pPr>
      <w:keepNext w:val="0"/>
      <w:adjustRightInd w:val="0"/>
      <w:spacing w:before="100" w:beforeLines="100" w:after="100" w:afterLines="100" w:line="360" w:lineRule="auto"/>
    </w:pPr>
    <w:rPr>
      <w:sz w:val="32"/>
    </w:rPr>
  </w:style>
  <w:style w:type="paragraph" w:customStyle="1" w:styleId="89">
    <w:name w:val="北京正文"/>
    <w:qFormat/>
    <w:uiPriority w:val="0"/>
    <w:pPr>
      <w:spacing w:line="360" w:lineRule="auto"/>
      <w:ind w:firstLine="200" w:firstLineChars="200"/>
      <w:jc w:val="both"/>
    </w:pPr>
    <w:rPr>
      <w:rFonts w:ascii="Times New Roman" w:hAnsi="Times New Roman" w:eastAsia="宋体" w:cs="Times New Roman"/>
      <w:bCs/>
      <w:color w:val="000000"/>
      <w:kern w:val="2"/>
      <w:sz w:val="24"/>
      <w:szCs w:val="24"/>
      <w:lang w:val="en-US" w:eastAsia="zh-CN" w:bidi="ar-SA"/>
    </w:rPr>
  </w:style>
  <w:style w:type="paragraph" w:customStyle="1" w:styleId="90">
    <w:name w:val="北京表内容1"/>
    <w:next w:val="1"/>
    <w:qFormat/>
    <w:uiPriority w:val="0"/>
    <w:pPr>
      <w:jc w:val="center"/>
    </w:pPr>
    <w:rPr>
      <w:rFonts w:ascii="Times New Roman" w:hAnsi="Times New Roman" w:eastAsia="宋体" w:cs="Times New Roman"/>
      <w:bCs/>
      <w:color w:val="000000"/>
      <w:kern w:val="2"/>
      <w:sz w:val="21"/>
      <w:szCs w:val="24"/>
      <w:lang w:val="en-US" w:eastAsia="zh-CN" w:bidi="ar-SA"/>
    </w:rPr>
  </w:style>
  <w:style w:type="paragraph" w:customStyle="1" w:styleId="91">
    <w:name w:val="111表格"/>
    <w:basedOn w:val="87"/>
    <w:qFormat/>
    <w:uiPriority w:val="0"/>
    <w:rPr>
      <w:color w:val="C00000"/>
    </w:rPr>
  </w:style>
  <w:style w:type="paragraph" w:customStyle="1" w:styleId="92">
    <w:name w:val="6.2lin正文无缩进"/>
    <w:basedOn w:val="1"/>
    <w:qFormat/>
    <w:uiPriority w:val="0"/>
    <w:pPr>
      <w:spacing w:line="360" w:lineRule="auto"/>
      <w:jc w:val="left"/>
    </w:pPr>
    <w:rPr>
      <w:sz w:val="24"/>
    </w:rPr>
  </w:style>
  <w:style w:type="character" w:customStyle="1" w:styleId="93">
    <w:name w:val="fontstyle01"/>
    <w:basedOn w:val="36"/>
    <w:qFormat/>
    <w:uiPriority w:val="0"/>
    <w:rPr>
      <w:rFonts w:ascii="宋体" w:hAnsi="宋体" w:eastAsia="宋体" w:cs="宋体"/>
      <w:color w:val="000000"/>
      <w:sz w:val="32"/>
      <w:szCs w:val="32"/>
    </w:rPr>
  </w:style>
  <w:style w:type="character" w:customStyle="1" w:styleId="94">
    <w:name w:val="fontstyle11"/>
    <w:basedOn w:val="36"/>
    <w:qFormat/>
    <w:uiPriority w:val="0"/>
    <w:rPr>
      <w:rFonts w:hint="default" w:ascii="Times New Roman" w:hAnsi="Times New Roman" w:cs="Times New Roman"/>
      <w:color w:val="000000"/>
      <w:sz w:val="24"/>
      <w:szCs w:val="24"/>
    </w:rPr>
  </w:style>
  <w:style w:type="paragraph" w:customStyle="1" w:styleId="95">
    <w:name w:val="三级标题（）"/>
    <w:basedOn w:val="1"/>
    <w:qFormat/>
    <w:uiPriority w:val="0"/>
    <w:pPr>
      <w:tabs>
        <w:tab w:val="left" w:pos="3840"/>
      </w:tabs>
      <w:jc w:val="left"/>
      <w:outlineLvl w:val="2"/>
    </w:pPr>
    <w:rPr>
      <w:rFonts w:eastAsia="黑体"/>
      <w:sz w:val="28"/>
      <w:szCs w:val="30"/>
    </w:rPr>
  </w:style>
  <w:style w:type="character" w:customStyle="1" w:styleId="96">
    <w:name w:val="font91"/>
    <w:basedOn w:val="36"/>
    <w:qFormat/>
    <w:uiPriority w:val="0"/>
    <w:rPr>
      <w:rFonts w:ascii="宋体" w:hAnsi="宋体" w:eastAsia="宋体" w:cs="宋体"/>
      <w:color w:val="000000"/>
      <w:sz w:val="20"/>
      <w:szCs w:val="20"/>
      <w:u w:val="single"/>
    </w:rPr>
  </w:style>
  <w:style w:type="character" w:customStyle="1" w:styleId="97">
    <w:name w:val="font101"/>
    <w:basedOn w:val="36"/>
    <w:qFormat/>
    <w:uiPriority w:val="0"/>
    <w:rPr>
      <w:rFonts w:hint="default" w:ascii="Times New Roman" w:hAnsi="Times New Roman" w:cs="Times New Roman"/>
      <w:color w:val="000000"/>
      <w:sz w:val="20"/>
      <w:szCs w:val="20"/>
      <w:u w:val="single"/>
    </w:rPr>
  </w:style>
  <w:style w:type="character" w:customStyle="1" w:styleId="98">
    <w:name w:val="font112"/>
    <w:basedOn w:val="36"/>
    <w:qFormat/>
    <w:uiPriority w:val="0"/>
    <w:rPr>
      <w:rFonts w:hint="default" w:ascii="Times New Roman" w:hAnsi="Times New Roman" w:cs="Times New Roman"/>
      <w:color w:val="000000"/>
      <w:sz w:val="12"/>
      <w:szCs w:val="12"/>
      <w:u w:val="single"/>
    </w:rPr>
  </w:style>
  <w:style w:type="paragraph" w:customStyle="1" w:styleId="99">
    <w:name w:val="表头小四宋加粗"/>
    <w:next w:val="1"/>
    <w:qFormat/>
    <w:uiPriority w:val="0"/>
    <w:pPr>
      <w:ind w:firstLine="151" w:firstLineChars="50"/>
      <w:outlineLvl w:val="4"/>
    </w:pPr>
    <w:rPr>
      <w:rFonts w:ascii="Times New Roman" w:hAnsi="Times New Roman" w:eastAsia="宋体" w:cs="Times New Roman"/>
      <w:b/>
      <w:kern w:val="2"/>
      <w:sz w:val="24"/>
      <w:szCs w:val="24"/>
      <w:lang w:val="en-US" w:eastAsia="zh-CN" w:bidi="ar-SA"/>
    </w:rPr>
  </w:style>
  <w:style w:type="paragraph" w:customStyle="1" w:styleId="100">
    <w:name w:val="0 正  文"/>
    <w:qFormat/>
    <w:uiPriority w:val="0"/>
    <w:pPr>
      <w:widowControl w:val="0"/>
      <w:adjustRightInd w:val="0"/>
      <w:snapToGrid w:val="0"/>
      <w:spacing w:after="160" w:line="560" w:lineRule="exact"/>
      <w:ind w:firstLine="200" w:firstLineChars="200"/>
      <w:jc w:val="both"/>
    </w:pPr>
    <w:rPr>
      <w:rFonts w:ascii="Calibri" w:hAnsi="Calibri" w:eastAsia="宋体" w:cs="Times New Roman"/>
      <w:sz w:val="28"/>
      <w:szCs w:val="22"/>
      <w:lang w:val="en-US" w:eastAsia="zh-CN" w:bidi="ar-SA"/>
    </w:rPr>
  </w:style>
  <w:style w:type="paragraph" w:customStyle="1" w:styleId="101">
    <w:name w:val="金皇-表格内文字"/>
    <w:basedOn w:val="1"/>
    <w:qFormat/>
    <w:uiPriority w:val="0"/>
    <w:pPr>
      <w:tabs>
        <w:tab w:val="left" w:pos="0"/>
      </w:tabs>
      <w:adjustRightInd w:val="0"/>
      <w:snapToGrid w:val="0"/>
      <w:jc w:val="center"/>
    </w:pPr>
    <w:rPr>
      <w:snapToGrid w:val="0"/>
      <w:szCs w:val="21"/>
    </w:rPr>
  </w:style>
  <w:style w:type="character" w:customStyle="1" w:styleId="102">
    <w:name w:val="font11"/>
    <w:basedOn w:val="36"/>
    <w:qFormat/>
    <w:uiPriority w:val="0"/>
    <w:rPr>
      <w:rFonts w:hint="default" w:ascii="Times New Roman" w:hAnsi="Times New Roman" w:cs="Times New Roman"/>
      <w:color w:val="000000"/>
      <w:sz w:val="21"/>
      <w:szCs w:val="21"/>
      <w:u w:val="none"/>
    </w:rPr>
  </w:style>
  <w:style w:type="paragraph" w:customStyle="1" w:styleId="103">
    <w:name w:val="111正文的格式"/>
    <w:basedOn w:val="1"/>
    <w:qFormat/>
    <w:uiPriority w:val="0"/>
    <w:pPr>
      <w:adjustRightInd w:val="0"/>
      <w:snapToGrid w:val="0"/>
      <w:spacing w:line="360" w:lineRule="auto"/>
      <w:ind w:firstLine="480" w:firstLineChars="200"/>
    </w:pPr>
    <w:rPr>
      <w:color w:val="FF0000"/>
    </w:rPr>
  </w:style>
  <w:style w:type="paragraph" w:customStyle="1" w:styleId="104">
    <w:name w:val="北京表头"/>
    <w:next w:val="1"/>
    <w:qFormat/>
    <w:uiPriority w:val="0"/>
    <w:pPr>
      <w:spacing w:line="360" w:lineRule="auto"/>
      <w:jc w:val="center"/>
    </w:pPr>
    <w:rPr>
      <w:rFonts w:ascii="Times New Roman" w:hAnsi="Times New Roman" w:eastAsia="宋体" w:cs="Times New Roman"/>
      <w:b/>
      <w:bCs/>
      <w:color w:val="000000"/>
      <w:kern w:val="2"/>
      <w:sz w:val="24"/>
      <w:szCs w:val="24"/>
      <w:lang w:val="en-US" w:eastAsia="zh-CN" w:bidi="ar-SA"/>
    </w:rPr>
  </w:style>
  <w:style w:type="character" w:customStyle="1" w:styleId="105">
    <w:name w:val="font01"/>
    <w:basedOn w:val="36"/>
    <w:qFormat/>
    <w:uiPriority w:val="0"/>
    <w:rPr>
      <w:rFonts w:hint="eastAsia" w:ascii="宋体" w:hAnsi="宋体" w:eastAsia="宋体" w:cs="宋体"/>
      <w:color w:val="000000"/>
      <w:sz w:val="21"/>
      <w:szCs w:val="21"/>
      <w:u w:val="none"/>
    </w:rPr>
  </w:style>
  <w:style w:type="character" w:customStyle="1" w:styleId="106">
    <w:name w:val="font31"/>
    <w:basedOn w:val="36"/>
    <w:qFormat/>
    <w:uiPriority w:val="0"/>
    <w:rPr>
      <w:rFonts w:hint="eastAsia" w:ascii="宋体" w:hAnsi="宋体" w:eastAsia="宋体" w:cs="宋体"/>
      <w:color w:val="000000"/>
      <w:sz w:val="21"/>
      <w:szCs w:val="21"/>
      <w:u w:val="none"/>
    </w:rPr>
  </w:style>
  <w:style w:type="character" w:customStyle="1" w:styleId="107">
    <w:name w:val="font61"/>
    <w:basedOn w:val="36"/>
    <w:qFormat/>
    <w:uiPriority w:val="0"/>
    <w:rPr>
      <w:rFonts w:hint="eastAsia" w:ascii="宋体" w:hAnsi="宋体" w:eastAsia="宋体" w:cs="宋体"/>
      <w:color w:val="000000"/>
      <w:sz w:val="21"/>
      <w:szCs w:val="21"/>
      <w:u w:val="none"/>
    </w:rPr>
  </w:style>
  <w:style w:type="character" w:customStyle="1" w:styleId="108">
    <w:name w:val="font21"/>
    <w:basedOn w:val="36"/>
    <w:qFormat/>
    <w:uiPriority w:val="0"/>
    <w:rPr>
      <w:rFonts w:hint="default" w:ascii="Times New Roman" w:hAnsi="Times New Roman" w:cs="Times New Roman"/>
      <w:color w:val="000000"/>
      <w:sz w:val="21"/>
      <w:szCs w:val="21"/>
      <w:u w:val="none"/>
    </w:rPr>
  </w:style>
  <w:style w:type="paragraph" w:customStyle="1" w:styleId="109">
    <w:name w:val="二级"/>
    <w:basedOn w:val="1"/>
    <w:next w:val="14"/>
    <w:qFormat/>
    <w:uiPriority w:val="0"/>
    <w:pPr>
      <w:ind w:firstLine="200" w:firstLineChars="200"/>
    </w:pPr>
    <w:rPr>
      <w:sz w:val="24"/>
    </w:rPr>
  </w:style>
  <w:style w:type="paragraph" w:customStyle="1" w:styleId="110">
    <w:name w:val="6.1lin正文缩进"/>
    <w:basedOn w:val="1"/>
    <w:qFormat/>
    <w:uiPriority w:val="0"/>
    <w:pPr>
      <w:spacing w:line="360" w:lineRule="auto"/>
      <w:ind w:firstLine="200" w:firstLineChars="200"/>
    </w:pPr>
    <w:rPr>
      <w:sz w:val="24"/>
    </w:rPr>
  </w:style>
  <w:style w:type="character" w:customStyle="1" w:styleId="111">
    <w:name w:val="font51"/>
    <w:basedOn w:val="36"/>
    <w:qFormat/>
    <w:uiPriority w:val="0"/>
    <w:rPr>
      <w:rFonts w:hint="default" w:ascii="Times New Roman" w:hAnsi="Times New Roman" w:cs="Times New Roman"/>
      <w:color w:val="000000"/>
      <w:sz w:val="21"/>
      <w:szCs w:val="21"/>
      <w:u w:val="none"/>
    </w:rPr>
  </w:style>
  <w:style w:type="character" w:customStyle="1" w:styleId="112">
    <w:name w:val="font41"/>
    <w:basedOn w:val="36"/>
    <w:qFormat/>
    <w:uiPriority w:val="0"/>
    <w:rPr>
      <w:rFonts w:hint="default" w:ascii="Times New Roman" w:hAnsi="Times New Roman" w:cs="Times New Roman"/>
      <w:color w:val="000000"/>
      <w:sz w:val="21"/>
      <w:szCs w:val="21"/>
      <w:u w:val="none"/>
      <w:vertAlign w:val="superscript"/>
    </w:rPr>
  </w:style>
  <w:style w:type="paragraph" w:customStyle="1" w:styleId="113">
    <w:name w:val="2标题(治)"/>
    <w:basedOn w:val="4"/>
    <w:qFormat/>
    <w:uiPriority w:val="0"/>
    <w:pPr>
      <w:spacing w:line="360" w:lineRule="auto"/>
    </w:pPr>
    <w:rPr>
      <w:rFonts w:ascii="Times New Roman"/>
      <w:szCs w:val="20"/>
    </w:rPr>
  </w:style>
  <w:style w:type="character" w:customStyle="1" w:styleId="114">
    <w:name w:val="font81"/>
    <w:basedOn w:val="36"/>
    <w:qFormat/>
    <w:uiPriority w:val="0"/>
    <w:rPr>
      <w:rFonts w:ascii="宋体" w:hAnsi="宋体" w:eastAsia="宋体" w:cs="宋体"/>
      <w:color w:val="505080"/>
      <w:sz w:val="14"/>
      <w:szCs w:val="14"/>
      <w:u w:val="none"/>
    </w:rPr>
  </w:style>
  <w:style w:type="character" w:customStyle="1" w:styleId="115">
    <w:name w:val="font181"/>
    <w:basedOn w:val="36"/>
    <w:qFormat/>
    <w:uiPriority w:val="0"/>
    <w:rPr>
      <w:rFonts w:ascii="宋体" w:hAnsi="宋体" w:eastAsia="宋体" w:cs="宋体"/>
      <w:color w:val="000000"/>
      <w:sz w:val="14"/>
      <w:szCs w:val="14"/>
      <w:u w:val="none"/>
    </w:rPr>
  </w:style>
  <w:style w:type="character" w:customStyle="1" w:styleId="116">
    <w:name w:val="font191"/>
    <w:basedOn w:val="36"/>
    <w:qFormat/>
    <w:uiPriority w:val="0"/>
    <w:rPr>
      <w:rFonts w:ascii="宋体" w:hAnsi="宋体" w:eastAsia="宋体" w:cs="宋体"/>
      <w:color w:val="506070"/>
      <w:sz w:val="14"/>
      <w:szCs w:val="14"/>
      <w:u w:val="none"/>
    </w:rPr>
  </w:style>
  <w:style w:type="character" w:customStyle="1" w:styleId="117">
    <w:name w:val="font161"/>
    <w:basedOn w:val="36"/>
    <w:qFormat/>
    <w:uiPriority w:val="0"/>
    <w:rPr>
      <w:rFonts w:ascii="宋体" w:hAnsi="宋体" w:eastAsia="宋体" w:cs="宋体"/>
      <w:color w:val="203060"/>
      <w:sz w:val="14"/>
      <w:szCs w:val="14"/>
      <w:u w:val="none"/>
    </w:rPr>
  </w:style>
  <w:style w:type="character" w:customStyle="1" w:styleId="118">
    <w:name w:val="font131"/>
    <w:basedOn w:val="36"/>
    <w:qFormat/>
    <w:uiPriority w:val="0"/>
    <w:rPr>
      <w:rFonts w:ascii="宋体" w:hAnsi="宋体" w:eastAsia="宋体" w:cs="宋体"/>
      <w:color w:val="505050"/>
      <w:sz w:val="14"/>
      <w:szCs w:val="14"/>
      <w:u w:val="none"/>
    </w:rPr>
  </w:style>
  <w:style w:type="character" w:customStyle="1" w:styleId="119">
    <w:name w:val="font151"/>
    <w:basedOn w:val="36"/>
    <w:qFormat/>
    <w:uiPriority w:val="0"/>
    <w:rPr>
      <w:rFonts w:ascii="宋体" w:hAnsi="宋体" w:eastAsia="宋体" w:cs="宋体"/>
      <w:color w:val="506060"/>
      <w:sz w:val="14"/>
      <w:szCs w:val="14"/>
      <w:u w:val="none"/>
    </w:rPr>
  </w:style>
  <w:style w:type="character" w:customStyle="1" w:styleId="120">
    <w:name w:val="font171"/>
    <w:basedOn w:val="36"/>
    <w:qFormat/>
    <w:uiPriority w:val="0"/>
    <w:rPr>
      <w:rFonts w:ascii="宋体" w:hAnsi="宋体" w:eastAsia="宋体" w:cs="宋体"/>
      <w:color w:val="405080"/>
      <w:sz w:val="14"/>
      <w:szCs w:val="14"/>
      <w:u w:val="none"/>
    </w:rPr>
  </w:style>
  <w:style w:type="paragraph" w:customStyle="1" w:styleId="121">
    <w:name w:val="金皇-正文"/>
    <w:basedOn w:val="1"/>
    <w:qFormat/>
    <w:uiPriority w:val="0"/>
    <w:pPr>
      <w:spacing w:line="360" w:lineRule="auto"/>
      <w:ind w:firstLine="200" w:firstLineChars="200"/>
    </w:pPr>
    <w:rPr>
      <w:sz w:val="24"/>
    </w:rPr>
  </w:style>
  <w:style w:type="paragraph" w:customStyle="1" w:styleId="122">
    <w:name w:val="金皇表（图）头"/>
    <w:basedOn w:val="1"/>
    <w:qFormat/>
    <w:uiPriority w:val="0"/>
    <w:pPr>
      <w:adjustRightInd w:val="0"/>
      <w:jc w:val="center"/>
      <w:outlineLvl w:val="4"/>
    </w:pPr>
    <w:rPr>
      <w:rFonts w:eastAsia="黑体"/>
      <w:b/>
      <w:sz w:val="24"/>
    </w:rPr>
  </w:style>
  <w:style w:type="character" w:customStyle="1" w:styleId="123">
    <w:name w:val="font71"/>
    <w:basedOn w:val="36"/>
    <w:qFormat/>
    <w:uiPriority w:val="0"/>
    <w:rPr>
      <w:rFonts w:ascii="宋体" w:hAnsi="宋体" w:eastAsia="宋体" w:cs="宋体"/>
      <w:color w:val="F02010"/>
      <w:sz w:val="28"/>
      <w:szCs w:val="28"/>
      <w:u w:val="none"/>
    </w:rPr>
  </w:style>
  <w:style w:type="character" w:customStyle="1" w:styleId="124">
    <w:name w:val="font111"/>
    <w:basedOn w:val="36"/>
    <w:qFormat/>
    <w:uiPriority w:val="0"/>
    <w:rPr>
      <w:rFonts w:ascii="宋体" w:hAnsi="宋体" w:eastAsia="宋体" w:cs="宋体"/>
      <w:color w:val="000000"/>
      <w:sz w:val="30"/>
      <w:szCs w:val="30"/>
      <w:u w:val="none"/>
    </w:rPr>
  </w:style>
  <w:style w:type="character" w:customStyle="1" w:styleId="125">
    <w:name w:val="font122"/>
    <w:basedOn w:val="36"/>
    <w:qFormat/>
    <w:uiPriority w:val="0"/>
    <w:rPr>
      <w:rFonts w:ascii="宋体" w:hAnsi="宋体" w:eastAsia="宋体" w:cs="宋体"/>
      <w:color w:val="E01020"/>
      <w:sz w:val="30"/>
      <w:szCs w:val="30"/>
      <w:u w:val="none"/>
    </w:rPr>
  </w:style>
  <w:style w:type="character" w:customStyle="1" w:styleId="126">
    <w:name w:val="font141"/>
    <w:basedOn w:val="36"/>
    <w:qFormat/>
    <w:uiPriority w:val="0"/>
    <w:rPr>
      <w:rFonts w:ascii="宋体" w:hAnsi="宋体" w:eastAsia="宋体" w:cs="宋体"/>
      <w:color w:val="F01030"/>
      <w:sz w:val="28"/>
      <w:szCs w:val="28"/>
      <w:u w:val="none"/>
    </w:rPr>
  </w:style>
  <w:style w:type="character" w:customStyle="1" w:styleId="127">
    <w:name w:val="font121"/>
    <w:basedOn w:val="36"/>
    <w:qFormat/>
    <w:uiPriority w:val="0"/>
    <w:rPr>
      <w:rFonts w:ascii="宋体" w:hAnsi="宋体" w:eastAsia="宋体" w:cs="宋体"/>
      <w:color w:val="F01030"/>
      <w:sz w:val="26"/>
      <w:szCs w:val="26"/>
      <w:u w:val="none"/>
    </w:rPr>
  </w:style>
  <w:style w:type="paragraph" w:customStyle="1" w:styleId="128">
    <w:name w:val="0报告正文"/>
    <w:basedOn w:val="1"/>
    <w:qFormat/>
    <w:uiPriority w:val="0"/>
    <w:pPr>
      <w:ind w:firstLine="480"/>
    </w:pPr>
    <w:rPr>
      <w:kern w:val="24"/>
    </w:rPr>
  </w:style>
  <w:style w:type="paragraph" w:customStyle="1" w:styleId="129">
    <w:name w:val="规范表格目录"/>
    <w:basedOn w:val="27"/>
    <w:qFormat/>
    <w:uiPriority w:val="0"/>
    <w:pPr>
      <w:ind w:left="0" w:leftChars="0" w:firstLine="0" w:firstLineChars="0"/>
      <w:jc w:val="center"/>
    </w:pPr>
    <w:rPr>
      <w:b/>
      <w:sz w:val="24"/>
      <w:szCs w:val="28"/>
    </w:rPr>
  </w:style>
  <w:style w:type="paragraph" w:customStyle="1" w:styleId="130">
    <w:name w:val="【表格文字】"/>
    <w:basedOn w:val="1"/>
    <w:next w:val="1"/>
    <w:qFormat/>
    <w:uiPriority w:val="0"/>
    <w:pPr>
      <w:widowControl/>
      <w:adjustRightInd w:val="0"/>
      <w:snapToGrid w:val="0"/>
      <w:jc w:val="center"/>
    </w:pPr>
  </w:style>
  <w:style w:type="paragraph" w:customStyle="1" w:styleId="131">
    <w:name w:val="0规范表格文"/>
    <w:qFormat/>
    <w:uiPriority w:val="0"/>
    <w:pPr>
      <w:adjustRightInd w:val="0"/>
      <w:snapToGrid w:val="0"/>
      <w:jc w:val="center"/>
    </w:pPr>
    <w:rPr>
      <w:rFonts w:ascii="Times New Roman" w:hAnsi="Times New Roman" w:eastAsia="宋体" w:cs="Times New Roman"/>
      <w:sz w:val="21"/>
      <w:lang w:val="en-US" w:eastAsia="zh-CN" w:bidi="ar-SA"/>
    </w:rPr>
  </w:style>
  <w:style w:type="paragraph" w:customStyle="1" w:styleId="132">
    <w:name w:val="文本"/>
    <w:qFormat/>
    <w:uiPriority w:val="0"/>
    <w:pPr>
      <w:widowControl w:val="0"/>
      <w:spacing w:line="360" w:lineRule="auto"/>
      <w:ind w:firstLine="480" w:firstLineChars="200"/>
      <w:jc w:val="both"/>
    </w:pPr>
    <w:rPr>
      <w:rFonts w:ascii="Times New Roman" w:hAnsi="Times New Roman" w:eastAsia="宋体" w:cs="宋体"/>
      <w:snapToGrid w:val="0"/>
      <w:color w:val="000000"/>
      <w:sz w:val="24"/>
      <w:lang w:val="en-US" w:eastAsia="zh-CN" w:bidi="ar-SA"/>
    </w:rPr>
  </w:style>
  <w:style w:type="paragraph" w:customStyle="1" w:styleId="133">
    <w:name w:val="22表格"/>
    <w:basedOn w:val="134"/>
    <w:qFormat/>
    <w:uiPriority w:val="0"/>
    <w:pPr>
      <w:adjustRightInd w:val="0"/>
      <w:snapToGrid w:val="0"/>
      <w:textAlignment w:val="center"/>
    </w:pPr>
    <w:rPr>
      <w:rFonts w:eastAsia="宋体"/>
      <w:color w:val="000000"/>
    </w:rPr>
  </w:style>
  <w:style w:type="paragraph" w:customStyle="1" w:styleId="134">
    <w:name w:val="表表表表"/>
    <w:basedOn w:val="135"/>
    <w:qFormat/>
    <w:uiPriority w:val="0"/>
    <w:pPr>
      <w:widowControl/>
    </w:pPr>
    <w:rPr>
      <w:rFonts w:eastAsia="方正楷体简体"/>
      <w:szCs w:val="21"/>
    </w:rPr>
  </w:style>
  <w:style w:type="paragraph" w:customStyle="1" w:styleId="135">
    <w:name w:val="表格文字"/>
    <w:basedOn w:val="1"/>
    <w:qFormat/>
    <w:uiPriority w:val="0"/>
    <w:pPr>
      <w:spacing w:before="60" w:after="60" w:line="240" w:lineRule="atLeast"/>
      <w:jc w:val="center"/>
    </w:pPr>
    <w:rPr>
      <w:sz w:val="24"/>
    </w:rPr>
  </w:style>
  <w:style w:type="character" w:customStyle="1" w:styleId="136">
    <w:name w:val="0规范正文 Char"/>
    <w:link w:val="137"/>
    <w:qFormat/>
    <w:uiPriority w:val="0"/>
    <w:rPr>
      <w:rFonts w:ascii="Times New Roman" w:hAnsi="Times New Roman" w:eastAsia="宋体" w:cs="Times New Roman"/>
      <w:color w:val="000000"/>
      <w:kern w:val="2"/>
      <w:sz w:val="24"/>
      <w:szCs w:val="24"/>
      <w:lang w:val="en-US" w:eastAsia="zh-CN" w:bidi="ar-SA"/>
    </w:rPr>
  </w:style>
  <w:style w:type="paragraph" w:customStyle="1" w:styleId="137">
    <w:name w:val="0规范正文"/>
    <w:link w:val="136"/>
    <w:qFormat/>
    <w:uiPriority w:val="0"/>
    <w:pPr>
      <w:topLinePunct/>
      <w:spacing w:line="360" w:lineRule="auto"/>
      <w:ind w:firstLine="200" w:firstLineChars="200"/>
      <w:jc w:val="both"/>
      <w:textAlignment w:val="baseline"/>
    </w:pPr>
    <w:rPr>
      <w:rFonts w:ascii="Times New Roman" w:hAnsi="Times New Roman" w:eastAsia="宋体" w:cs="Times New Roman"/>
      <w:color w:val="000000"/>
      <w:kern w:val="2"/>
      <w:sz w:val="24"/>
      <w:szCs w:val="24"/>
      <w:lang w:val="en-US" w:eastAsia="zh-CN" w:bidi="ar-SA"/>
    </w:rPr>
  </w:style>
  <w:style w:type="paragraph" w:customStyle="1" w:styleId="138">
    <w:name w:val="规范表格文"/>
    <w:basedOn w:val="14"/>
    <w:qFormat/>
    <w:uiPriority w:val="0"/>
    <w:pPr>
      <w:widowControl w:val="0"/>
      <w:snapToGrid/>
      <w:spacing w:before="0" w:after="0" w:line="240" w:lineRule="auto"/>
      <w:ind w:right="0"/>
      <w:jc w:val="center"/>
    </w:pPr>
    <w:rPr>
      <w:rFonts w:cstheme="minorBidi"/>
      <w:kern w:val="2"/>
      <w:sz w:val="21"/>
      <w:szCs w:val="24"/>
    </w:rPr>
  </w:style>
  <w:style w:type="paragraph" w:customStyle="1" w:styleId="139">
    <w:name w:val="11111表土"/>
    <w:basedOn w:val="1"/>
    <w:qFormat/>
    <w:uiPriority w:val="0"/>
    <w:pPr>
      <w:widowControl/>
      <w:adjustRightInd w:val="0"/>
      <w:snapToGrid w:val="0"/>
      <w:jc w:val="center"/>
    </w:pPr>
    <w:rPr>
      <w:rFonts w:eastAsia="黑体"/>
      <w:kern w:val="0"/>
      <w:sz w:val="24"/>
    </w:rPr>
  </w:style>
  <w:style w:type="paragraph" w:customStyle="1" w:styleId="140">
    <w:name w:val="表格内文字"/>
    <w:basedOn w:val="1"/>
    <w:qFormat/>
    <w:uiPriority w:val="0"/>
    <w:pPr>
      <w:jc w:val="center"/>
    </w:pPr>
  </w:style>
  <w:style w:type="character" w:customStyle="1" w:styleId="141">
    <w:name w:val="表正文 Char"/>
    <w:link w:val="142"/>
    <w:qFormat/>
    <w:uiPriority w:val="0"/>
    <w:rPr>
      <w:sz w:val="24"/>
    </w:rPr>
  </w:style>
  <w:style w:type="paragraph" w:customStyle="1" w:styleId="142">
    <w:name w:val="表正文"/>
    <w:basedOn w:val="1"/>
    <w:link w:val="141"/>
    <w:qFormat/>
    <w:uiPriority w:val="0"/>
    <w:pPr>
      <w:widowControl/>
      <w:spacing w:line="360" w:lineRule="auto"/>
      <w:ind w:firstLine="200" w:firstLineChars="200"/>
      <w:jc w:val="left"/>
    </w:pPr>
    <w:rPr>
      <w:sz w:val="24"/>
    </w:rPr>
  </w:style>
  <w:style w:type="paragraph" w:customStyle="1" w:styleId="143">
    <w:name w:val="111表头"/>
    <w:basedOn w:val="144"/>
    <w:qFormat/>
    <w:uiPriority w:val="0"/>
    <w:pPr>
      <w:widowControl/>
      <w:adjustRightInd w:val="0"/>
      <w:snapToGrid w:val="0"/>
    </w:pPr>
  </w:style>
  <w:style w:type="paragraph" w:customStyle="1" w:styleId="144">
    <w:name w:val="表头 ylp"/>
    <w:basedOn w:val="1"/>
    <w:qFormat/>
    <w:uiPriority w:val="0"/>
    <w:pPr>
      <w:jc w:val="center"/>
    </w:pPr>
    <w:rPr>
      <w:rFonts w:eastAsia="黑体"/>
      <w:color w:val="0000FF"/>
      <w:sz w:val="24"/>
      <w:lang w:bidi="he-IL"/>
    </w:rPr>
  </w:style>
  <w:style w:type="paragraph" w:customStyle="1" w:styleId="145">
    <w:name w:val="111表格的格式"/>
    <w:basedOn w:val="1"/>
    <w:qFormat/>
    <w:uiPriority w:val="0"/>
    <w:pPr>
      <w:adjustRightInd w:val="0"/>
      <w:snapToGrid w:val="0"/>
      <w:jc w:val="center"/>
    </w:pPr>
  </w:style>
  <w:style w:type="paragraph" w:customStyle="1" w:styleId="146">
    <w:name w:val="333标题3"/>
    <w:basedOn w:val="1"/>
    <w:qFormat/>
    <w:uiPriority w:val="0"/>
    <w:pPr>
      <w:adjustRightInd w:val="0"/>
      <w:snapToGrid w:val="0"/>
      <w:spacing w:line="360" w:lineRule="auto"/>
      <w:outlineLvl w:val="2"/>
    </w:pPr>
    <w:rPr>
      <w:rFonts w:eastAsia="黑体" w:cs="宋体"/>
      <w:bCs/>
      <w:spacing w:val="-10"/>
      <w:sz w:val="28"/>
      <w:szCs w:val="21"/>
    </w:rPr>
  </w:style>
  <w:style w:type="paragraph" w:customStyle="1" w:styleId="147">
    <w:name w:val="22标题2"/>
    <w:basedOn w:val="148"/>
    <w:qFormat/>
    <w:uiPriority w:val="0"/>
    <w:pPr>
      <w:adjustRightInd w:val="0"/>
      <w:snapToGrid w:val="0"/>
    </w:pPr>
    <w:rPr>
      <w:color w:val="000000" w:themeColor="text1"/>
      <w14:textFill>
        <w14:solidFill>
          <w14:schemeClr w14:val="tx1"/>
        </w14:solidFill>
      </w14:textFill>
    </w:rPr>
  </w:style>
  <w:style w:type="paragraph" w:customStyle="1" w:styleId="148">
    <w:name w:val="标题2"/>
    <w:basedOn w:val="21"/>
    <w:qFormat/>
    <w:uiPriority w:val="0"/>
    <w:pPr>
      <w:spacing w:line="360" w:lineRule="auto"/>
      <w:outlineLvl w:val="1"/>
    </w:pPr>
    <w:rPr>
      <w:rFonts w:ascii="Times New Roman" w:hAnsi="Times New Roman" w:eastAsia="黑体" w:cs="Times New Roman"/>
      <w:sz w:val="30"/>
      <w:szCs w:val="30"/>
    </w:rPr>
  </w:style>
  <w:style w:type="paragraph" w:customStyle="1" w:styleId="149">
    <w:name w:val="_Style 12"/>
    <w:basedOn w:val="1"/>
    <w:qFormat/>
    <w:uiPriority w:val="0"/>
    <w:rPr>
      <w:sz w:val="24"/>
    </w:rPr>
  </w:style>
  <w:style w:type="paragraph" w:customStyle="1" w:styleId="150">
    <w:name w:val="cmy正文"/>
    <w:qFormat/>
    <w:uiPriority w:val="0"/>
    <w:pPr>
      <w:widowControl w:val="0"/>
      <w:ind w:firstLine="480" w:firstLineChars="200"/>
      <w:jc w:val="both"/>
    </w:pPr>
    <w:rPr>
      <w:rFonts w:ascii="Times New Roman" w:hAnsi="Times New Roman" w:eastAsia="宋体" w:cs="Times New Roman"/>
      <w:kern w:val="2"/>
      <w:sz w:val="24"/>
      <w:szCs w:val="24"/>
      <w:lang w:val="en-US" w:eastAsia="zh-CN" w:bidi="ar-SA"/>
    </w:rPr>
  </w:style>
  <w:style w:type="paragraph" w:customStyle="1" w:styleId="151">
    <w:name w:val="正"/>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52">
    <w:name w:val="正文A"/>
    <w:qFormat/>
    <w:uiPriority w:val="0"/>
    <w:pPr>
      <w:widowControl w:val="0"/>
      <w:autoSpaceDE w:val="0"/>
      <w:autoSpaceDN w:val="0"/>
      <w:adjustRightInd w:val="0"/>
      <w:snapToGrid w:val="0"/>
      <w:spacing w:line="400" w:lineRule="atLeast"/>
      <w:ind w:firstLine="539"/>
      <w:jc w:val="both"/>
      <w:textAlignment w:val="baseline"/>
    </w:pPr>
    <w:rPr>
      <w:rFonts w:ascii="宋体" w:hAnsi="宋体" w:eastAsia="宋体" w:cs="Times New Roman"/>
      <w:kern w:val="2"/>
      <w:sz w:val="24"/>
      <w:szCs w:val="24"/>
      <w:lang w:val="en-US" w:eastAsia="zh-CN" w:bidi="ar-SA"/>
    </w:rPr>
  </w:style>
  <w:style w:type="paragraph" w:customStyle="1" w:styleId="153">
    <w:name w:val="lin正文缩进"/>
    <w:basedOn w:val="1"/>
    <w:qFormat/>
    <w:uiPriority w:val="0"/>
    <w:pPr>
      <w:spacing w:line="360" w:lineRule="auto"/>
      <w:ind w:firstLine="200" w:firstLineChars="200"/>
    </w:pPr>
    <w:rPr>
      <w:sz w:val="24"/>
    </w:rPr>
  </w:style>
  <w:style w:type="paragraph" w:customStyle="1" w:styleId="154">
    <w:name w:val="样式 文章正文 + 首行缩进:  2 字符"/>
    <w:basedOn w:val="1"/>
    <w:qFormat/>
    <w:uiPriority w:val="0"/>
    <w:pPr>
      <w:spacing w:line="520" w:lineRule="exact"/>
      <w:ind w:firstLine="480" w:firstLineChars="200"/>
      <w:jc w:val="left"/>
    </w:pPr>
    <w:rPr>
      <w:rFonts w:ascii="宋体" w:hAnsi="宋体" w:cs="宋体"/>
      <w:sz w:val="24"/>
      <w:szCs w:val="20"/>
    </w:rPr>
  </w:style>
  <w:style w:type="paragraph" w:customStyle="1" w:styleId="155">
    <w:name w:val="表格内容CCW"/>
    <w:basedOn w:val="1"/>
    <w:qFormat/>
    <w:uiPriority w:val="0"/>
    <w:pPr>
      <w:tabs>
        <w:tab w:val="left" w:pos="360"/>
      </w:tabs>
      <w:jc w:val="center"/>
    </w:pPr>
  </w:style>
  <w:style w:type="paragraph" w:customStyle="1" w:styleId="156">
    <w:name w:val="11正文"/>
    <w:basedOn w:val="157"/>
    <w:qFormat/>
    <w:uiPriority w:val="0"/>
  </w:style>
  <w:style w:type="paragraph" w:customStyle="1" w:styleId="157">
    <w:name w:val="正文111"/>
    <w:basedOn w:val="158"/>
    <w:qFormat/>
    <w:uiPriority w:val="0"/>
    <w:pPr>
      <w:ind w:firstLine="480"/>
    </w:pPr>
  </w:style>
  <w:style w:type="paragraph" w:customStyle="1" w:styleId="158">
    <w:name w:val="正文的格式52"/>
    <w:basedOn w:val="1"/>
    <w:qFormat/>
    <w:uiPriority w:val="0"/>
    <w:pPr>
      <w:spacing w:line="360" w:lineRule="auto"/>
      <w:ind w:firstLine="200" w:firstLineChars="200"/>
    </w:pPr>
    <w:rPr>
      <w:kern w:val="0"/>
      <w:sz w:val="24"/>
      <w:szCs w:val="20"/>
    </w:rPr>
  </w:style>
  <w:style w:type="character" w:customStyle="1" w:styleId="159">
    <w:name w:val="fontstyle21"/>
    <w:basedOn w:val="36"/>
    <w:qFormat/>
    <w:uiPriority w:val="0"/>
    <w:rPr>
      <w:rFonts w:hint="default" w:ascii="Times New Roman" w:hAnsi="Times New Roman" w:cs="Times New Roman"/>
      <w:color w:val="000000"/>
      <w:sz w:val="24"/>
      <w:szCs w:val="24"/>
    </w:rPr>
  </w:style>
  <w:style w:type="paragraph" w:customStyle="1" w:styleId="160">
    <w:name w:val="中文报告书样式"/>
    <w:basedOn w:val="1"/>
    <w:qFormat/>
    <w:uiPriority w:val="0"/>
    <w:pPr>
      <w:adjustRightInd w:val="0"/>
      <w:spacing w:line="420" w:lineRule="atLeast"/>
      <w:textAlignment w:val="baseline"/>
    </w:pPr>
    <w:rPr>
      <w:kern w:val="24"/>
    </w:rPr>
  </w:style>
  <w:style w:type="paragraph" w:customStyle="1" w:styleId="161">
    <w:name w:val="5文章正文"/>
    <w:basedOn w:val="1"/>
    <w:qFormat/>
    <w:uiPriority w:val="0"/>
    <w:pPr>
      <w:spacing w:line="360" w:lineRule="auto"/>
      <w:ind w:firstLine="200" w:firstLineChars="200"/>
    </w:pPr>
    <w:rPr>
      <w:sz w:val="24"/>
    </w:rPr>
  </w:style>
  <w:style w:type="paragraph" w:customStyle="1" w:styleId="162">
    <w:name w:val="111zhengwen"/>
    <w:basedOn w:val="1"/>
    <w:qFormat/>
    <w:uiPriority w:val="0"/>
    <w:pPr>
      <w:adjustRightInd w:val="0"/>
      <w:snapToGrid w:val="0"/>
    </w:pPr>
    <w:rPr>
      <w:szCs w:val="20"/>
    </w:rPr>
  </w:style>
  <w:style w:type="table" w:customStyle="1" w:styleId="163">
    <w:name w:val="表格样式"/>
    <w:qFormat/>
    <w:uiPriority w:val="0"/>
    <w:pPr>
      <w:jc w:val="center"/>
    </w:pPr>
    <w:rPr>
      <w:sz w:val="21"/>
      <w:szCs w:val="21"/>
    </w:rPr>
    <w:tblPr>
      <w:tblBorders>
        <w:top w:val="single" w:color="auto" w:sz="18" w:space="0"/>
        <w:bottom w:val="single" w:color="auto" w:sz="18" w:space="0"/>
        <w:insideH w:val="single" w:color="auto" w:sz="4" w:space="0"/>
        <w:insideV w:val="single" w:color="auto" w:sz="4" w:space="0"/>
      </w:tblBorders>
      <w:tblCellMar>
        <w:top w:w="0" w:type="dxa"/>
        <w:left w:w="108" w:type="dxa"/>
        <w:bottom w:w="0" w:type="dxa"/>
        <w:right w:w="108" w:type="dxa"/>
      </w:tblCellMar>
    </w:tblPr>
    <w:tcPr>
      <w:vAlign w:val="center"/>
    </w:tcPr>
  </w:style>
  <w:style w:type="paragraph" w:customStyle="1" w:styleId="164">
    <w:name w:val="zhang正文"/>
    <w:basedOn w:val="15"/>
    <w:qFormat/>
    <w:uiPriority w:val="0"/>
    <w:pPr>
      <w:autoSpaceDE w:val="0"/>
      <w:autoSpaceDN w:val="0"/>
      <w:adjustRightInd w:val="0"/>
      <w:snapToGrid w:val="0"/>
      <w:spacing w:line="500" w:lineRule="exact"/>
      <w:ind w:firstLine="539"/>
      <w:textAlignment w:val="baseline"/>
    </w:pPr>
    <w:rPr>
      <w:rFonts w:eastAsia="楷体_GB2312"/>
      <w:kern w:val="0"/>
    </w:rPr>
  </w:style>
  <w:style w:type="paragraph" w:customStyle="1" w:styleId="165">
    <w:name w:val="闽创报告正文"/>
    <w:basedOn w:val="166"/>
    <w:qFormat/>
    <w:uiPriority w:val="0"/>
    <w:pPr>
      <w:tabs>
        <w:tab w:val="left" w:pos="0"/>
      </w:tabs>
      <w:bidi w:val="0"/>
      <w:spacing w:line="360" w:lineRule="auto"/>
      <w:ind w:firstLine="200" w:firstLineChars="200"/>
    </w:pPr>
    <w:rPr>
      <w:rFonts w:ascii="Times New Roman" w:hAnsi="Times New Roman" w:eastAsia="宋体"/>
      <w:color w:val="000000"/>
    </w:rPr>
  </w:style>
  <w:style w:type="paragraph" w:customStyle="1" w:styleId="166">
    <w:name w:val="wei正文"/>
    <w:basedOn w:val="1"/>
    <w:qFormat/>
    <w:uiPriority w:val="0"/>
    <w:rPr>
      <w:rFonts w:ascii="等线" w:hAnsi="等线" w:eastAsia="宋体"/>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header" Target="header1.xml"/><Relationship Id="rId6" Type="http://schemas.openxmlformats.org/officeDocument/2006/relationships/footer" Target="footer4.xml"/><Relationship Id="rId50" Type="http://schemas.microsoft.com/office/2011/relationships/people" Target="people.xml"/><Relationship Id="rId5" Type="http://schemas.openxmlformats.org/officeDocument/2006/relationships/footer" Target="footer3.xml"/><Relationship Id="rId49" Type="http://schemas.openxmlformats.org/officeDocument/2006/relationships/fontTable" Target="fontTable.xml"/><Relationship Id="rId48" Type="http://schemas.openxmlformats.org/officeDocument/2006/relationships/customXml" Target="../customXml/item2.xml"/><Relationship Id="rId47" Type="http://schemas.openxmlformats.org/officeDocument/2006/relationships/numbering" Target="numbering.xml"/><Relationship Id="rId46" Type="http://schemas.openxmlformats.org/officeDocument/2006/relationships/customXml" Target="../customXml/item1.xml"/><Relationship Id="rId45" Type="http://schemas.openxmlformats.org/officeDocument/2006/relationships/image" Target="media/image29.jpeg"/><Relationship Id="rId44" Type="http://schemas.openxmlformats.org/officeDocument/2006/relationships/image" Target="media/image28.jpeg"/><Relationship Id="rId43" Type="http://schemas.openxmlformats.org/officeDocument/2006/relationships/image" Target="media/image27.jpeg"/><Relationship Id="rId42" Type="http://schemas.openxmlformats.org/officeDocument/2006/relationships/image" Target="media/image26.jpeg"/><Relationship Id="rId41" Type="http://schemas.openxmlformats.org/officeDocument/2006/relationships/image" Target="media/image25.jpeg"/><Relationship Id="rId40" Type="http://schemas.openxmlformats.org/officeDocument/2006/relationships/image" Target="media/image24.jpeg"/><Relationship Id="rId4" Type="http://schemas.openxmlformats.org/officeDocument/2006/relationships/footer" Target="footer2.xml"/><Relationship Id="rId39" Type="http://schemas.openxmlformats.org/officeDocument/2006/relationships/image" Target="media/image23.jpeg"/><Relationship Id="rId38" Type="http://schemas.openxmlformats.org/officeDocument/2006/relationships/image" Target="media/image22.jpeg"/><Relationship Id="rId37" Type="http://schemas.openxmlformats.org/officeDocument/2006/relationships/image" Target="media/image21.png"/><Relationship Id="rId36" Type="http://schemas.openxmlformats.org/officeDocument/2006/relationships/image" Target="media/image20.png"/><Relationship Id="rId35" Type="http://schemas.openxmlformats.org/officeDocument/2006/relationships/image" Target="media/image19.pn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footer" Target="footer1.xml"/><Relationship Id="rId29" Type="http://schemas.openxmlformats.org/officeDocument/2006/relationships/image" Target="media/image13.png"/><Relationship Id="rId28" Type="http://schemas.openxmlformats.org/officeDocument/2006/relationships/image" Target="media/image12.png"/><Relationship Id="rId27" Type="http://schemas.openxmlformats.org/officeDocument/2006/relationships/image" Target="media/image11.wmf"/><Relationship Id="rId26" Type="http://schemas.openxmlformats.org/officeDocument/2006/relationships/image" Target="media/image10.png"/><Relationship Id="rId25" Type="http://schemas.openxmlformats.org/officeDocument/2006/relationships/image" Target="media/image9.png"/><Relationship Id="rId24" Type="http://schemas.openxmlformats.org/officeDocument/2006/relationships/image" Target="media/image8.jpeg"/><Relationship Id="rId23" Type="http://schemas.openxmlformats.org/officeDocument/2006/relationships/image" Target="media/image7.wmf"/><Relationship Id="rId22" Type="http://schemas.openxmlformats.org/officeDocument/2006/relationships/oleObject" Target="embeddings/oleObject1.bin"/><Relationship Id="rId21" Type="http://schemas.openxmlformats.org/officeDocument/2006/relationships/image" Target="media/image6.pn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png"/><Relationship Id="rId15" Type="http://schemas.openxmlformats.org/officeDocument/2006/relationships/theme" Target="theme/theme1.xml"/><Relationship Id="rId14" Type="http://schemas.openxmlformats.org/officeDocument/2006/relationships/footer" Target="footer9.xml"/><Relationship Id="rId13" Type="http://schemas.openxmlformats.org/officeDocument/2006/relationships/header" Target="header3.xml"/><Relationship Id="rId12" Type="http://schemas.openxmlformats.org/officeDocument/2006/relationships/footer" Target="footer8.xml"/><Relationship Id="rId11" Type="http://schemas.openxmlformats.org/officeDocument/2006/relationships/header" Target="header2.xml"/><Relationship Id="rId10" Type="http://schemas.openxmlformats.org/officeDocument/2006/relationships/footer" Target="footer7.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TIxMzk4NDM3MjU1IiwKCSJHcm91cElkIiA6ICIyMDc3NDgwNTA4IiwKCSJJbWFnZSIgOiAiaVZCT1J3MEtHZ29BQUFBTlNVaEVVZ0FBQkpJQUFBU09DQVlBQUFDZStRYi9BQUFBQVhOU1IwSUFyczRjNlFBQUlBQkpSRUZVZUp6czNYbDhWT1haLy9IdmZXYVNZQWdoZ0NJcUtwUlFhSVJrem9uV3JZdGJyWFd2eTgrbExpQzFLdUphbDlwYXRkWGFhbjFFVkVURURkZmFSNjNXMXExMTdhYld6SmtBUnFqVVlxVVdSV1FMZ1dSbXp2WDdJek41a2dBYVpKa0VQdS9YS3kvbTNPdDFUc0RJeFgzZlJ3S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vS3Y4L3dhQzJDd2pnQXd4QUFBQUFFbEZUa1N1UW1DQyIsCgkiVGhlbWUiIDogIiIsCgkiVHlwZSIgOiAiZmxvdyIsCgkiVmVyc2lvbiIgOiAiMTE4Igp9Cg=="/>
    </extobj>
    <extobj name="ECB019B1-382A-4266-B25C-5B523AA43C14-2">
      <extobjdata type="ECB019B1-382A-4266-B25C-5B523AA43C14" data="ewoJIkZpbGVJZCIgOiAiNTIxNDIzNjA5MDYzIiwKCSJHcm91cElkIiA6ICIyMDc3NDgwNTA4IiwKCSJJbWFnZSIgOiAiaVZCT1J3MEtHZ29BQUFBTlNVaEVVZ0FBQlhNQUFBUmlDQVlBQUFEbTBXU0pBQUFBQVhOU1IwSUFyczRjNlFBQUlBQkpSRUZVZUp6czNYbDRWZFhaL3ZGN25TRURDWmd3R1FVbFNoZ2tFSEpPa0VtdDRvQ3RBMjJ0MkZvRnkyQWQwRmVwdGhZSEtzNHZJb2hvY1FLeFVMUldmU3NLUDZTdGFKMFlUTTRoUUpnUktBSUJHb2FRNUdUYTYvZUhTWnBBQWdtRW5JUjhQOWZWS3pscjJQdlpOQzE2czNpMkJ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J3eFA0L3NhQWhwYVNTRm1nQUFBQUFTVVZPUks1Q1lJST0iLAoJIlRoZW1lIiA6ICIiLAoJIlR5cGUiIDogImZsb3ciLAoJIlZlcnNpb24iIDogIiIKfQo="/>
    </extobj>
    <extobj name="ECB019B1-382A-4266-B25C-5B523AA43C14-3">
      <extobjdata type="ECB019B1-382A-4266-B25C-5B523AA43C14" data="ewoJIkZpbGVJZCIgOiAiNTE4ODI4MTA4NzU1IiwKCSJHcm91cElkIiA6ICIyMDc3NDgwNTA4IiwKCSJJbWFnZSIgOiAiaVZCT1J3MEtHZ29BQUFBTlNVaEVVZ0FBQXJnQUFBRzJDQVlBQUFDVUl2WENBQUFBQVhOU1IwSUFyczRjNlFBQUlBQkpSRUZVZUp6czNYbGNWRlgvQi9EUG1XRVhsMUpjRXNzMWxWU1lvZFN5N0ZGN3BEMnpzakt6MHR4VGNYbEtINWRNMDlMTVBYZlQxQ3pERlhQSng5eVZYR0FRRFRWUlVNQVZGR0dBQVdidStmMGhjMytNREFxQ0RneWY5K3ZWSytmZU8vY2U0RHQzdnZlYzd6MFhJQ0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WRFWjQvOERHbzllb0ZLRDdwWUFBQUFBU1VWT1JLNUNZSUk9IiwKCSJUaGVtZSIgOiAiIiwKCSJUeXBlIiA6ICJmbG93IiwKCSJWZXJzaW9uIiA6ICIiCn0K"/>
    </extobj>
    <extobj name="ECB019B1-382A-4266-B25C-5B523AA43C14-4">
      <extobjdata type="ECB019B1-382A-4266-B25C-5B523AA43C14" data="ewoJIkZpbGVJZCIgOiAiNTE4OTA5NDc4ODQzIiwKCSJHcm91cElkIiA6ICIyMDc3NDgwNTA4IiwKCSJJbWFnZSIgOiAiaVZCT1J3MEtHZ29BQUFBTlNVaEVVZ0FBQk1NQUFBTmRDQVlBQUFDWklydUdBQUFBQVhOU1IwSUFyczRjNlFBQUlBQkpSRUZVZUp6czNYMmN6T1greC9IM05UTjd3NjVGYk1ncWlXaHJ0NTFacDFOVVNDbE9jdFB2NkhCU1VxaFRPVW5sRkpLb1UxR0hwRklTSmQyNjYwWnVTbmRDYVhlVzFhSWtSWEd5bFp1MTltWm1ydDhmZHVmczJzV3VsdG1iMS9QeDJJZVo2M3Q5djkvUHpHNTlaOS83dmE1TEFn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"/>
    </extobj>
    <extobj name="ECB019B1-382A-4266-B25C-5B523AA43C14-5">
      <extobjdata type="ECB019B1-382A-4266-B25C-5B523AA43C14" data="ewoJIkZpbGVJZCIgOiAiNTIxMDY2NjIwMTcwIiwKCSJHcm91cElkIiA6ICIyMDc3NDgwNTA4IiwKCSJJbWFnZSIgOiAiaVZCT1J3MEtHZ29BQUFBTlNVaEVVZ0FBQThnQUFBR1JDQVlBQUFDNVRKb1VBQUFBQVhOU1IwSUFyczRjNlFBQUlBQkpSRUZVZUp6czNYZDRGRlhieC9IZnB0RWg5S1lRVklSUTFOQWlJb2hpd1JJVkhqclNwU2lkSUJDcVFJQUFvWVFTZUZFVVJMb0dGQ2xCaVNnbEtDQVBDUWlZMEFRcElRMkk2YnY3L2tHeVQ1WVVBZ1JDa3UvbnVyd3VkblptOW15ODc1MjU1NXc1SXdF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kt2ZjhEL0JybGtsNnM0allBQUFBQVNVVk9SSzVDWUlJPSIsCgkiVGhlbWUiIDogIiIsCgkiVHlwZSIgOiAiZmxvdyIsCgkiVmVyc2lvbiIgOiAiIgp9Cg=="/>
    </extobj>
  </extobjs>
</s:customData>
</file>

<file path=customXml/item2.xml><?xml version="1.0" encoding="utf-8"?>
<contractReview xmlns="http://schemas.wps.cn/vas-ai-hub/contract-review">
  <reviewItems>
    <reviewItem>
      <errorID>bb415cf5-179c-4c02-ab6b-cb3466addecd</errorID>
      <errorWord> </errorWord>
      <group>L1_AI</group>
      <groupName>深度校对</groupName>
      <ability>L2_AI_Punc</ability>
      <abilityName>标点纠错</abilityName>
      <candidateList>
        <item/>
      </candidateList>
      <explain>此处空格冗余，建议删除。</explain>
      <paraID>403DC9A7</paraID>
      <start>26</start>
      <end>27</end>
      <status>unmodified</status>
      <modifiedWord/>
      <trackRevisions>false</trackRevisions>
    </reviewItem>
    <reviewItem>
      <errorID>d2688420-fb9c-4146-bd40-f20c03846a34</errorID>
      <errorWord>56、</errorWord>
      <group>L1_Format</group>
      <groupName>格式问题</groupName>
      <ability>L2_Ordinal</ability>
      <abilityName>序号格式</abilityName>
      <candidateList>
        <item>56.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6827C591</paraID>
      <start>0</start>
      <end>3</end>
      <status>unmodified</status>
      <modifiedWord/>
      <trackRevisions>false</trackRevisions>
    </reviewItem>
    <reviewItem>
      <errorID>ef98313f-68e2-4357-8a70-7c7888703225</errorID>
      <errorWord>，</errorWord>
      <group>L1_AI</group>
      <groupName>深度校对</groupName>
      <ability>L2_AI_Word</ability>
      <abilityName>字词纠错</abilityName>
      <candidateList>
        <item>及</item>
      </candidateList>
      <explain/>
      <paraID>1100D09B</paraID>
      <start>245</start>
      <end>246</end>
      <status>unmodified</status>
      <modifiedWord/>
      <trackRevisions>false</trackRevisions>
    </reviewItem>
    <reviewItem>
      <errorID>7cfa4cfb-7431-489f-8cd3-764edb0790b6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54060A30</paraID>
      <start>22</start>
      <end>23</end>
      <status>unmodified</status>
      <modifiedWord/>
      <trackRevisions>false</trackRevisions>
    </reviewItem>
    <reviewItem>
      <errorID>f85808f1-664e-49f5-88ca-290da02f7818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49562EE6</paraID>
      <start>78</start>
      <end>79</end>
      <status>unmodified</status>
      <modifiedWord/>
      <trackRevisions>false</trackRevisions>
    </reviewItem>
    <reviewItem>
      <errorID>bafe214c-8ecb-42ad-a023-c0e8c2857901</errorID>
      <errorWord>福安市</errorWord>
      <group>L1_AI</group>
      <groupName>深度校对</groupName>
      <ability>L2_AI_Word</ability>
      <abilityName>字词纠错</abilityName>
      <candidateList>
        <item>的福安市</item>
      </candidateList>
      <explain/>
      <paraID>58F96ECF</paraID>
      <start>26</start>
      <end>29</end>
      <status>unmodified</status>
      <modifiedWord/>
      <trackRevisions>false</trackRevisions>
    </reviewItem>
    <reviewItem>
      <errorID>191e7921-cefb-4edd-bf17-aceb1457f3ba</errorID>
      <errorWord>福安市</errorWord>
      <group>L1_AI</group>
      <groupName>深度校对</groupName>
      <ability>L2_AI_Word</ability>
      <abilityName>字词纠错</abilityName>
      <candidateList>
        <item>的福安市</item>
      </candidateList>
      <explain/>
      <paraID>45934AEE</paraID>
      <start>26</start>
      <end>29</end>
      <status>unmodified</status>
      <modifiedWord/>
      <trackRevisions>false</trackRevisions>
    </reviewItem>
    <reviewItem>
      <errorID>c5ab6318-84ea-4d61-acb4-7ac24f9e2f12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27B97192</paraID>
      <start>0</start>
      <end>2</end>
      <status>unmodified</status>
      <modifiedWord/>
      <trackRevisions>false</trackRevisions>
    </reviewItem>
    <reviewItem>
      <errorID>621ad7d7-cbbd-4c21-ab2a-c6262f900944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57D45179</paraID>
      <start>0</start>
      <end>2</end>
      <status>unmodified</status>
      <modifiedWord/>
      <trackRevisions>false</trackRevisions>
    </reviewItem>
    <reviewItem>
      <errorID>10b3f9d7-30ac-40e9-8c44-edc0502cb29a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3396BD64</paraID>
      <start>0</start>
      <end>2</end>
      <status>unmodified</status>
      <modifiedWord/>
      <trackRevisions>false</trackRevisions>
    </reviewItem>
    <reviewItem>
      <errorID>eefaa882-2e93-4726-81d9-a367e33715e7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67DD054D</paraID>
      <start>0</start>
      <end>2</end>
      <status>unmodified</status>
      <modifiedWord/>
      <trackRevisions>false</trackRevisions>
    </reviewItem>
    <reviewItem>
      <errorID>b7bc7a7c-480e-483a-8d99-4ac18e4c6efb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6CB1F623</paraID>
      <start>0</start>
      <end>2</end>
      <status>unmodified</status>
      <modifiedWord/>
      <trackRevisions>false</trackRevisions>
    </reviewItem>
    <reviewItem>
      <errorID>b815ca57-ca8a-4bfa-969d-09b4a19872fa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4673A975</paraID>
      <start>0</start>
      <end>2</end>
      <status>unmodified</status>
      <modifiedWord/>
      <trackRevisions>false</trackRevisions>
    </reviewItem>
    <reviewItem>
      <errorID>80546c47-0e76-4610-a387-40bb3017d3a5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D3DADAA</paraID>
      <start>0</start>
      <end>2</end>
      <status>unmodified</status>
      <modifiedWord/>
      <trackRevisions>false</trackRevisions>
    </reviewItem>
    <reviewItem>
      <errorID>ad51d26b-f333-4515-9137-cf8a716d62be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6CFC56B0</paraID>
      <start>0</start>
      <end>2</end>
      <status>unmodified</status>
      <modifiedWord/>
      <trackRevisions>false</trackRevisions>
    </reviewItem>
    <reviewItem>
      <errorID>c9c81e0b-2d57-4471-ac8c-76b6fcb65eb8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11298732</paraID>
      <start>0</start>
      <end>2</end>
      <status>unmodified</status>
      <modifiedWord/>
      <trackRevisions>false</trackRevisions>
    </reviewItem>
    <reviewItem>
      <errorID>12bb9c71-8e70-45c0-bc55-1c2f3d192919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7E9B2722</paraID>
      <start>0</start>
      <end>2</end>
      <status>unmodified</status>
      <modifiedWord/>
      <trackRevisions>false</trackRevisions>
    </reviewItem>
    <reviewItem>
      <errorID>cc6f991e-c658-4246-b267-4b2d282f24cc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57CEA6CC</paraID>
      <start>0</start>
      <end>2</end>
      <status>unmodified</status>
      <modifiedWord/>
      <trackRevisions>false</trackRevisions>
    </reviewItem>
    <reviewItem>
      <errorID>2f23c26b-5e14-4047-b7cf-d23f0742bfac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42352E60</paraID>
      <start>0</start>
      <end>2</end>
      <status>unmodified</status>
      <modifiedWord/>
      <trackRevisions>false</trackRevisions>
    </reviewItem>
    <reviewItem>
      <errorID>7285f425-4f4a-491e-bebb-ee46a7d1e1f2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5B687A5D</paraID>
      <start>0</start>
      <end>2</end>
      <status>unmodified</status>
      <modifiedWord/>
      <trackRevisions>false</trackRevisions>
    </reviewItem>
    <reviewItem>
      <errorID>73487c6b-e6fe-416c-a948-737f0a001466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6D8D67F6</paraID>
      <start>0</start>
      <end>2</end>
      <status>unmodified</status>
      <modifiedWord/>
      <trackRevisions>false</trackRevisions>
    </reviewItem>
    <reviewItem>
      <errorID>27bc2bc4-b258-498c-a597-28b675ad5c18</errorID>
      <errorWord>环保基础设施建设</errorWord>
      <group>L1_Political</group>
      <groupName>政治性问题</groupName>
      <ability>L2_Keyword</ability>
      <abilityName>固定表述</abilityName>
      <candidateList>
        <item>环境基础设施建设</item>
      </candidateList>
      <explain>词汇“环境基础设施建设”在特定场景下为固定表述形式，请确认此处的“环保基础设施建设”是否存在不当。</explain>
      <paraID>3AC876E3</paraID>
      <start>5</start>
      <end>13</end>
      <status>unmodified</status>
      <modifiedWord/>
      <trackRevisions>false</trackRevisions>
    </reviewItem>
    <reviewItem>
      <errorID>cf7c30ca-9ea6-4b40-b17e-2dd61646c800</errorID>
      <errorWord>2017年01月05日</errorWord>
      <group>L1_Knowledge</group>
      <groupName>知识性问题</groupName>
      <ability>L2_Time</ability>
      <abilityName>日期时间</abilityName>
      <candidateList>
        <item>2017年1月5日</item>
      </candidateList>
      <explain>根据日常书写习惯，月份和日期一般会省略前导零。</explain>
      <paraID>4774AFFD</paraID>
      <start>44</start>
      <end>55</end>
      <status>unmodified</status>
      <modifiedWord/>
      <trackRevisions>false</trackRevisions>
    </reviewItem>
    <reviewItem>
      <errorID>f0cd57a1-8c9e-421d-be58-56bfdfa65c04</errorID>
      <errorWord>法律、法规</errorWord>
      <group>L1_Word</group>
      <groupName>字词问题</groupName>
      <ability>L2_Typo</ability>
      <abilityName>字词错误</abilityName>
      <candidateList>
        <item>法律法规</item>
      </candidateList>
      <explain/>
      <paraID>771C6F6A</paraID>
      <start>37</start>
      <end>42</end>
      <status>unmodified</status>
      <modifiedWord/>
      <trackRevisions>false</trackRevisions>
    </reviewItem>
    <reviewItem>
      <errorID>2cb78b3e-1133-4ff2-b9c4-b12bbb0b4099</errorID>
      <errorWord>掺和</errorWord>
      <group>L1_Word</group>
      <groupName>字词问题</groupName>
      <ability>L2_Typo</ability>
      <abilityName>字词错误</abilityName>
      <candidateList>
        <item>掺合</item>
      </candidateList>
      <explain/>
      <paraID>41264D1E</paraID>
      <start>33</start>
      <end>35</end>
      <status>unmodified</status>
      <modifiedWord/>
      <trackRevisions>false</trackRevisions>
    </reviewItem>
    <reviewItem>
      <errorID>8aaad862-8766-4f2f-9388-b55daddba935</errorID>
      <errorWord>掺和</errorWord>
      <group>L1_Word</group>
      <groupName>字词问题</groupName>
      <ability>L2_Typo</ability>
      <abilityName>字词错误</abilityName>
      <candidateList>
        <item>掺合</item>
      </candidateList>
      <explain/>
      <paraID>65A81471</paraID>
      <start>33</start>
      <end>35</end>
      <status>unmodified</status>
      <modifiedWord/>
      <trackRevisions>false</trackRevisions>
    </reviewItem>
    <reviewItem>
      <errorID>e8a0f9eb-9fd3-4793-be1a-82012fc6ed40</errorID>
      <errorWord>规模减少</errorWord>
      <group>L1_Word</group>
      <groupName>字词问题</groupName>
      <ability>L2_Typo</ability>
      <abilityName>字词错误</abilityName>
      <candidateList>
        <item>规模减小</item>
      </candidateList>
      <explain/>
      <paraID>20C51B54</paraID>
      <start>0</start>
      <end>4</end>
      <status>unmodified</status>
      <modifiedWord/>
      <trackRevisions>false</trackRevisions>
    </reviewItem>
    <reviewItem>
      <errorID>c92b091c-fb37-4f7c-83d2-fb294b5cfaee</errorID>
      <errorWord>成份</errorWord>
      <group>L1_Word</group>
      <groupName>字词问题</groupName>
      <ability>L2_Typo</ability>
      <abilityName>字词错误</abilityName>
      <candidateList>
        <item>成分</item>
      </candidateList>
      <explain>（成份）chénɡ•fèn〈名〉❶指构成事物的各种不同的物质或因素：化学～｜营养～｜减轻了心里不安的～。❷指个人早先的主要经历或职业：工人～｜他的个人～是学生。</explain>
      <paraID>30FA1B1F</paraID>
      <start>15</start>
      <end>17</end>
      <status>unmodified</status>
      <modifiedWord/>
      <trackRevisions>false</trackRevisions>
    </reviewItem>
    <reviewItem>
      <errorID>96fa07f4-5cdf-4e56-a1b0-e7de2fc3d84a</errorID>
      <errorWord>~</errorWord>
      <group>L1_Format</group>
      <groupName>格式问题</groupName>
      <ability>L2_HalfPunc</ability>
      <abilityName>全半角检查</abilityName>
      <candidateList>
        <item>～</item>
      </candidateList>
      <explain>文本全半角错误。</explain>
      <paraID>3712D44C</paraID>
      <start>6</start>
      <end>7</end>
      <status>unmodified</status>
      <modifiedWord/>
      <trackRevisions>false</trackRevisions>
    </reviewItem>
    <reviewItem>
      <errorID>e48f2071-ad68-4000-94f6-34b09a684793</errorID>
      <errorWord>;</errorWord>
      <group>L1_Format</group>
      <groupName>格式问题</groupName>
      <ability>L2_HalfPunc</ability>
      <abilityName>全半角检查</abilityName>
      <candidateList>
        <item>；</item>
      </candidateList>
      <explain>文本全半角错误。</explain>
      <paraID>2E396D14</paraID>
      <start>10</start>
      <end>11</end>
      <status>unmodified</status>
      <modifiedWord/>
      <trackRevisions>false</trackRevisions>
    </reviewItem>
    <reviewItem>
      <errorID>6183644a-c531-474e-ae34-bcb51d97fdc8</errorID>
      <errorWord>8~18%</errorWord>
      <group>L1_Knowledge</group>
      <groupName>知识性问题</groupName>
      <ability>L2_Knowledge</ability>
      <abilityName>其他知识</abilityName>
      <candidateList>
        <item>8%～18%</item>
      </candidateList>
      <explain>1. “8~18%”中的单位“%”仅出现在后一个数字上，容易引起歧义；根据《现代汉语标点符号数字用法规范手册》，数字表示范围两边需要使用统一的格式。2. 根据标点国标 4.13 中的规则，数字、时间或地域连接符应使用（视觉上更长的）“—”或“～”。</explain>
      <paraID>4821A5E0</paraID>
      <start>6</start>
      <end>11</end>
      <status>unmodified</status>
      <modifiedWord/>
      <trackRevisions>false</trackRevisions>
    </reviewItem>
    <reviewItem>
      <errorID>617ebd28-06d4-44f5-b3fd-5346b5bf0125</errorID>
      <errorWord>圧</errorWord>
      <group>L1_Word</group>
      <groupName>字词问题</groupName>
      <ability>L2_Typo</ability>
      <abilityName>字词错误</abilityName>
      <candidateList>
        <item>压</item>
      </candidateList>
      <explain/>
      <paraID> BAE3CC5</paraID>
      <start>1</start>
      <end>2</end>
      <status>unmodified</status>
      <modifiedWord/>
      <trackRevisions>false</trackRevisions>
    </reviewItem>
    <reviewItem>
      <errorID>7cd1cc12-81bb-4086-8ee5-119bc8c59647</errorID>
      <errorWord>~</errorWord>
      <group>L1_Format</group>
      <groupName>格式问题</groupName>
      <ability>L2_HalfPunc</ability>
      <abilityName>全半角检查</abilityName>
      <candidateList>
        <item>～</item>
      </candidateList>
      <explain>文本全半角错误。</explain>
      <paraID>1FF5181F</paraID>
      <start>9</start>
      <end>10</end>
      <status>unmodified</status>
      <modifiedWord/>
      <trackRevisions>false</trackRevisions>
    </reviewItem>
    <reviewItem>
      <errorID>f6923e2e-8931-409a-a1ce-f7096753f63b</errorID>
      <errorWord>布置布置</errorWord>
      <group>L1_Word</group>
      <groupName>字词问题</groupName>
      <ability>L2_Typo</ability>
      <abilityName>字词错误</abilityName>
      <candidateList>
        <item>布置</item>
      </candidateList>
      <explain>〈动〉❶在一个地方安排和陈列各种物件使这个地方适合某种需要：～会场｜～新房。❷对一些活动做出安排：～学习｜～工作。</explain>
      <paraID>72FB182D</paraID>
      <start>65</start>
      <end>69</end>
      <status>unmodified</status>
      <modifiedWord/>
      <trackRevisions>false</trackRevisions>
    </reviewItem>
    <reviewItem>
      <errorID>ac31c91a-2633-4d73-8fab-7cc4c48522d6</errorID>
      <errorWord>成份</errorWord>
      <group>L1_Word</group>
      <groupName>字词问题</groupName>
      <ability>L2_Typo</ability>
      <abilityName>字词错误</abilityName>
      <candidateList>
        <item>成分</item>
      </candidateList>
      <explain>（成份）chénɡ•fèn〈名〉❶指构成事物的各种不同的物质或因素：化学～｜营养～｜减轻了心里不安的～。❷指个人早先的主要经历或职业：工人～｜他的个人～是学生。</explain>
      <paraID>509D3A89</paraID>
      <start>5</start>
      <end>7</end>
      <status>unmodified</status>
      <modifiedWord/>
      <trackRevisions>false</trackRevisions>
    </reviewItem>
    <reviewItem>
      <errorID>992eac18-a7cb-4cd8-8c53-31e9ae4c81d9</errorID>
      <errorWord>）</errorWord>
      <group>L1_Format</group>
      <groupName>格式问题</groupName>
      <ability>L2_HalfPunc</ability>
      <abilityName>全半角检查</abilityName>
      <candidateList>
        <item>)</item>
      </candidateList>
      <explain>文本全半角错误。</explain>
      <paraID>385EA296</paraID>
      <start>10</start>
      <end>11</end>
      <status>unmodified</status>
      <modifiedWord/>
      <trackRevisions>false</trackRevisions>
    </reviewItem>
    <reviewItem>
      <errorID>7e472eeb-761c-4ac2-a593-d2d67f082234</errorID>
      <errorWord>采采</errorWord>
      <group>L1_Word</group>
      <groupName>字词问题</groupName>
      <ability>L2_Typo</ability>
      <abilityName>字词错误</abilityName>
      <candidateList>
        <item>采</item>
      </candidateList>
      <explain/>
      <paraID>5067E632</paraID>
      <start>7</start>
      <end>9</end>
      <status>unmodified</status>
      <modifiedWord/>
      <trackRevisions>false</trackRevisions>
    </reviewItem>
    <reviewItem>
      <errorID>09c41ff6-8691-43b0-8186-7a8ec5a84536</errorID>
      <errorWord>程</errorWord>
      <group>L1_Word</group>
      <groupName>字词问题</groupName>
      <ability>L2_Typo</ability>
      <abilityName>字词错误</abilityName>
      <candidateList>
        <item>程中</item>
      </candidateList>
      <explain/>
      <paraID>5067E632</paraID>
      <start>52</start>
      <end>53</end>
      <status>unmodified</status>
      <modifiedWord/>
      <trackRevisions>false</trackRevisions>
    </reviewItem>
    <reviewItem>
      <errorID>7c804b6e-97b0-4dc6-8938-2b8e2928af6a</errorID>
      <errorWord>(</errorWord>
      <group>L1_Format</group>
      <groupName>格式问题</groupName>
      <ability>L2_HalfPunc</ability>
      <abilityName>全半角检查</abilityName>
      <candidateList>
        <item>（</item>
      </candidateList>
      <explain>文本全半角错误。</explain>
      <paraID>2D491425</paraID>
      <start>19</start>
      <end>20</end>
      <status>unmodified</status>
      <modifiedWord/>
      <trackRevisions>false</trackRevisions>
    </reviewItem>
    <reviewItem>
      <errorID>d8947bba-d69c-4a2b-a33b-c649a8d98a01</errorID>
      <errorWord>伞型</errorWord>
      <group>L1_Word</group>
      <groupName>字词问题</groupName>
      <ability>L2_Typo</ability>
      <abilityName>字词错误</abilityName>
      <candidateList>
        <item>伞形</item>
      </candidateList>
      <explain>存在发音相同字词的误用。</explain>
      <paraID>13EBB886</paraID>
      <start>105</start>
      <end>107</end>
      <status>unmodified</status>
      <modifiedWord/>
      <trackRevisions>false</trackRevisions>
    </reviewItem>
    <reviewItem>
      <errorID>635274c9-71ae-4113-ab78-477138fd67e7</errorID>
      <errorWord>磨擦</errorWord>
      <group>L1_Word</group>
      <groupName>字词问题</groupName>
      <ability>L2_Variant</ability>
      <abilityName>异形词</abilityName>
      <candidateList>
        <item>摩擦</item>
      </candidateList>
      <explain>词汇[磨擦]的规范词形写作[摩擦]。</explain>
      <paraID>13EBB886</paraID>
      <start>171</start>
      <end>173</end>
      <status>unmodified</status>
      <modifiedWord/>
      <trackRevisions>false</trackRevisions>
    </reviewItem>
    <reviewItem>
      <errorID>275ab714-30a8-4573-930b-5a46406e4f11</errorID>
      <errorWord>成份</errorWord>
      <group>L1_Word</group>
      <groupName>字词问题</groupName>
      <ability>L2_Typo</ability>
      <abilityName>字词错误</abilityName>
      <candidateList>
        <item>成分</item>
      </candidateList>
      <explain>（成份）chénɡ•fèn〈名〉❶指构成事物的各种不同的物质或因素：化学～｜营养～｜减轻了心里不安的～。❷指个人早先的主要经历或职业：工人～｜他的个人～是学生。</explain>
      <paraID>5BE386FA</paraID>
      <start>5</start>
      <end>7</end>
      <status>unmodified</status>
      <modifiedWord/>
      <trackRevisions>false</trackRevisions>
    </reviewItem>
    <reviewItem>
      <errorID>035ae55b-6319-44c1-a947-60801947b8d5</errorID>
      <errorWord>）</errorWord>
      <group>L1_Format</group>
      <groupName>格式问题</groupName>
      <ability>L2_HalfPunc</ability>
      <abilityName>全半角检查</abilityName>
      <candidateList>
        <item>)</item>
      </candidateList>
      <explain>文本全半角错误。</explain>
      <paraID>792FC53D</paraID>
      <start>10</start>
      <end>11</end>
      <status>unmodified</status>
      <modifiedWord/>
      <trackRevisions>false</trackRevisions>
    </reviewItem>
    <reviewItem>
      <errorID>27fbff39-df9e-4e51-a6f2-bdf9427e2e24</errorID>
      <errorWord>均</errorWord>
      <group>L1_Word</group>
      <groupName>字词问题</groupName>
      <ability>L2_Typo</ability>
      <abilityName>字词错误</abilityName>
      <candidateList>
        <item>均排</item>
      </candidateList>
      <explain/>
      <paraID>5EDC8B14</paraID>
      <start>53</start>
      <end>54</end>
      <status>unmodified</status>
      <modifiedWord/>
      <trackRevisions>false</trackRevisions>
    </reviewItem>
    <reviewItem>
      <errorID>0a7658e1-14d2-4646-8e9b-d381909d9e7f</errorID>
      <errorWord>均</errorWord>
      <group>L1_Word</group>
      <groupName>字词问题</groupName>
      <ability>L2_Typo</ability>
      <abilityName>字词错误</abilityName>
      <candidateList>
        <item>均排</item>
      </candidateList>
      <explain/>
      <paraID>5EDC8B14</paraID>
      <start>196</start>
      <end>197</end>
      <status>unmodified</status>
      <modifiedWord/>
      <trackRevisions>false</trackRevisions>
    </reviewItem>
    <reviewItem>
      <errorID>a44d1051-8fad-4cb4-8140-cf0d0cba8666</errorID>
      <errorWord>~</errorWord>
      <group>L1_Format</group>
      <groupName>格式问题</groupName>
      <ability>L2_HalfPunc</ability>
      <abilityName>全半角检查</abilityName>
      <candidateList>
        <item>～</item>
      </candidateList>
      <explain>文本全半角错误。</explain>
      <paraID>46B34AAB</paraID>
      <start>64</start>
      <end>65</end>
      <status>unmodified</status>
      <modifiedWord/>
      <trackRevisions>false</trackRevisions>
    </reviewItem>
    <reviewItem>
      <errorID>fd89886d-1989-4ddb-b1c4-4207725fd9a3</errorID>
      <errorWord>~</errorWord>
      <group>L1_Format</group>
      <groupName>格式问题</groupName>
      <ability>L2_HalfPunc</ability>
      <abilityName>全半角检查</abilityName>
      <candidateList>
        <item>～</item>
      </candidateList>
      <explain>文本全半角错误。</explain>
      <paraID>46B34AAB</paraID>
      <start>79</start>
      <end>80</end>
      <status>unmodified</status>
      <modifiedWord/>
      <trackRevisions>false</trackRevisions>
    </reviewItem>
    <reviewItem>
      <errorID>cc770c27-a6bf-40e9-a428-8fa5e6f9204b</errorID>
      <errorWord>~</errorWord>
      <group>L1_Format</group>
      <groupName>格式问题</groupName>
      <ability>L2_HalfPunc</ability>
      <abilityName>全半角检查</abilityName>
      <candidateList>
        <item>～</item>
      </candidateList>
      <explain>文本全半角错误。</explain>
      <paraID>46B34AAB</paraID>
      <start>99</start>
      <end>100</end>
      <status>unmodified</status>
      <modifiedWord/>
      <trackRevisions>false</trackRevisions>
    </reviewItem>
    <reviewItem>
      <errorID>71f610f4-5bb0-42b5-a3ae-c2f11fe49648</errorID>
      <errorWord>~</errorWord>
      <group>L1_Format</group>
      <groupName>格式问题</groupName>
      <ability>L2_HalfPunc</ability>
      <abilityName>全半角检查</abilityName>
      <candidateList>
        <item>～</item>
      </candidateList>
      <explain>文本全半角错误。</explain>
      <paraID>46B34AAB</paraID>
      <start>115</start>
      <end>116</end>
      <status>unmodified</status>
      <modifiedWord/>
      <trackRevisions>false</trackRevisions>
    </reviewItem>
    <reviewItem>
      <errorID>195dd147-a034-4a67-b7ac-1b42b8bc6e49</errorID>
      <errorWord>~</errorWord>
      <group>L1_Format</group>
      <groupName>格式问题</groupName>
      <ability>L2_HalfPunc</ability>
      <abilityName>全半角检查</abilityName>
      <candidateList>
        <item>～</item>
      </candidateList>
      <explain>文本全半角错误。</explain>
      <paraID>46B34AAB</paraID>
      <start>167</start>
      <end>168</end>
      <status>unmodified</status>
      <modifiedWord/>
      <trackRevisions>false</trackRevisions>
    </reviewItem>
    <reviewItem>
      <errorID>7cfbc27f-08b4-46ac-bf5e-c7af1ba1139c</errorID>
      <errorWord>（</errorWord>
      <group>L1_Format</group>
      <groupName>格式问题</groupName>
      <ability>L2_HalfPunc</ability>
      <abilityName>全半角检查</abilityName>
      <candidateList>
        <item>(</item>
      </candidateList>
      <explain>文本全半角错误。</explain>
      <paraID>3CD7128C</paraID>
      <start>3</start>
      <end>4</end>
      <status>unmodified</status>
      <modifiedWord/>
      <trackRevisions>false</trackRevisions>
    </reviewItem>
    <reviewItem>
      <errorID>908166b6-82ae-4470-bdc2-2cb2ea559b22</errorID>
      <errorWord>）</errorWord>
      <group>L1_Format</group>
      <groupName>格式问题</groupName>
      <ability>L2_HalfPunc</ability>
      <abilityName>全半角检查</abilityName>
      <candidateList>
        <item>)</item>
      </candidateList>
      <explain>文本全半角错误。</explain>
      <paraID>3CD7128C</paraID>
      <start>7</start>
      <end>8</end>
      <status>unmodified</status>
      <modifiedWord/>
      <trackRevisions>false</trackRevisions>
    </reviewItem>
    <reviewItem>
      <errorID>12efba1a-c101-4f9b-8ad4-475505c835a3</errorID>
      <errorWord>（</errorWord>
      <group>L1_Format</group>
      <groupName>格式问题</groupName>
      <ability>L2_HalfPunc</ability>
      <abilityName>全半角检查</abilityName>
      <candidateList>
        <item>(</item>
      </candidateList>
      <explain>文本全半角错误。</explain>
      <paraID>5287F2FE</paraID>
      <start>3</start>
      <end>4</end>
      <status>unmodified</status>
      <modifiedWord/>
      <trackRevisions>false</trackRevisions>
    </reviewItem>
    <reviewItem>
      <errorID>afbe793b-19a3-4753-9a2e-6466f8db1bdd</errorID>
      <errorWord>）</errorWord>
      <group>L1_Format</group>
      <groupName>格式问题</groupName>
      <ability>L2_HalfPunc</ability>
      <abilityName>全半角检查</abilityName>
      <candidateList>
        <item>)</item>
      </candidateList>
      <explain>文本全半角错误。</explain>
      <paraID>5287F2FE</paraID>
      <start>7</start>
      <end>8</end>
      <status>unmodified</status>
      <modifiedWord/>
      <trackRevisions>false</trackRevisions>
    </reviewItem>
    <reviewItem>
      <errorID>d98c7aef-a469-4155-b580-a2e1fea22fca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4FC66FE6</paraID>
      <start>0</start>
      <end>2</end>
      <status>unmodified</status>
      <modifiedWord/>
      <trackRevisions>false</trackRevisions>
    </reviewItem>
    <reviewItem>
      <errorID>9e4e67e5-a9c7-4991-a29e-ad608bf1c53a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41FCCF20</paraID>
      <start>0</start>
      <end>2</end>
      <status>unmodified</status>
      <modifiedWord/>
      <trackRevisions>false</trackRevisions>
    </reviewItem>
    <reviewItem>
      <errorID>4f2d0e59-6e1f-4f73-8f3a-9b977af2788b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68CA816F</paraID>
      <start>0</start>
      <end>2</end>
      <status>unmodified</status>
      <modifiedWord/>
      <trackRevisions>false</trackRevisions>
    </reviewItem>
    <reviewItem>
      <errorID>20b97d3d-0b32-4f76-8ee0-e8fd719f1e2a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46C54941</paraID>
      <start>0</start>
      <end>2</end>
      <status>unmodified</status>
      <modifiedWord/>
      <trackRevisions>false</trackRevisions>
    </reviewItem>
    <reviewItem>
      <errorID>a9e3905f-cb8a-4122-b3e4-d24c7e546f93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1A935F7B</paraID>
      <start>0</start>
      <end>2</end>
      <status>unmodified</status>
      <modifiedWord/>
      <trackRevisions>false</trackRevisions>
    </reviewItem>
    <reviewItem>
      <errorID>bdcdc09d-c543-4798-a67d-a32517fb6e06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B1E2681</paraID>
      <start>0</start>
      <end>2</end>
      <status>unmodified</status>
      <modifiedWord/>
      <trackRevisions>false</trackRevisions>
    </reviewItem>
    <reviewItem>
      <errorID>1e34b29f-5a31-431b-8a4d-53cdae1c1760</errorID>
      <errorWord>（</errorWord>
      <group>L1_Format</group>
      <groupName>格式问题</groupName>
      <ability>L2_HalfPunc</ability>
      <abilityName>全半角检查</abilityName>
      <candidateList>
        <item>(</item>
      </candidateList>
      <explain>文本全半角错误。</explain>
      <paraID>6AEFB033</paraID>
      <start>3</start>
      <end>4</end>
      <status>unmodified</status>
      <modifiedWord/>
      <trackRevisions>false</trackRevisions>
    </reviewItem>
    <reviewItem>
      <errorID>7dae048f-b585-42dd-b6b3-6082a85789f3</errorID>
      <errorWord>）</errorWord>
      <group>L1_Format</group>
      <groupName>格式问题</groupName>
      <ability>L2_HalfPunc</ability>
      <abilityName>全半角检查</abilityName>
      <candidateList>
        <item>)</item>
      </candidateList>
      <explain>文本全半角错误。</explain>
      <paraID>6AEFB033</paraID>
      <start>6</start>
      <end>7</end>
      <status>unmodified</status>
      <modifiedWord/>
      <trackRevisions>false</trackRevisions>
    </reviewItem>
    <reviewItem>
      <errorID>8ed2b926-590c-4280-910f-2135a5fe7dfe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3140CBEC</paraID>
      <start>41</start>
      <end>42</end>
      <status>unmodified</status>
      <modifiedWord/>
      <trackRevisions>false</trackRevisions>
    </reviewItem>
    <reviewItem>
      <errorID>0705a8c2-8994-4ad1-b923-91008d5ecf37</errorID>
      <errorWord>～</errorWord>
      <group>L1_Format</group>
      <groupName>格式问题</groupName>
      <ability>L2_HalfPunc</ability>
      <abilityName>全半角检查</abilityName>
      <candidateList>
        <item>~</item>
      </candidateList>
      <explain>文本全半角错误。</explain>
      <paraID>16D1DAE8</paraID>
      <start>3</start>
      <end>4</end>
      <status>unmodified</status>
      <modifiedWord/>
      <trackRevisions>false</trackRevisions>
    </reviewItem>
    <reviewItem>
      <errorID>9f5da6a7-330d-40bb-8843-cac22106e4ca</errorID>
      <errorWord>(</errorWord>
      <group>L1_Format</group>
      <groupName>格式问题</groupName>
      <ability>L2_HalfPunc</ability>
      <abilityName>全半角检查</abilityName>
      <candidateList>
        <item>（</item>
      </candidateList>
      <explain>文本全半角错误。</explain>
      <paraID>430CB3C1</paraID>
      <start>17</start>
      <end>18</end>
      <status>unmodified</status>
      <modifiedWord/>
      <trackRevisions>false</trackRevisions>
    </reviewItem>
    <reviewItem>
      <errorID>f763000c-37d0-4758-9570-a37633f6e4ec</errorID>
      <errorWord>（</errorWord>
      <group>L1_Punc</group>
      <groupName>标点问题</groupName>
      <ability>L2_Punc</ability>
      <abilityName>标点符号检查</abilityName>
      <candidateList/>
      <explain>同一形式括号套用。</explain>
      <paraID>3D62A136</paraID>
      <start>10</start>
      <end>11</end>
      <status>unmodified</status>
      <modifiedWord/>
      <trackRevisions>false</trackRevisions>
    </reviewItem>
    <reviewItem>
      <errorID>67c3f562-134d-4bc4-9854-addb373f9ccc</errorID>
      <errorWord>）</errorWord>
      <group>L1_Punc</group>
      <groupName>标点问题</groupName>
      <ability>L2_Punc</ability>
      <abilityName>标点符号检查</abilityName>
      <candidateList/>
      <explain>同一形式括号套用。</explain>
      <paraID>3D62A136</paraID>
      <start>12</start>
      <end>13</end>
      <status>unmodified</status>
      <modifiedWord/>
      <trackRevisions>false</trackRevisions>
    </reviewItem>
    <reviewItem>
      <errorID>5440b5a7-d1c0-482e-bd72-12680b3a58ce</errorID>
      <errorWord>~</errorWord>
      <group>L1_Format</group>
      <groupName>格式问题</groupName>
      <ability>L2_HalfPunc</ability>
      <abilityName>全半角检查</abilityName>
      <candidateList>
        <item>～</item>
      </candidateList>
      <explain>文本全半角错误。</explain>
      <paraID>52BB9F5E</paraID>
      <start>207</start>
      <end>208</end>
      <status>unmodified</status>
      <modifiedWord/>
      <trackRevisions>false</trackRevisions>
    </reviewItem>
    <reviewItem>
      <errorID>e03750f4-ff1e-4105-91f4-d42493f1fdc8</errorID>
      <errorWord>线线</errorWord>
      <group>L1_Word</group>
      <groupName>字词问题</groupName>
      <ability>L2_Typo</ability>
      <abilityName>字词错误</abilityName>
      <candidateList>
        <item>线</item>
      </candidateList>
      <explain/>
      <paraID>1CCC8B29</paraID>
      <start>4</start>
      <end>6</end>
      <status>unmodified</status>
      <modifiedWord/>
      <trackRevisions>false</trackRevisions>
    </reviewItem>
    <reviewItem>
      <errorID>aa5ff61b-5fd1-4281-8ecd-ff3a4b280d4a</errorID>
      <errorWord>~</errorWord>
      <group>L1_Format</group>
      <groupName>格式问题</groupName>
      <ability>L2_HalfPunc</ability>
      <abilityName>全半角检查</abilityName>
      <candidateList>
        <item>～</item>
      </candidateList>
      <explain>文本全半角错误。</explain>
      <paraID>1CCC8B29</paraID>
      <start>211</start>
      <end>212</end>
      <status>unmodified</status>
      <modifiedWord/>
      <trackRevisions>false</trackRevisions>
    </reviewItem>
    <reviewItem>
      <errorID>a0476d8b-f54e-408e-8e1d-b804eb1cb9f8</errorID>
      <errorWord>程</errorWord>
      <group>L1_Word</group>
      <groupName>字词问题</groupName>
      <ability>L2_Typo</ability>
      <abilityName>字词错误</abilityName>
      <candidateList>
        <item>程中</item>
      </candidateList>
      <explain/>
      <paraID>4D9ABF51</paraID>
      <start>90</start>
      <end>91</end>
      <status>unmodified</status>
      <modifiedWord/>
      <trackRevisions>false</trackRevisions>
    </reviewItem>
    <reviewItem>
      <errorID>00c33b4b-259b-400a-872a-2efcf59c9302</errorID>
      <errorWord>个</errorWord>
      <group>L1_Word</group>
      <groupName>字词问题</groupName>
      <ability>L2_Typo</ability>
      <abilityName>字词错误</abilityName>
      <candidateList>
        <item>各</item>
      </candidateList>
      <explain>❶〈代〉指示代词。a）表示不止一个：世界～国｜～位来宾。b）表示不止一个并且彼此不同：～种原材料都备齐了｜～人回～人的家。❷〈副〉表示不止一人或一物同做某事或同有某种属性：双方～执一词｜左右两侧～有一门｜三种办法～有优点和缺点。❸（Gè）〈名〉姓。</explain>
      <paraID>2903A081</paraID>
      <start>8</start>
      <end>9</end>
      <status>unmodified</status>
      <modifiedWord/>
      <trackRevisions>false</trackRevisions>
    </reviewItem>
    <reviewItem>
      <errorID>70f46aa2-e0b2-448a-a4a0-31f3af26b027</errorID>
      <errorWord>(</errorWord>
      <group>L1_Format</group>
      <groupName>格式问题</groupName>
      <ability>L2_HalfPunc</ability>
      <abilityName>全半角检查</abilityName>
      <candidateList>
        <item>（</item>
      </candidateList>
      <explain>文本全半角错误。</explain>
      <paraID>  750346</paraID>
      <start>13</start>
      <end>14</end>
      <status>unmodified</status>
      <modifiedWord/>
      <trackRevisions>false</trackRevisions>
    </reviewItem>
    <reviewItem>
      <errorID>e6dccd3d-937c-4037-8d7b-2475671766a6</errorID>
      <errorWord>)</errorWord>
      <group>L1_Format</group>
      <groupName>格式问题</groupName>
      <ability>L2_HalfPunc</ability>
      <abilityName>全半角检查</abilityName>
      <candidateList>
        <item>）</item>
      </candidateList>
      <explain>文本全半角错误。</explain>
      <paraID>  750346</paraID>
      <start>27</start>
      <end>28</end>
      <status>unmodified</status>
      <modifiedWord/>
      <trackRevisions>false</trackRevisions>
    </reviewItem>
    <reviewItem>
      <errorID>033bc1c9-d078-4dea-8c80-800bb6563f2e</errorID>
      <errorWord>~</errorWord>
      <group>L1_Format</group>
      <groupName>格式问题</groupName>
      <ability>L2_HalfPunc</ability>
      <abilityName>全半角检查</abilityName>
      <candidateList>
        <item>～</item>
      </candidateList>
      <explain>文本全半角错误。</explain>
      <paraID>3A2A9C5D</paraID>
      <start>15</start>
      <end>16</end>
      <status>unmodified</status>
      <modifiedWord/>
      <trackRevisions>false</trackRevisions>
    </reviewItem>
    <reviewItem>
      <errorID>40edf58d-3a88-4c05-a1da-6fe59273d6c7</errorID>
      <errorWord>个</errorWord>
      <group>L1_Knowledge</group>
      <groupName>知识性问题</groupName>
      <ability>L2_Knowledge</ability>
      <abilityName>其他知识</abilityName>
      <candidateList>
        <item>点</item>
      </candidateList>
      <explain/>
      <paraID>1699867A</paraID>
      <start>82</start>
      <end>83</end>
      <status>unmodified</status>
      <modifiedWord/>
      <trackRevisions>false</trackRevisions>
    </reviewItem>
    <reviewItem>
      <errorID>fc5af729-c5fc-4272-bad6-02832e0a4c2e</errorID>
      <errorWord>净环水</errorWord>
      <group>L1_Word</group>
      <groupName>字词问题</groupName>
      <ability>L2_Typo</ability>
      <abilityName>字词错误</abilityName>
      <candidateList>
        <item>循环水</item>
      </candidateList>
      <explain/>
      <paraID>3211526E</paraID>
      <start>14</start>
      <end>17</end>
      <status>unmodified</status>
      <modifiedWord/>
      <trackRevisions>false</trackRevisions>
    </reviewItem>
    <reviewItem>
      <errorID>3549a7d5-289f-4769-814f-4c35e0b9a82e</errorID>
      <errorWord>来源于为</errorWord>
      <group>L1_Word</group>
      <groupName>字词问题</groupName>
      <ability>L2_Typo</ability>
      <abilityName>字词错误</abilityName>
      <candidateList>
        <item>来源于</item>
      </candidateList>
      <explain/>
      <paraID>18D18C23</paraID>
      <start>7</start>
      <end>11</end>
      <status>unmodified</status>
      <modifiedWord/>
      <trackRevisions>false</trackRevisions>
    </reviewItem>
    <reviewItem>
      <errorID>7c7c0789-1a93-4f15-9bcc-c18ccb5f453a</errorID>
      <errorWord>：，</errorWord>
      <group>L1_Punc</group>
      <groupName>标点问题</groupName>
      <ability>L2_Punc</ability>
      <abilityName>标点符号检查</abilityName>
      <candidateList>
        <item>：</item>
      </candidateList>
      <explain/>
      <paraID>1E562332</paraID>
      <start>9</start>
      <end>11</end>
      <status>unmodified</status>
      <modifiedWord/>
      <trackRevisions>false</trackRevisions>
    </reviewItem>
    <reviewItem>
      <errorID>d608883b-6138-4917-bba4-0b50ec57d0fb</errorID>
      <errorWord>(</errorWord>
      <group>L1_Format</group>
      <groupName>格式问题</groupName>
      <ability>L2_HalfPunc</ability>
      <abilityName>全半角检查</abilityName>
      <candidateList>
        <item>（</item>
      </candidateList>
      <explain>文本全半角错误。</explain>
      <paraID>1C525638</paraID>
      <start>68</start>
      <end>69</end>
      <status>unmodified</status>
      <modifiedWord/>
      <trackRevisions>false</trackRevisions>
    </reviewItem>
    <reviewItem>
      <errorID>b6007259-42be-4050-bcbc-86af49b26af7</errorID>
      <errorWord>)</errorWord>
      <group>L1_Format</group>
      <groupName>格式问题</groupName>
      <ability>L2_HalfPunc</ability>
      <abilityName>全半角检查</abilityName>
      <candidateList>
        <item>）</item>
      </candidateList>
      <explain>文本全半角错误。</explain>
      <paraID>1C525638</paraID>
      <start>76</start>
      <end>77</end>
      <status>unmodified</status>
      <modifiedWord/>
      <trackRevisions>false</trackRevisions>
    </reviewItem>
    <reviewItem>
      <errorID>fc4528a5-2f5b-4522-b938-85da0f9c11f1</errorID>
      <errorWord>来自于</errorWord>
      <group>L1_Grammar</group>
      <groupName>语法问题</groupName>
      <ability>L2_Grammar</ability>
      <abilityName>语法错误</abilityName>
      <candidateList>
        <item>来自</item>
      </candidateList>
      <explain/>
      <paraID>43112AA1</paraID>
      <start>6</start>
      <end>9</end>
      <status>unmodified</status>
      <modifiedWord/>
      <trackRevisions>false</trackRevisions>
    </reviewItem>
    <reviewItem>
      <errorID>13c373d0-1a49-40ca-8f89-cf3379e76758</errorID>
      <errorWord>（</errorWord>
      <group>L1_Format</group>
      <groupName>格式问题</groupName>
      <ability>L2_HalfPunc</ability>
      <abilityName>全半角检查</abilityName>
      <candidateList>
        <item>(</item>
      </candidateList>
      <explain>文本全半角错误。</explain>
      <paraID>4E6AB2FC</paraID>
      <start>0</start>
      <end>1</end>
      <status>unmodified</status>
      <modifiedWord/>
      <trackRevisions>false</trackRevisions>
    </reviewItem>
    <reviewItem>
      <errorID>9b8e5743-ef6b-4ab0-a035-138f48323fd8</errorID>
      <errorWord>）</errorWord>
      <group>L1_Format</group>
      <groupName>格式问题</groupName>
      <ability>L2_HalfPunc</ability>
      <abilityName>全半角检查</abilityName>
      <candidateList>
        <item>)</item>
      </candidateList>
      <explain>文本全半角错误。</explain>
      <paraID>4E6AB2FC</paraID>
      <start>4</start>
      <end>5</end>
      <status>unmodified</status>
      <modifiedWord/>
      <trackRevisions>false</trackRevisions>
    </reviewItem>
    <reviewItem>
      <errorID>8d74a93a-ea88-47ca-9def-bdbd8057d383</errorID>
      <errorWord>，…，</errorWord>
      <group>L1_Punc</group>
      <groupName>标点问题</groupName>
      <ability>L2_Punc</ability>
      <abilityName>标点符号检查</abilityName>
      <candidateList>
        <item>，</item>
      </candidateList>
      <explain/>
      <paraID>7BA93AAF</paraID>
      <start>8</start>
      <end>11</end>
      <status>unmodified</status>
      <modifiedWord/>
      <trackRevisions>false</trackRevisions>
    </reviewItem>
    <reviewItem>
      <errorID>fec101b8-1130-4377-9d78-d7eb5bc00968</errorID>
      <errorWord>，…，</errorWord>
      <group>L1_Punc</group>
      <groupName>标点问题</groupName>
      <ability>L2_Punc</ability>
      <abilityName>标点符号检查</abilityName>
      <candidateList>
        <item>，</item>
      </candidateList>
      <explain/>
      <paraID>36656612</paraID>
      <start>5</start>
      <end>8</end>
      <status>unmodified</status>
      <modifiedWord/>
      <trackRevisions>false</trackRevisions>
    </reviewItem>
    <reviewItem>
      <errorID>48acac60-bd2e-4782-a7b0-e3cf416b431e</errorID>
      <errorWord>途径</errorWord>
      <group>L1_Word</group>
      <groupName>字词问题</groupName>
      <ability>L2_Typo</ability>
      <abilityName>字词错误</abilityName>
      <candidateList>
        <item>途经</item>
      </candidateList>
      <explain>存在发音相同字词的误用。</explain>
      <paraID> FEB7759</paraID>
      <start>0</start>
      <end>2</end>
      <status>unmodified</status>
      <modifiedWord/>
      <trackRevisions>false</trackRevisions>
    </reviewItem>
    <reviewItem>
      <errorID>db3a046f-0d51-401e-97bf-711b587b543b</errorID>
      <errorWord>地下水的</errorWord>
      <group>L1_Word</group>
      <groupName>字词问题</groupName>
      <ability>L2_Typo</ability>
      <abilityName>字词错误</abilityName>
      <candidateList>
        <item>地下水</item>
      </candidateList>
      <explain/>
      <paraID>33B933DA</paraID>
      <start>146</start>
      <end>150</end>
      <status>unmodified</status>
      <modifiedWord/>
      <trackRevisions>false</trackRevisions>
    </reviewItem>
    <reviewItem>
      <errorID>c5490495-dcee-4dec-b0e1-1d8ba6ccf39d</errorID>
      <errorWord>废若</errorWord>
      <group>L1_Word</group>
      <groupName>字词问题</groupName>
      <ability>L2_Typo</ability>
      <abilityName>字词错误</abilityName>
      <candidateList>
        <item>废物</item>
      </candidateList>
      <explain/>
      <paraID>169D3FB0</paraID>
      <start>4</start>
      <end>6</end>
      <status>unmodified</status>
      <modifiedWord/>
      <trackRevisions>false</trackRevisions>
    </reviewItem>
    <reviewItem>
      <errorID>d241cf73-82f3-4ef4-840d-fdcf85356e01</errorID>
      <errorWord>,</errorWord>
      <group>L1_Format</group>
      <groupName>格式问题</groupName>
      <ability>L2_HalfPunc</ability>
      <abilityName>全半角检查</abilityName>
      <candidateList>
        <item>，</item>
      </candidateList>
      <explain>文本全半角错误。</explain>
      <paraID>4B20BE42</paraID>
      <start>55</start>
      <end>56</end>
      <status>unmodified</status>
      <modifiedWord/>
      <trackRevisions>false</trackRevisions>
    </reviewItem>
    <reviewItem>
      <errorID>a6ac15de-46c9-4a45-b0ae-671f85467139</errorID>
      <errorWord>个</errorWord>
      <group>L1_Word</group>
      <groupName>字词问题</groupName>
      <ability>L2_Typo</ability>
      <abilityName>字词错误</abilityName>
      <candidateList>
        <item>各</item>
      </candidateList>
      <explain>❶〈代〉指示代词。a）表示不止一个：世界～国｜～位来宾。b）表示不止一个并且彼此不同：～种原材料都备齐了｜～人回～人的家。❷〈副〉表示不止一人或一物同做某事或同有某种属性：双方～执一词｜左右两侧～有一门｜三种办法～有优点和缺点。❸（Gè）〈名〉姓。</explain>
      <paraID>79D869C0</paraID>
      <start>8</start>
      <end>9</end>
      <status>unmodified</status>
      <modifiedWord/>
      <trackRevisions>false</trackRevisions>
    </reviewItem>
    <reviewItem>
      <errorID>f2e594a0-8a17-471f-9f9f-16d0f235657e</errorID>
      <errorWord>泄漏到</errorWord>
      <group>L1_Word</group>
      <groupName>字词问题</groupName>
      <ability>L2_Typo</ability>
      <abilityName>字词错误</abilityName>
      <candidateList>
        <item>泄漏</item>
      </candidateList>
      <explain/>
      <paraID>3D3613D7</paraID>
      <start>108</start>
      <end>111</end>
      <status>unmodified</status>
      <modifiedWord/>
      <trackRevisions>false</trackRevisions>
    </reviewItem>
    <reviewItem>
      <errorID>9033aa4f-ebc6-4900-83e8-343cd5d9ec09</errorID>
      <errorWord>法律、法规</errorWord>
      <group>L1_Word</group>
      <groupName>字词问题</groupName>
      <ability>L2_Typo</ability>
      <abilityName>字词错误</abilityName>
      <candidateList>
        <item>法律法规</item>
      </candidateList>
      <explain/>
      <paraID>7F794246</paraID>
      <start>27</start>
      <end>32</end>
      <status>unmodified</status>
      <modifiedWord/>
      <trackRevisions>false</trackRevisions>
    </reviewItem>
    <reviewItem>
      <errorID>95816cea-5130-4250-a432-1c7db4b462ff</errorID>
      <errorWord>清洁生产促进法</errorWord>
      <group>L1_Knowledge</group>
      <groupName>知识性问题</groupName>
      <ability>L2_Knowledge</ability>
      <abilityName>其他知识</abilityName>
      <candidateList>
        <item>中华人民共和国清洁生产促进法</item>
      </candidateList>
      <explain>当前法律法规名称使用简称，请注意是否应当使用全称。</explain>
      <paraID>6DF8AEB2</paraID>
      <start>13</start>
      <end>20</end>
      <status>unmodified</status>
      <modifiedWord/>
      <trackRevisions>false</trackRevisions>
    </reviewItem>
    <reviewItem>
      <errorID>f4430199-23a4-4777-84f1-816c98079baf</errorID>
      <errorWord>，</errorWord>
      <group>L1_Word</group>
      <groupName>字词问题</groupName>
      <ability>L2_Typo</ability>
      <abilityName>字词错误</abilityName>
      <candidateList>
        <item>，具</item>
      </candidateList>
      <explain/>
      <paraID>7D68F1F7</paraID>
      <start>49</start>
      <end>50</end>
      <status>unmodified</status>
      <modifiedWord/>
      <trackRevisions>false</trackRevisions>
    </reviewItem>
    <reviewItem>
      <errorID>35065ea4-9712-4488-8ce5-02238e1907bc</errorID>
      <errorWord>项目在</errorWord>
      <group>L1_Word</group>
      <groupName>字词问题</groupName>
      <ability>L2_Typo</ability>
      <abilityName>字词错误</abilityName>
      <candidateList>
        <item>项目</item>
      </candidateList>
      <explain>〈名〉事物分成的门类：服务～｜体育～｜建设～。</explain>
      <paraID>7D68F1F7</paraID>
      <start>61</start>
      <end>64</end>
      <status>unmodified</status>
      <modifiedWord/>
      <trackRevisions>false</trackRevisions>
    </reviewItem>
    <reviewItem>
      <errorID>53d63505-f0f2-4c8d-8bbf-12eeb4151f62</errorID>
      <errorWord>报告表</errorWord>
      <group>L1_Word</group>
      <groupName>字词问题</groupName>
      <ability>L2_Typo</ability>
      <abilityName>字词错误</abilityName>
      <candidateList>
        <item>报告</item>
      </candidateList>
      <explain>❶〈动〉把事情或意见正式告诉上级或群众：你应当把事情的经过向领导～｜大会主席～了开会宗旨。❷〈名〉用口头或书面的形式向上级或群众所做的正式陈述：总结～｜动员～。</explain>
      <paraID>7D68F1F7</paraID>
      <start>68</start>
      <end>71</end>
      <status>unmodified</status>
      <modifiedWord/>
      <trackRevisions>false</trackRevisions>
    </reviewItem>
    <reviewItem>
      <errorID>eba32ca5-c208-4234-98d3-fc80e8f45ae3</errorID>
      <errorWord>~</errorWord>
      <group>L1_Format</group>
      <groupName>格式问题</groupName>
      <ability>L2_HalfPunc</ability>
      <abilityName>全半角检查</abilityName>
      <candidateList>
        <item>～</item>
      </candidateList>
      <explain>文本全半角错误。</explain>
      <paraID>2C5D4868</paraID>
      <start>3</start>
      <end>4</end>
      <status>unmodified</status>
      <modifiedWord/>
      <trackRevisions>false</trackRevisions>
    </reviewItem>
    <reviewItem>
      <errorID>79d88a0c-7ce7-4a2b-86f3-1c1d81522d70</errorID>
      <errorWord>（</errorWord>
      <group>L1_Format</group>
      <groupName>格式问题</groupName>
      <ability>L2_HalfPunc</ability>
      <abilityName>全半角检查</abilityName>
      <candidateList>
        <item>(</item>
      </candidateList>
      <explain>文本全半角错误。</explain>
      <paraID>1E6815FD</paraID>
      <start>0</start>
      <end>1</end>
      <status>unmodified</status>
      <modifiedWord/>
      <trackRevisions>false</trackRevisions>
    </reviewItem>
    <reviewItem>
      <errorID>1499d753-0291-45a0-a273-067ee07ed7d7</errorID>
      <errorWord>）</errorWord>
      <group>L1_Format</group>
      <groupName>格式问题</groupName>
      <ability>L2_HalfPunc</ability>
      <abilityName>全半角检查</abilityName>
      <candidateList>
        <item>)</item>
      </candidateList>
      <explain>文本全半角错误。</explain>
      <paraID>1E6815FD</paraID>
      <start>3</start>
      <end>4</end>
      <status>unmodified</status>
      <modifiedWord/>
      <trackRevisions>false</trackRevisions>
    </reviewItem>
    <reviewItem>
      <errorID>8769187f-6309-4fa6-8cc1-3652919ef9f9</errorID>
      <errorWord>＞</errorWord>
      <group>L1_Format</group>
      <groupName>格式问题</groupName>
      <ability>L2_HalfPunc</ability>
      <abilityName>全半角检查</abilityName>
      <candidateList>
        <item>&gt;</item>
      </candidateList>
      <explain>文本全半角错误。</explain>
      <paraID> A844859</paraID>
      <start>1</start>
      <end>2</end>
      <status>unmodified</status>
      <modifiedWord/>
      <trackRevisions>false</trackRevisions>
    </reviewItem>
    <reviewItem>
      <errorID>ed655dbe-e381-4220-b53c-743d781ae016</errorID>
      <errorWord>（</errorWord>
      <group>L1_Format</group>
      <groupName>格式问题</groupName>
      <ability>L2_HalfPunc</ability>
      <abilityName>全半角检查</abilityName>
      <candidateList>
        <item>(</item>
      </candidateList>
      <explain>文本全半角错误。</explain>
      <paraID>24F7F2EE</paraID>
      <start>4</start>
      <end>5</end>
      <status>unmodified</status>
      <modifiedWord/>
      <trackRevisions>false</trackRevisions>
    </reviewItem>
    <reviewItem>
      <errorID>f0d27df4-44f1-4940-8d70-0508f58940e1</errorID>
      <errorWord>）</errorWord>
      <group>L1_Format</group>
      <groupName>格式问题</groupName>
      <ability>L2_HalfPunc</ability>
      <abilityName>全半角检查</abilityName>
      <candidateList>
        <item>)</item>
      </candidateList>
      <explain>文本全半角错误。</explain>
      <paraID>24F7F2EE</paraID>
      <start>10</start>
      <end>11</end>
      <status>unmodified</status>
      <modifiedWord/>
      <trackRevisions>false</trackRevisions>
    </reviewItem>
    <reviewItem>
      <errorID>3a5d058c-8984-4cd6-a22e-5abd2c3218ea</errorID>
      <errorWord>（</errorWord>
      <group>L1_Format</group>
      <groupName>格式问题</groupName>
      <ability>L2_HalfPunc</ability>
      <abilityName>全半角检查</abilityName>
      <candidateList>
        <item>(</item>
      </candidateList>
      <explain>文本全半角错误。</explain>
      <paraID>7310DB68</paraID>
      <start>4</start>
      <end>5</end>
      <status>unmodified</status>
      <modifiedWord/>
      <trackRevisions>false</trackRevisions>
    </reviewItem>
    <reviewItem>
      <errorID>3d350188-9e1e-4295-b1bc-4ce381b88c18</errorID>
      <errorWord>）</errorWord>
      <group>L1_Format</group>
      <groupName>格式问题</groupName>
      <ability>L2_HalfPunc</ability>
      <abilityName>全半角检查</abilityName>
      <candidateList>
        <item>)</item>
      </candidateList>
      <explain>文本全半角错误。</explain>
      <paraID>7310DB68</paraID>
      <start>10</start>
      <end>11</end>
      <status>unmodified</status>
      <modifiedWord/>
      <trackRevisions>false</trackRevisions>
    </reviewItem>
    <reviewItem>
      <errorID>fc7e7d0d-4985-4b44-9f8b-3bdbdba8efed</errorID>
      <errorWord>:</errorWord>
      <group>L1_Format</group>
      <groupName>格式问题</groupName>
      <ability>L2_HalfPunc</ability>
      <abilityName>全半角检查</abilityName>
      <candidateList>
        <item>：</item>
      </candidateList>
      <explain>文本全半角错误。</explain>
      <paraID>7BF76FA0</paraID>
      <start>3</start>
      <end>4</end>
      <status>unmodified</status>
      <modifiedWord/>
      <trackRevisions>false</trackRevisions>
    </reviewItem>
    <reviewItem>
      <errorID>9a1e2baf-be40-4dd1-bbaa-91c35c3af5b9</errorID>
      <errorWord>（</errorWord>
      <group>L1_Format</group>
      <groupName>格式问题</groupName>
      <ability>L2_HalfPunc</ability>
      <abilityName>全半角检查</abilityName>
      <candidateList>
        <item>(</item>
      </candidateList>
      <explain>文本全半角错误。</explain>
      <paraID>66742467</paraID>
      <start>5</start>
      <end>6</end>
      <status>unmodified</status>
      <modifiedWord/>
      <trackRevisions>false</trackRevisions>
    </reviewItem>
    <reviewItem>
      <errorID>d3ba5541-bf74-4b91-a79a-5837d7820107</errorID>
      <errorWord>）</errorWord>
      <group>L1_Format</group>
      <groupName>格式问题</groupName>
      <ability>L2_HalfPunc</ability>
      <abilityName>全半角检查</abilityName>
      <candidateList>
        <item>)</item>
      </candidateList>
      <explain>文本全半角错误。</explain>
      <paraID>66742467</paraID>
      <start>7</start>
      <end>8</end>
      <status>unmodified</status>
      <modifiedWord/>
      <trackRevisions>false</trackRevisions>
    </reviewItem>
    <reviewItem>
      <errorID>683ee75c-6b76-4f3e-b4e3-07cd250abb03</errorID>
      <errorWord>影</errorWord>
      <group>L1_Word</group>
      <groupName>字词问题</groupName>
      <ability>L2_Typo</ability>
      <abilityName>字词错误</abilityName>
      <candidateList>
        <item>影响</item>
      </candidateList>
      <explain>❶〈动〉对别人的思想或行动起作用（如影之随形，响之应声）：父母应该用自己的模范行动去～孩子。❷〈名〉对人或事物所起的作用：这件事造成很大的～。❸〈书〉〈形〉传闻的；无根据的：模糊～之谈。</explain>
      <paraID>2384B6D0</paraID>
      <start>3</start>
      <end>4</end>
      <status>unmodified</status>
      <modifiedWord/>
      <trackRevisions>false</trackRevisions>
    </reviewItem>
    <reviewItem>
      <errorID>523a8634-dee4-4468-8016-cddd681a3426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1B937BE7</paraID>
      <start>20</start>
      <end>21</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570BE09-321C-42AD-8D69-3D46C8DCFF97}">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128</Pages>
  <Words>4032</Words>
  <Characters>4331</Characters>
  <Lines>803</Lines>
  <Paragraphs>226</Paragraphs>
  <TotalTime>40</TotalTime>
  <ScaleCrop>false</ScaleCrop>
  <LinksUpToDate>false</LinksUpToDate>
  <CharactersWithSpaces>4531</CharactersWithSpaces>
  <Application>WPS Office_12.1.0.26884_F1E327BC-269C-435d-A152-05C5408002CA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2020-12-24T09:29:00Z</dcterms:created>
  <dc:creator>lhj</dc:creator>
  <cp:lastModifiedBy>陈潇</cp:lastModifiedBy>
  <cp:lastPrinted>2026-04-15T01:55:00Z</cp:lastPrinted>
  <dcterms:modified xsi:type="dcterms:W3CDTF">2026-06-23T07:32:34Z</dcterms:modified>
  <dc:title>附件2</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2052-12.1.0.26884</vt:lpwstr>
  </property>
  <property fmtid="{D5CDD505-2E9C-101B-9397-08002B2CF9AE}" pid="3" name="ICV">
    <vt:lpwstr>1305B0F6450C46E3B3646C933F2F413A_13</vt:lpwstr>
  </property>
  <property fmtid="{D5CDD505-2E9C-101B-9397-08002B2CF9AE}" pid="4" name="KSOTemplateDocerSaveRecord">
    <vt:lpwstr>eyJoZGlkIjoiMTI4NWQzOGExZjYzNWY2YTgzNTVhYTFmZjU1NzlmZDYiLCJ1c2VySWQiOiIxNDc3MTU0MTI3In0=</vt:lpwstr>
  </property>
</Properties>
</file>