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A7A91">
      <w:pPr>
        <w:suppressAutoHyphens/>
        <w:adjustRightInd w:val="0"/>
        <w:snapToGrid w:val="0"/>
        <w:spacing w:line="360" w:lineRule="auto"/>
        <w:ind w:firstLine="640" w:firstLineChars="200"/>
        <w:rPr>
          <w:rFonts w:ascii="Times New Roman" w:hAnsi="Times New Roman" w:eastAsia="仿宋_GB2312" w:cs="Times New Roman"/>
          <w:color w:val="000000" w:themeColor="text1"/>
          <w:sz w:val="32"/>
          <w:highlight w:val="none"/>
          <w:lang w:val="en"/>
          <w14:textFill>
            <w14:solidFill>
              <w14:schemeClr w14:val="tx1"/>
            </w14:solidFill>
          </w14:textFill>
        </w:rPr>
      </w:pPr>
    </w:p>
    <w:p w14:paraId="786C2DAD">
      <w:pPr>
        <w:suppressAutoHyphens/>
        <w:adjustRightInd w:val="0"/>
        <w:snapToGrid w:val="0"/>
        <w:spacing w:line="360" w:lineRule="auto"/>
        <w:ind w:firstLine="640" w:firstLineChars="200"/>
        <w:rPr>
          <w:rFonts w:ascii="Times New Roman" w:hAnsi="Times New Roman" w:eastAsia="仿宋_GB2312" w:cs="Times New Roman"/>
          <w:color w:val="000000" w:themeColor="text1"/>
          <w:sz w:val="32"/>
          <w:highlight w:val="none"/>
          <w:lang w:val="en"/>
          <w14:textFill>
            <w14:solidFill>
              <w14:schemeClr w14:val="tx1"/>
            </w14:solidFill>
          </w14:textFill>
        </w:rPr>
      </w:pPr>
    </w:p>
    <w:p w14:paraId="3244CADD">
      <w:pPr>
        <w:suppressAutoHyphens/>
        <w:adjustRightInd w:val="0"/>
        <w:snapToGrid w:val="0"/>
        <w:spacing w:line="360" w:lineRule="auto"/>
        <w:ind w:firstLine="640" w:firstLineChars="200"/>
        <w:rPr>
          <w:rFonts w:ascii="Times New Roman" w:hAnsi="Times New Roman" w:eastAsia="仿宋_GB2312" w:cs="Times New Roman"/>
          <w:color w:val="000000" w:themeColor="text1"/>
          <w:sz w:val="32"/>
          <w:highlight w:val="none"/>
          <w:lang w:val="en"/>
          <w14:textFill>
            <w14:solidFill>
              <w14:schemeClr w14:val="tx1"/>
            </w14:solidFill>
          </w14:textFill>
        </w:rPr>
      </w:pPr>
    </w:p>
    <w:p w14:paraId="4238F0C9">
      <w:pPr>
        <w:suppressAutoHyphens/>
        <w:adjustRightInd w:val="0"/>
        <w:snapToGrid w:val="0"/>
        <w:spacing w:line="360" w:lineRule="auto"/>
        <w:ind w:firstLine="640" w:firstLineChars="200"/>
        <w:rPr>
          <w:rFonts w:ascii="Times New Roman" w:hAnsi="Times New Roman" w:eastAsia="仿宋_GB2312" w:cs="Times New Roman"/>
          <w:color w:val="000000" w:themeColor="text1"/>
          <w:sz w:val="32"/>
          <w:highlight w:val="none"/>
          <w:lang w:val="en"/>
          <w14:textFill>
            <w14:solidFill>
              <w14:schemeClr w14:val="tx1"/>
            </w14:solidFill>
          </w14:textFill>
        </w:rPr>
      </w:pPr>
    </w:p>
    <w:p w14:paraId="279F4122">
      <w:pPr>
        <w:suppressAutoHyphens/>
        <w:adjustRightInd w:val="0"/>
        <w:snapToGrid w:val="0"/>
        <w:spacing w:line="360" w:lineRule="auto"/>
        <w:ind w:firstLine="640" w:firstLineChars="200"/>
        <w:rPr>
          <w:rFonts w:ascii="Times New Roman" w:hAnsi="Times New Roman" w:eastAsia="仿宋_GB2312" w:cs="Times New Roman"/>
          <w:color w:val="000000" w:themeColor="text1"/>
          <w:sz w:val="32"/>
          <w:highlight w:val="none"/>
          <w:lang w:val="en"/>
          <w14:textFill>
            <w14:solidFill>
              <w14:schemeClr w14:val="tx1"/>
            </w14:solidFill>
          </w14:textFill>
        </w:rPr>
      </w:pPr>
    </w:p>
    <w:p w14:paraId="27F266A6">
      <w:pPr>
        <w:widowControl/>
        <w:suppressAutoHyphens/>
        <w:adjustRightInd w:val="0"/>
        <w:snapToGrid w:val="0"/>
        <w:spacing w:line="360" w:lineRule="auto"/>
        <w:ind w:firstLine="0" w:firstLineChars="0"/>
        <w:jc w:val="cente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pPr>
      <w: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t>三明市“十五五”生态环境保护</w:t>
      </w:r>
      <w:r>
        <w:rPr>
          <w:rFonts w:hint="eastAsia" w:ascii="Times New Roman" w:hAnsi="Times New Roman" w:eastAsia="方正小标宋简体" w:cs="Times New Roman"/>
          <w:color w:val="000000" w:themeColor="text1"/>
          <w:kern w:val="0"/>
          <w:sz w:val="48"/>
          <w:szCs w:val="48"/>
          <w:highlight w:val="none"/>
          <w:lang w:eastAsia="zh-CN" w:bidi="ar"/>
          <w14:textFill>
            <w14:solidFill>
              <w14:schemeClr w14:val="tx1"/>
            </w14:solidFill>
          </w14:textFill>
        </w:rPr>
        <w:t>专项</w:t>
      </w:r>
      <w: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t>规划</w:t>
      </w:r>
    </w:p>
    <w:p w14:paraId="25571D34">
      <w:pPr>
        <w:widowControl/>
        <w:suppressAutoHyphens/>
        <w:adjustRightInd w:val="0"/>
        <w:snapToGrid w:val="0"/>
        <w:spacing w:line="360" w:lineRule="auto"/>
        <w:ind w:firstLine="0" w:firstLineChars="0"/>
        <w:jc w:val="center"/>
        <w:rPr>
          <w:rFonts w:ascii="Times New Roman" w:hAnsi="Times New Roman" w:eastAsia="方正小标宋简体" w:cs="Times New Roman"/>
          <w:b/>
          <w:bCs/>
          <w:color w:val="000000" w:themeColor="text1"/>
          <w:kern w:val="0"/>
          <w:sz w:val="48"/>
          <w:szCs w:val="48"/>
          <w:highlight w:val="none"/>
          <w:lang w:bidi="ar"/>
          <w14:textFill>
            <w14:solidFill>
              <w14:schemeClr w14:val="tx1"/>
            </w14:solidFill>
          </w14:textFill>
        </w:rPr>
      </w:pPr>
      <w:r>
        <w:rPr>
          <w:rFonts w:ascii="Times New Roman" w:hAnsi="Times New Roman" w:eastAsia="方正小标宋简体" w:cs="Times New Roman"/>
          <w:b/>
          <w:bCs/>
          <w:color w:val="000000" w:themeColor="text1"/>
          <w:kern w:val="0"/>
          <w:sz w:val="48"/>
          <w:szCs w:val="48"/>
          <w:highlight w:val="none"/>
          <w:lang w:bidi="ar"/>
          <w14:textFill>
            <w14:solidFill>
              <w14:schemeClr w14:val="tx1"/>
            </w14:solidFill>
          </w14:textFill>
        </w:rPr>
        <w:t>（征求意见稿）</w:t>
      </w:r>
    </w:p>
    <w:p w14:paraId="5B7A829E">
      <w:pPr>
        <w:widowControl/>
        <w:suppressAutoHyphens/>
        <w:adjustRightInd w:val="0"/>
        <w:snapToGrid w:val="0"/>
        <w:spacing w:line="360" w:lineRule="auto"/>
        <w:ind w:firstLine="0" w:firstLineChars="0"/>
        <w:jc w:val="cente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pPr>
    </w:p>
    <w:p w14:paraId="6F75FA58">
      <w:pPr>
        <w:widowControl/>
        <w:suppressAutoHyphens/>
        <w:adjustRightInd w:val="0"/>
        <w:snapToGrid w:val="0"/>
        <w:spacing w:line="360" w:lineRule="auto"/>
        <w:ind w:firstLine="0" w:firstLineChars="0"/>
        <w:jc w:val="cente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pPr>
    </w:p>
    <w:p w14:paraId="2CD6FFD4">
      <w:pPr>
        <w:widowControl/>
        <w:suppressAutoHyphens/>
        <w:adjustRightInd w:val="0"/>
        <w:snapToGrid w:val="0"/>
        <w:spacing w:line="360" w:lineRule="auto"/>
        <w:ind w:firstLine="0" w:firstLineChars="0"/>
        <w:jc w:val="cente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pPr>
    </w:p>
    <w:p w14:paraId="77026DA2">
      <w:pPr>
        <w:widowControl/>
        <w:suppressAutoHyphens/>
        <w:adjustRightInd w:val="0"/>
        <w:snapToGrid w:val="0"/>
        <w:spacing w:line="360" w:lineRule="auto"/>
        <w:ind w:firstLine="0" w:firstLineChars="0"/>
        <w:jc w:val="cente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pPr>
    </w:p>
    <w:p w14:paraId="2F7FE22F">
      <w:pPr>
        <w:widowControl/>
        <w:suppressAutoHyphens/>
        <w:adjustRightInd w:val="0"/>
        <w:snapToGrid w:val="0"/>
        <w:spacing w:line="360" w:lineRule="auto"/>
        <w:ind w:firstLine="0" w:firstLineChars="0"/>
        <w:jc w:val="cente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pPr>
    </w:p>
    <w:p w14:paraId="140CF671">
      <w:pPr>
        <w:widowControl/>
        <w:suppressAutoHyphens/>
        <w:adjustRightInd w:val="0"/>
        <w:snapToGrid w:val="0"/>
        <w:spacing w:line="360" w:lineRule="auto"/>
        <w:ind w:firstLine="0" w:firstLineChars="0"/>
        <w:jc w:val="cente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pPr>
    </w:p>
    <w:p w14:paraId="38C7FBE7">
      <w:pPr>
        <w:widowControl/>
        <w:suppressAutoHyphens/>
        <w:adjustRightInd w:val="0"/>
        <w:snapToGrid w:val="0"/>
        <w:spacing w:line="360" w:lineRule="auto"/>
        <w:ind w:firstLine="0" w:firstLineChars="0"/>
        <w:jc w:val="center"/>
        <w:rPr>
          <w:rFonts w:ascii="Times New Roman" w:hAnsi="Times New Roman" w:eastAsia="方正小标宋简体" w:cs="Times New Roman"/>
          <w:color w:val="000000" w:themeColor="text1"/>
          <w:kern w:val="0"/>
          <w:sz w:val="48"/>
          <w:szCs w:val="48"/>
          <w:highlight w:val="none"/>
          <w:lang w:bidi="ar"/>
          <w14:textFill>
            <w14:solidFill>
              <w14:schemeClr w14:val="tx1"/>
            </w14:solidFill>
          </w14:textFill>
        </w:rPr>
      </w:pPr>
    </w:p>
    <w:p w14:paraId="1816EB6B">
      <w:pPr>
        <w:widowControl w:val="0"/>
        <w:suppressAutoHyphens/>
        <w:adjustRightInd w:val="0"/>
        <w:snapToGrid w:val="0"/>
        <w:spacing w:after="0" w:line="360" w:lineRule="auto"/>
        <w:ind w:left="420" w:leftChars="200" w:firstLine="640" w:firstLineChars="200"/>
        <w:jc w:val="both"/>
        <w:rPr>
          <w:rFonts w:ascii="Times New Roman" w:hAnsi="Times New Roman" w:eastAsia="仿宋_GB2312" w:cs="Times New Roman"/>
          <w:color w:val="000000" w:themeColor="text1"/>
          <w:kern w:val="2"/>
          <w:sz w:val="32"/>
          <w:szCs w:val="24"/>
          <w:highlight w:val="none"/>
          <w:lang w:val="en-US" w:eastAsia="zh-CN" w:bidi="ar-SA"/>
          <w14:textFill>
            <w14:solidFill>
              <w14:schemeClr w14:val="tx1"/>
            </w14:solidFill>
          </w14:textFill>
        </w:rPr>
      </w:pPr>
    </w:p>
    <w:p w14:paraId="6BFDA48B">
      <w:pPr>
        <w:widowControl w:val="0"/>
        <w:suppressAutoHyphens/>
        <w:adjustRightInd w:val="0"/>
        <w:snapToGrid w:val="0"/>
        <w:spacing w:after="0" w:line="360" w:lineRule="auto"/>
        <w:ind w:left="420" w:leftChars="200" w:firstLine="640" w:firstLineChars="200"/>
        <w:jc w:val="both"/>
        <w:rPr>
          <w:rFonts w:ascii="Times New Roman" w:hAnsi="Times New Roman" w:eastAsia="仿宋_GB2312" w:cs="Times New Roman"/>
          <w:color w:val="000000" w:themeColor="text1"/>
          <w:kern w:val="2"/>
          <w:sz w:val="32"/>
          <w:szCs w:val="24"/>
          <w:highlight w:val="none"/>
          <w:lang w:val="en-US" w:eastAsia="zh-CN" w:bidi="ar-SA"/>
          <w14:textFill>
            <w14:solidFill>
              <w14:schemeClr w14:val="tx1"/>
            </w14:solidFill>
          </w14:textFill>
        </w:rPr>
      </w:pPr>
    </w:p>
    <w:p w14:paraId="5FAAA65E">
      <w:pPr>
        <w:suppressAutoHyphens/>
        <w:adjustRightInd w:val="0"/>
        <w:snapToGrid w:val="0"/>
        <w:spacing w:line="360" w:lineRule="auto"/>
        <w:ind w:firstLine="640" w:firstLineChars="200"/>
        <w:rPr>
          <w:rFonts w:ascii="Times New Roman" w:hAnsi="Times New Roman" w:eastAsia="仿宋_GB2312" w:cs="Times New Roman"/>
          <w:color w:val="000000" w:themeColor="text1"/>
          <w:sz w:val="32"/>
          <w:highlight w:val="none"/>
          <w14:textFill>
            <w14:solidFill>
              <w14:schemeClr w14:val="tx1"/>
            </w14:solidFill>
          </w14:textFill>
        </w:rPr>
      </w:pPr>
    </w:p>
    <w:p w14:paraId="39768F08">
      <w:pPr>
        <w:widowControl w:val="0"/>
        <w:suppressAutoHyphens/>
        <w:adjustRightInd w:val="0"/>
        <w:snapToGrid w:val="0"/>
        <w:spacing w:after="0" w:line="360" w:lineRule="auto"/>
        <w:ind w:left="0" w:leftChars="0" w:firstLine="0" w:firstLineChars="0"/>
        <w:jc w:val="center"/>
        <w:rPr>
          <w:rFonts w:ascii="Times New Roman" w:hAnsi="Times New Roman" w:eastAsia="楷体_GB2312" w:cs="Times New Roman"/>
          <w:color w:val="000000" w:themeColor="text1"/>
          <w:kern w:val="2"/>
          <w:sz w:val="32"/>
          <w:szCs w:val="24"/>
          <w:highlight w:val="none"/>
          <w:lang w:val="en-US" w:eastAsia="zh-CN" w:bidi="ar-SA"/>
          <w14:textFill>
            <w14:solidFill>
              <w14:schemeClr w14:val="tx1"/>
            </w14:solidFill>
          </w14:textFill>
        </w:rPr>
      </w:pPr>
      <w:r>
        <w:rPr>
          <w:rFonts w:ascii="Times New Roman" w:hAnsi="Times New Roman" w:eastAsia="楷体_GB2312" w:cs="Times New Roman"/>
          <w:color w:val="000000" w:themeColor="text1"/>
          <w:kern w:val="2"/>
          <w:sz w:val="32"/>
          <w:szCs w:val="24"/>
          <w:highlight w:val="none"/>
          <w:lang w:val="en-US" w:eastAsia="zh-CN" w:bidi="ar-SA"/>
          <w14:textFill>
            <w14:solidFill>
              <w14:schemeClr w14:val="tx1"/>
            </w14:solidFill>
          </w14:textFill>
        </w:rPr>
        <w:t>2026年</w:t>
      </w:r>
      <w:r>
        <w:rPr>
          <w:rFonts w:hint="eastAsia" w:ascii="Times New Roman" w:hAnsi="Times New Roman" w:eastAsia="楷体_GB2312" w:cs="Times New Roman"/>
          <w:color w:val="000000" w:themeColor="text1"/>
          <w:kern w:val="2"/>
          <w:sz w:val="32"/>
          <w:szCs w:val="24"/>
          <w:highlight w:val="none"/>
          <w:lang w:val="en-US" w:eastAsia="zh-CN" w:bidi="ar-SA"/>
          <w14:textFill>
            <w14:solidFill>
              <w14:schemeClr w14:val="tx1"/>
            </w14:solidFill>
          </w14:textFill>
        </w:rPr>
        <w:t>6</w:t>
      </w:r>
      <w:r>
        <w:rPr>
          <w:rFonts w:ascii="Times New Roman" w:hAnsi="Times New Roman" w:eastAsia="楷体_GB2312" w:cs="Times New Roman"/>
          <w:color w:val="000000" w:themeColor="text1"/>
          <w:kern w:val="2"/>
          <w:sz w:val="32"/>
          <w:szCs w:val="24"/>
          <w:highlight w:val="none"/>
          <w:lang w:val="en-US" w:eastAsia="zh-CN" w:bidi="ar-SA"/>
          <w14:textFill>
            <w14:solidFill>
              <w14:schemeClr w14:val="tx1"/>
            </w14:solidFill>
          </w14:textFill>
        </w:rPr>
        <w:t>月</w:t>
      </w:r>
    </w:p>
    <w:p w14:paraId="36617884">
      <w:pPr>
        <w:rPr>
          <w:color w:val="000000" w:themeColor="text1"/>
          <w:highlight w:val="none"/>
          <w14:textFill>
            <w14:solidFill>
              <w14:schemeClr w14:val="tx1"/>
            </w14:solidFill>
          </w14:textFill>
        </w:rPr>
      </w:pPr>
    </w:p>
    <w:p w14:paraId="421BC0C3">
      <w:pPr>
        <w:rPr>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sdt>
      <w:sdtPr>
        <w:rPr>
          <w:rFonts w:hint="eastAsia" w:ascii="黑体" w:hAnsi="黑体" w:eastAsia="黑体" w:cs="黑体"/>
          <w:b/>
          <w:bCs/>
          <w:color w:val="000000" w:themeColor="text1"/>
          <w:kern w:val="2"/>
          <w:sz w:val="36"/>
          <w:szCs w:val="28"/>
          <w:highlight w:val="none"/>
          <w:lang w:val="en-US" w:eastAsia="zh-CN" w:bidi="ar-SA"/>
          <w14:textFill>
            <w14:solidFill>
              <w14:schemeClr w14:val="tx1"/>
            </w14:solidFill>
          </w14:textFill>
        </w:rPr>
        <w:id w:val="759640166"/>
        <w15:color w:val="DBDBDB"/>
        <w:docPartObj>
          <w:docPartGallery w:val="Table of Contents"/>
          <w:docPartUnique/>
        </w:docPartObj>
      </w:sdtPr>
      <w:sdtEndPr>
        <w:rPr>
          <w:rFonts w:hint="eastAsia" w:ascii="Calibri" w:hAnsi="Calibri" w:eastAsia="宋体" w:cs="Times New Roman"/>
          <w:b/>
          <w:bCs/>
          <w:color w:val="000000" w:themeColor="text1"/>
          <w:kern w:val="2"/>
          <w:sz w:val="21"/>
          <w:szCs w:val="24"/>
          <w:highlight w:val="none"/>
          <w:lang w:val="en-US" w:eastAsia="zh-CN" w:bidi="ar-SA"/>
          <w14:textFill>
            <w14:solidFill>
              <w14:schemeClr w14:val="tx1"/>
            </w14:solidFill>
          </w14:textFill>
        </w:rPr>
      </w:sdtEndPr>
      <w:sdtContent>
        <w:p w14:paraId="1756C7B6">
          <w:pPr>
            <w:keepNext w:val="0"/>
            <w:keepLines w:val="0"/>
            <w:pageBreakBefore w:val="0"/>
            <w:widowControl w:val="0"/>
            <w:suppressAutoHyphens/>
            <w:kinsoku/>
            <w:wordWrap/>
            <w:overflowPunct/>
            <w:topLinePunct w:val="0"/>
            <w:autoSpaceDE/>
            <w:autoSpaceDN/>
            <w:bidi w:val="0"/>
            <w:adjustRightInd w:val="0"/>
            <w:snapToGrid w:val="0"/>
            <w:spacing w:after="0" w:line="480" w:lineRule="auto"/>
            <w:ind w:left="0" w:leftChars="0" w:firstLine="0" w:firstLineChars="0"/>
            <w:jc w:val="center"/>
            <w:textAlignment w:val="auto"/>
            <w:rPr>
              <w:rFonts w:hint="eastAsia" w:ascii="黑体" w:hAnsi="黑体" w:eastAsia="黑体" w:cs="黑体"/>
              <w:b/>
              <w:bCs/>
              <w:color w:val="000000" w:themeColor="text1"/>
              <w:kern w:val="2"/>
              <w:sz w:val="36"/>
              <w:szCs w:val="28"/>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36"/>
              <w:szCs w:val="28"/>
              <w:highlight w:val="none"/>
              <w:lang w:val="en-US" w:eastAsia="zh-CN" w:bidi="ar-SA"/>
              <w14:textFill>
                <w14:solidFill>
                  <w14:schemeClr w14:val="tx1"/>
                </w14:solidFill>
              </w14:textFill>
            </w:rPr>
            <w:t>目  录</w:t>
          </w:r>
        </w:p>
        <w:p w14:paraId="490B6579">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TOC \o "1-2" \h \u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_Toc1400584312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一、 总体要求</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_Toc1400584312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1</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3093C205">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_Toc1127860334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二、 念好新时代山海经，推动区域协调联动绿色低碳发展</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_Toc1127860334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3</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17EC6CCF">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_Toc379811966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三、 巩固绿水青山优势，绘就多样稳定持续美丽山川画卷</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_Toc379811966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6</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5A133B51">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_Toc831605959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四、 深化闽江源头治理，打造水清岸绿美丽河湖先行样板</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_Toc831605959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9</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6CE646C6">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_Toc114398482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五、 践行人民城市理念，打造宜居宜业美丽城市先行样板</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_Toc114398482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11</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6EADCA9C">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_Toc1425400470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六、 强化乡村全面振兴，打造革命老区美丽乡村先行样板</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_Toc1425400470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13</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0DC4F0B8">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_Toc1060072540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七、 加速智改数转步伐，打造集约循环美丽园区先行样板</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_Toc1060072540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15</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610C464E">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_Toc152885792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八、 筑牢美丽安全底线，树立韧性健康和谐生态安全典范</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_Toc152885792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17</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7DD724A7">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_Toc1463518090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九、 深化生态文明改革，构建美丽三明生态治理共治格局</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_Toc1463518090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19</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557ECC1A">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_Toc718297116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lang w:val="en-US" w:eastAsia="zh-CN"/>
              <w14:textFill>
                <w14:solidFill>
                  <w14:schemeClr w14:val="tx1"/>
                </w14:solidFill>
              </w14:textFill>
            </w:rPr>
            <w:t>十、 规划实施保障</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_Toc718297116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22</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40F8669A">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_Toc690874050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kern w:val="44"/>
              <w:szCs w:val="24"/>
              <w:highlight w:val="none"/>
              <w:lang w:val="en" w:eastAsia="zh-CN" w:bidi="ar-SA"/>
              <w14:textFill>
                <w14:solidFill>
                  <w14:schemeClr w14:val="tx1"/>
                </w14:solidFill>
              </w14:textFill>
            </w:rPr>
            <w:t>附表</w:t>
          </w:r>
          <w:r>
            <w:rPr>
              <w:rFonts w:hint="eastAsia" w:ascii="黑体" w:hAnsi="黑体" w:eastAsia="黑体" w:cs="黑体"/>
              <w:color w:val="000000" w:themeColor="text1"/>
              <w:kern w:val="44"/>
              <w:szCs w:val="24"/>
              <w:highlight w:val="none"/>
              <w:lang w:val="en-US" w:eastAsia="zh-CN" w:bidi="ar-SA"/>
              <w14:textFill>
                <w14:solidFill>
                  <w14:schemeClr w14:val="tx1"/>
                </w14:solidFill>
              </w14:textFill>
            </w:rPr>
            <w:t xml:space="preserve">1 </w:t>
          </w:r>
          <w:r>
            <w:rPr>
              <w:rFonts w:hint="eastAsia" w:ascii="黑体" w:hAnsi="黑体" w:eastAsia="黑体" w:cs="黑体"/>
              <w:color w:val="000000" w:themeColor="text1"/>
              <w:kern w:val="44"/>
              <w:szCs w:val="24"/>
              <w:highlight w:val="none"/>
              <w:lang w:val="en" w:eastAsia="zh-CN" w:bidi="ar-SA"/>
              <w14:textFill>
                <w14:solidFill>
                  <w14:schemeClr w14:val="tx1"/>
                </w14:solidFill>
              </w14:textFill>
            </w:rPr>
            <w:t>三明市“十五五”生态环境保护专项规划主要指标</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_Toc690874050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23</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72EE7609">
          <w:pPr>
            <w:pStyle w:val="10"/>
            <w:tabs>
              <w:tab w:val="right" w:leader="dot" w:pos="8306"/>
            </w:tabs>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HYPERLINK \l _Toc594090024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kern w:val="44"/>
              <w:szCs w:val="24"/>
              <w:highlight w:val="none"/>
              <w:lang w:val="en" w:eastAsia="zh-CN" w:bidi="ar-SA"/>
              <w14:textFill>
                <w14:solidFill>
                  <w14:schemeClr w14:val="tx1"/>
                </w14:solidFill>
              </w14:textFill>
            </w:rPr>
            <w:t>附表</w:t>
          </w:r>
          <w:r>
            <w:rPr>
              <w:rFonts w:hint="eastAsia" w:ascii="黑体" w:hAnsi="黑体" w:eastAsia="黑体" w:cs="黑体"/>
              <w:color w:val="000000" w:themeColor="text1"/>
              <w:kern w:val="44"/>
              <w:szCs w:val="24"/>
              <w:highlight w:val="none"/>
              <w:lang w:val="en-US" w:eastAsia="zh-CN" w:bidi="ar-SA"/>
              <w14:textFill>
                <w14:solidFill>
                  <w14:schemeClr w14:val="tx1"/>
                </w14:solidFill>
              </w14:textFill>
            </w:rPr>
            <w:t>2 三明市推进“美丽三明”建设计划表</w:t>
          </w:r>
          <w:r>
            <w:rPr>
              <w:rFonts w:hint="eastAsia" w:ascii="黑体" w:hAnsi="黑体" w:eastAsia="黑体" w:cs="黑体"/>
              <w:color w:val="000000" w:themeColor="text1"/>
              <w:highlight w:val="none"/>
              <w14:textFill>
                <w14:solidFill>
                  <w14:schemeClr w14:val="tx1"/>
                </w14:solidFill>
              </w14:textFill>
            </w:rPr>
            <w:tab/>
          </w:r>
          <w:r>
            <w:rPr>
              <w:rFonts w:hint="eastAsia" w:ascii="黑体" w:hAnsi="黑体" w:eastAsia="黑体" w:cs="黑体"/>
              <w:color w:val="000000" w:themeColor="text1"/>
              <w:highlight w:val="none"/>
              <w14:textFill>
                <w14:solidFill>
                  <w14:schemeClr w14:val="tx1"/>
                </w14:solidFill>
              </w14:textFill>
            </w:rPr>
            <w:fldChar w:fldCharType="begin"/>
          </w:r>
          <w:r>
            <w:rPr>
              <w:rFonts w:hint="eastAsia" w:ascii="黑体" w:hAnsi="黑体" w:eastAsia="黑体" w:cs="黑体"/>
              <w:color w:val="000000" w:themeColor="text1"/>
              <w:highlight w:val="none"/>
              <w14:textFill>
                <w14:solidFill>
                  <w14:schemeClr w14:val="tx1"/>
                </w14:solidFill>
              </w14:textFill>
            </w:rPr>
            <w:instrText xml:space="preserve"> PAGEREF _Toc594090024 \h </w:instrText>
          </w:r>
          <w:r>
            <w:rPr>
              <w:rFonts w:hint="eastAsia" w:ascii="黑体" w:hAnsi="黑体" w:eastAsia="黑体" w:cs="黑体"/>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highlight w:val="none"/>
              <w14:textFill>
                <w14:solidFill>
                  <w14:schemeClr w14:val="tx1"/>
                </w14:solidFill>
              </w14:textFill>
            </w:rPr>
            <w:t>25</w:t>
          </w:r>
          <w:r>
            <w:rPr>
              <w:rFonts w:hint="eastAsia" w:ascii="黑体" w:hAnsi="黑体" w:eastAsia="黑体" w:cs="黑体"/>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highlight w:val="none"/>
              <w14:textFill>
                <w14:solidFill>
                  <w14:schemeClr w14:val="tx1"/>
                </w14:solidFill>
              </w14:textFill>
            </w:rPr>
            <w:fldChar w:fldCharType="end"/>
          </w:r>
        </w:p>
        <w:p w14:paraId="57F294B0">
          <w:pPr>
            <w:keepNext w:val="0"/>
            <w:keepLines w:val="0"/>
            <w:pageBreakBefore w:val="0"/>
            <w:widowControl w:val="0"/>
            <w:kinsoku/>
            <w:wordWrap/>
            <w:overflowPunct/>
            <w:topLinePunct w:val="0"/>
            <w:autoSpaceDE/>
            <w:autoSpaceDN/>
            <w:bidi w:val="0"/>
            <w:spacing w:line="480" w:lineRule="auto"/>
            <w:textAlignment w:val="auto"/>
            <w:rPr>
              <w:rFonts w:ascii="Calibri" w:hAnsi="Calibri"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fldChar w:fldCharType="end"/>
          </w:r>
        </w:p>
      </w:sdtContent>
    </w:sdt>
    <w:p w14:paraId="721F4849">
      <w:pPr>
        <w:rPr>
          <w:rFonts w:ascii="Calibri" w:hAnsi="Calibri" w:eastAsia="宋体" w:cs="Times New Roman"/>
          <w:color w:val="000000" w:themeColor="text1"/>
          <w:kern w:val="2"/>
          <w:sz w:val="21"/>
          <w:szCs w:val="24"/>
          <w:highlight w:val="none"/>
          <w:lang w:val="en-US" w:eastAsia="zh-CN" w:bidi="ar-SA"/>
          <w14:textFill>
            <w14:solidFill>
              <w14:schemeClr w14:val="tx1"/>
            </w14:solidFill>
          </w14:textFill>
        </w:rPr>
      </w:pPr>
    </w:p>
    <w:p w14:paraId="35C1CD33">
      <w:pPr>
        <w:rPr>
          <w:color w:val="000000" w:themeColor="text1"/>
          <w:highlight w:val="none"/>
          <w14:textFill>
            <w14:solidFill>
              <w14:schemeClr w14:val="tx1"/>
            </w14:solidFill>
          </w14:textFill>
        </w:rPr>
      </w:pPr>
    </w:p>
    <w:p w14:paraId="3089FA0F">
      <w:pPr>
        <w:rPr>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43BADFBC">
      <w:pPr>
        <w:suppressAutoHyphens/>
        <w:adjustRightInd w:val="0"/>
        <w:snapToGrid w:val="0"/>
        <w:spacing w:line="360" w:lineRule="auto"/>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highlight w:val="none"/>
          <w14:textFill>
            <w14:solidFill>
              <w14:schemeClr w14:val="tx1"/>
            </w14:solidFill>
          </w14:textFill>
        </w:rPr>
        <w:t>“十四五”</w:t>
      </w:r>
      <w:r>
        <w:rPr>
          <w:rFonts w:hint="eastAsia" w:ascii="Times New Roman" w:hAnsi="Times New Roman" w:eastAsia="仿宋_GB2312" w:cs="Times New Roman"/>
          <w:color w:val="000000" w:themeColor="text1"/>
          <w:sz w:val="32"/>
          <w:highlight w:val="none"/>
          <w:lang w:eastAsia="zh"/>
          <w14:textFill>
            <w14:solidFill>
              <w14:schemeClr w14:val="tx1"/>
            </w14:solidFill>
          </w14:textFill>
        </w:rPr>
        <w:t>时期</w:t>
      </w:r>
      <w:r>
        <w:rPr>
          <w:rFonts w:hint="eastAsia" w:ascii="Times New Roman" w:hAnsi="Times New Roman" w:eastAsia="仿宋_GB2312" w:cs="Times New Roman"/>
          <w:color w:val="000000" w:themeColor="text1"/>
          <w:sz w:val="32"/>
          <w:highlight w:val="none"/>
          <w14:textFill>
            <w14:solidFill>
              <w14:schemeClr w14:val="tx1"/>
            </w14:solidFill>
          </w14:textFill>
        </w:rPr>
        <w:t>，</w:t>
      </w:r>
      <w:r>
        <w:rPr>
          <w:rFonts w:hint="eastAsia" w:ascii="Times New Roman" w:hAnsi="Times New Roman" w:eastAsia="仿宋_GB2312" w:cs="Times New Roman"/>
          <w:color w:val="000000" w:themeColor="text1"/>
          <w:sz w:val="32"/>
          <w:highlight w:val="none"/>
          <w:lang w:eastAsia="zh"/>
          <w14:textFill>
            <w14:solidFill>
              <w14:schemeClr w14:val="tx1"/>
            </w14:solidFill>
          </w14:textFill>
        </w:rPr>
        <w:t>我市扎实推进革命老区高质量发展示范区建设，连续四年位列“中国绿都”综合评价榜首，</w:t>
      </w:r>
      <w:r>
        <w:rPr>
          <w:rFonts w:hint="eastAsia" w:ascii="仿宋_GB2312" w:hAnsi="仿宋_GB2312" w:eastAsia="仿宋_GB2312" w:cs="仿宋_GB2312"/>
          <w:color w:val="000000" w:themeColor="text1"/>
          <w:sz w:val="32"/>
          <w:szCs w:val="32"/>
          <w:highlight w:val="none"/>
          <w14:textFill>
            <w14:solidFill>
              <w14:schemeClr w14:val="tx1"/>
            </w14:solidFill>
          </w14:textFill>
        </w:rPr>
        <w:t>全市生态环境质量持续保持优良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。“十五五”时期是三明市深入贯彻落实习近平生态文明思想，全面推进生态文明建设、实现高质量发展的关键时期，根据《三明市国民经济和社会发展第十五个五年规划纲要》《福建省“十五五”生态省建设暨</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生态环境保护规划</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》及有关法律法规要求，制定本规划。规划时限为2026-2030年。</w:t>
      </w:r>
    </w:p>
    <w:p w14:paraId="2BE7178C">
      <w:pPr>
        <w:pStyle w:val="4"/>
        <w:numPr>
          <w:ilvl w:val="0"/>
          <w:numId w:val="1"/>
        </w:numPr>
        <w:suppressAutoHyphens/>
        <w:adjustRightInd w:val="0"/>
        <w:snapToGrid w:val="0"/>
        <w:spacing w:before="0" w:beforeLines="0" w:after="0" w:afterLines="0" w:line="360" w:lineRule="auto"/>
        <w:jc w:val="both"/>
        <w:rPr>
          <w:rFonts w:hint="eastAsia" w:ascii="Times New Roman" w:hAnsi="Times New Roman" w:cs="Times New Roman"/>
          <w:color w:val="000000" w:themeColor="text1"/>
          <w:highlight w:val="none"/>
          <w:lang w:val="en-US" w:eastAsia="zh-CN"/>
          <w14:textFill>
            <w14:solidFill>
              <w14:schemeClr w14:val="tx1"/>
            </w14:solidFill>
          </w14:textFill>
        </w:rPr>
      </w:pPr>
      <w:bookmarkStart w:id="0" w:name="_Toc1400584312"/>
      <w:r>
        <w:rPr>
          <w:rFonts w:hint="eastAsia" w:ascii="Times New Roman" w:hAnsi="Times New Roman" w:cs="Times New Roman"/>
          <w:color w:val="000000" w:themeColor="text1"/>
          <w:highlight w:val="none"/>
          <w:lang w:val="en-US" w:eastAsia="zh-CN"/>
          <w14:textFill>
            <w14:solidFill>
              <w14:schemeClr w14:val="tx1"/>
            </w14:solidFill>
          </w14:textFill>
        </w:rPr>
        <w:t>总体要求</w:t>
      </w:r>
      <w:bookmarkEnd w:id="0"/>
    </w:p>
    <w:p w14:paraId="10570D99">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坚持以习近平新时代中国特色社会主义思想为指导，深入践行习近平生态文明思想，全面落实党的二十大及二十届历次全会部署和习近平总书记对福建工作重要指示批示精神。立足山区特色和生态优势，持续巩固优良生态本底，加快绿色低碳转型，夯实美丽细胞建设、筑牢生态安全屏障、深化体制机制创新，奋力谱写山川秀美、城乡共美、人与自然和谐共生的美丽中国建设三明篇。</w:t>
      </w:r>
    </w:p>
    <w:p w14:paraId="54A47F15">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到2030年，重点领域绿色低碳转型深入推进，碳达峰目标如期实现，碳排放强度明显下降，主要污染物排放总量持续减少，生态环境质量保持全省前列，生态系统多样性、稳定性、持续性不断提升，优质生态产品供给更加丰富，绿色生产生活方式广泛形成，美丽三明基本建成。</w:t>
      </w:r>
    </w:p>
    <w:p w14:paraId="5D2D7FA8">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展望2035年，生态文明全面提升，能源和水资源利用效率达到国际先进水平，绿色发展方式和生活方式全面形成，碳排放达峰后稳中有降，重点领域基本实现深度脱碳，国土空间开发保护新格局全面形成，生态环境健康优美，美好生活品质全民普惠共享，生态环境治理体系和治理能力现代化水平进一步提升，美丽三明全面建成。</w:t>
      </w:r>
    </w:p>
    <w:p w14:paraId="22F1E03C">
      <w:pPr>
        <w:pStyle w:val="4"/>
        <w:numPr>
          <w:ilvl w:val="0"/>
          <w:numId w:val="1"/>
        </w:numPr>
        <w:suppressAutoHyphens/>
        <w:adjustRightInd w:val="0"/>
        <w:snapToGrid w:val="0"/>
        <w:spacing w:before="0" w:beforeLines="0" w:after="0" w:afterLines="0" w:line="360" w:lineRule="auto"/>
        <w:jc w:val="center"/>
        <w:rPr>
          <w:rFonts w:hint="eastAsia" w:ascii="Times New Roman" w:hAnsi="Times New Roman" w:cs="Times New Roman"/>
          <w:color w:val="000000" w:themeColor="text1"/>
          <w:highlight w:val="none"/>
          <w:lang w:val="en-US" w:eastAsia="zh-CN"/>
          <w14:textFill>
            <w14:solidFill>
              <w14:schemeClr w14:val="tx1"/>
            </w14:solidFill>
          </w14:textFill>
        </w:rPr>
      </w:pPr>
      <w:bookmarkStart w:id="1" w:name="_Toc1127860334"/>
      <w:r>
        <w:rPr>
          <w:rFonts w:hint="eastAsia" w:ascii="Times New Roman" w:hAnsi="Times New Roman" w:cs="Times New Roman"/>
          <w:color w:val="000000" w:themeColor="text1"/>
          <w:highlight w:val="none"/>
          <w:lang w:val="en-US" w:eastAsia="zh-CN"/>
          <w14:textFill>
            <w14:solidFill>
              <w14:schemeClr w14:val="tx1"/>
            </w14:solidFill>
          </w14:textFill>
        </w:rPr>
        <w:t>念好新时代山海经，推动区域协调联动绿色低碳发展</w:t>
      </w:r>
      <w:bookmarkEnd w:id="1"/>
    </w:p>
    <w:p w14:paraId="5E06CB6C">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Cs/>
          <w:color w:val="000000" w:themeColor="text1"/>
          <w:sz w:val="32"/>
          <w:szCs w:val="31"/>
          <w:highlight w:val="none"/>
          <w:lang w:val="en" w:eastAsia="zh-CN"/>
          <w14:textFill>
            <w14:solidFill>
              <w14:schemeClr w14:val="tx1"/>
            </w14:solidFill>
          </w14:textFill>
        </w:rPr>
      </w:pPr>
      <w:r>
        <w:rPr>
          <w:rFonts w:hint="eastAsia" w:ascii="Times New Roman" w:hAnsi="Times New Roman" w:eastAsia="仿宋_GB2312" w:cs="Times New Roman"/>
          <w:bCs/>
          <w:color w:val="000000" w:themeColor="text1"/>
          <w:sz w:val="32"/>
          <w:szCs w:val="31"/>
          <w:highlight w:val="none"/>
          <w:lang w:val="en" w:eastAsia="zh-CN"/>
          <w14:textFill>
            <w14:solidFill>
              <w14:schemeClr w14:val="tx1"/>
            </w14:solidFill>
          </w14:textFill>
        </w:rPr>
        <w:t>传承弘扬、创新发展，统筹推进产业绿色转型、能源清洁替代、交通低碳升级与减污降碳协同增效，构建差异化管控、集约化发展、低碳化转型的绿色发展新格局。</w:t>
      </w:r>
    </w:p>
    <w:p w14:paraId="69044A77">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lang w:val="en"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 w:eastAsia="zh-CN"/>
          <w14:textFill>
            <w14:solidFill>
              <w14:schemeClr w14:val="tx1"/>
            </w14:solidFill>
          </w14:textFill>
        </w:rPr>
        <w:t>（一）构建差异化生态环境分区管控体系。</w:t>
      </w:r>
      <w:r>
        <w:rPr>
          <w:rFonts w:hint="eastAsia" w:ascii="Times New Roman" w:hAnsi="Times New Roman" w:eastAsia="仿宋_GB2312" w:cs="Times New Roman"/>
          <w:bCs/>
          <w:color w:val="000000" w:themeColor="text1"/>
          <w:sz w:val="32"/>
          <w:szCs w:val="31"/>
          <w:highlight w:val="none"/>
          <w:lang w:val="en" w:eastAsia="zh-CN"/>
          <w14:textFill>
            <w14:solidFill>
              <w14:schemeClr w14:val="tx1"/>
            </w14:solidFill>
          </w14:textFill>
        </w:rPr>
        <w:t>动态衔接经济社会发展规划和国土空间规划，推进生态环境分区管控方案的动态更新和定期调整。聚焦生态环境质量改善压力较大、问题隐患突出的区域，实施分区域、差异化精准管控。主动对接省级生态环境分区管控应用平台，实现数据、成果上下贯通、同步归集。</w:t>
      </w:r>
    </w:p>
    <w:p w14:paraId="7AA69211">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lang w:val="en"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 w:eastAsia="zh-CN"/>
          <w14:textFill>
            <w14:solidFill>
              <w14:schemeClr w14:val="tx1"/>
            </w14:solidFill>
          </w14:textFill>
        </w:rPr>
        <w:t>（二）加快产业绿色低碳转型。</w:t>
      </w:r>
      <w:r>
        <w:rPr>
          <w:rFonts w:hint="eastAsia" w:ascii="Times New Roman" w:hAnsi="Times New Roman" w:eastAsia="仿宋_GB2312" w:cs="Times New Roman"/>
          <w:bCs/>
          <w:color w:val="000000" w:themeColor="text1"/>
          <w:sz w:val="32"/>
          <w:szCs w:val="31"/>
          <w:highlight w:val="none"/>
          <w:lang w:val="en" w:eastAsia="zh-CN"/>
          <w14:textFill>
            <w14:solidFill>
              <w14:schemeClr w14:val="tx1"/>
            </w14:solidFill>
          </w14:textFill>
        </w:rPr>
        <w:t>实施传统产业及重点行业清洁生产与能效提升行动，持续推进水泥超低排放改造，深化钢铁、水泥、铸造等行业领域大气污染综合治理，有序推进园区集中供热和清洁能源替代，加强大气污染防治联防联控。壮大新材料、生物医药、未来交通等新兴产业，以数字化赋能制造业降碳增效。深化绿色制造体系建设，创建绿色工厂、绿色园区，推进碳达峰试点示范，打造民营经济绿色低碳转型标杆。</w:t>
      </w:r>
    </w:p>
    <w:p w14:paraId="0ADFC62C">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 w:eastAsia="zh-CN"/>
          <w14:textFill>
            <w14:solidFill>
              <w14:schemeClr w14:val="tx1"/>
            </w14:solidFill>
          </w14:textFill>
        </w:rPr>
        <w:t>（三）构建清洁低碳能源体系。</w:t>
      </w:r>
      <w:r>
        <w:rPr>
          <w:rFonts w:hint="eastAsia" w:ascii="Times New Roman" w:hAnsi="Times New Roman" w:eastAsia="仿宋_GB2312" w:cs="Times New Roman"/>
          <w:bCs/>
          <w:color w:val="000000" w:themeColor="text1"/>
          <w:sz w:val="32"/>
          <w:szCs w:val="31"/>
          <w:highlight w:val="none"/>
          <w:lang w:val="en" w:eastAsia="zh-CN"/>
          <w14:textFill>
            <w14:solidFill>
              <w14:schemeClr w14:val="tx1"/>
            </w14:solidFill>
          </w14:textFill>
        </w:rPr>
        <w:t>优化能源供给结构，提升风光水储氢多元供给能力，科学布局抽水蓄能电站建设。坚持光水氢等多能并举，探索“光水氢储”一体化发展。全面推广节能降碳技术、完善多能互补能源调度与智能电网体系；深化能源市场化改革，健全能耗双控向碳排放双控转型机制，引导企业参与碳交易与绿电交易。</w:t>
      </w:r>
      <w:r>
        <w:rPr>
          <w:rFonts w:hint="eastAsia"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到2030年，非化石能源消费比重达20%以上。</w:t>
      </w:r>
    </w:p>
    <w:p w14:paraId="39A47E95">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eastAsia" w:ascii="Times New Roman" w:hAnsi="Times New Roman" w:eastAsia="仿宋_GB2312"/>
          <w:bCs/>
          <w:color w:val="000000" w:themeColor="text1"/>
          <w:sz w:val="32"/>
          <w:szCs w:val="31"/>
          <w:highlight w:val="none"/>
          <w:lang w:val="e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 w:eastAsia="zh-CN"/>
          <w14:textFill>
            <w14:solidFill>
              <w14:schemeClr w14:val="tx1"/>
            </w14:solidFill>
          </w14:textFill>
        </w:rPr>
        <w:t>（四）打造绿色交通运输体系。</w:t>
      </w:r>
      <w:r>
        <w:rPr>
          <w:rFonts w:hint="eastAsia" w:ascii="Times New Roman" w:hAnsi="Times New Roman" w:eastAsia="仿宋_GB2312"/>
          <w:bCs/>
          <w:color w:val="000000" w:themeColor="text1"/>
          <w:sz w:val="32"/>
          <w:szCs w:val="31"/>
          <w:highlight w:val="none"/>
          <w:lang w:val="en"/>
          <w14:textFill>
            <w14:solidFill>
              <w14:schemeClr w14:val="tx1"/>
            </w14:solidFill>
          </w14:textFill>
        </w:rPr>
        <w:t>深化交通运输结构调整，大力发展多式联运，推广客货邮融合模式，推动物流降本增效。打造绿色交通基础设施，建设一批低碳（近零碳）车站、码头及高速公路服务区。推广低碳交通运输工具，有序布局建设充（换）电站、加氢（醇）站、岸电等配套设施，持续扩大新能源车辆、船舶应用规模。加快推进三明港尤溪港区西滨作业区、三明港尤溪港区雍口作业区等项目建设。</w:t>
      </w:r>
    </w:p>
    <w:p w14:paraId="4CEBB3C9">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lang w:val="en"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 w:eastAsia="zh-CN"/>
          <w14:textFill>
            <w14:solidFill>
              <w14:schemeClr w14:val="tx1"/>
            </w14:solidFill>
          </w14:textFill>
        </w:rPr>
        <w:t>（五）稳妥推进和实现碳达峰。</w:t>
      </w:r>
      <w:r>
        <w:rPr>
          <w:rFonts w:hint="eastAsia" w:ascii="Times New Roman" w:hAnsi="Times New Roman" w:eastAsia="仿宋_GB2312"/>
          <w:bCs/>
          <w:color w:val="000000" w:themeColor="text1"/>
          <w:sz w:val="32"/>
          <w:szCs w:val="31"/>
          <w:highlight w:val="none"/>
          <w:lang w:val="en"/>
          <w14:textFill>
            <w14:solidFill>
              <w14:schemeClr w14:val="tx1"/>
            </w14:solidFill>
          </w14:textFill>
        </w:rPr>
        <w:t>健全碳排放管控机制，明确钢铁、化工、建材等重点行业达峰路径，加强碳排放智慧监管。大力提升森林、湿地等碳汇能力，推进森林“四库”联动试点，完善碳票+等模式，推进林业碳汇开发、核证、交易与质押融资。强化绿色金融支持，巩固拓展省级绿色金融改革试验区成果。</w:t>
      </w:r>
    </w:p>
    <w:tbl>
      <w:tblPr>
        <w:tblStyle w:val="1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69A5C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062" w:type="dxa"/>
            <w:vAlign w:val="center"/>
          </w:tcPr>
          <w:p w14:paraId="235DB8A2">
            <w:pPr>
              <w:keepNext/>
              <w:tabs>
                <w:tab w:val="left" w:pos="7680"/>
              </w:tabs>
              <w:suppressAutoHyphens/>
              <w:adjustRightInd w:val="0"/>
              <w:snapToGrid w:val="0"/>
              <w:spacing w:line="288" w:lineRule="auto"/>
              <w:ind w:firstLine="482" w:firstLineChars="200"/>
              <w:jc w:val="cente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专栏</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绿色</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低碳发展</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工程</w:t>
            </w:r>
          </w:p>
        </w:tc>
      </w:tr>
      <w:tr w14:paraId="1B6FC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2" w:type="dxa"/>
            <w:vAlign w:val="center"/>
          </w:tcPr>
          <w:p w14:paraId="48AAEF23">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01重点行业环保绩效提升工程（牵头单位：市生态环境局、市工信局，下同）</w:t>
            </w:r>
          </w:p>
          <w:p w14:paraId="1CA89ED0">
            <w:pPr>
              <w:numPr>
                <w:ilvl w:val="255"/>
                <w:numId w:val="0"/>
              </w:numPr>
              <w:suppressAutoHyphens/>
              <w:adjustRightInd w:val="0"/>
              <w:snapToGrid w:val="0"/>
              <w:spacing w:line="288"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在钢铁、水泥、石化、化工、铸造等重点行业完成</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家企业环保绩效等级提升改造。在产水泥企业推进清洁运输超低排放改造，永安金牛、将乐金牛、南方水泥、谋成水泥、红狮水泥、鑫城水泥、鑫岩水泥等水泥有限公司开展超低排放改造评估监测与整改。</w:t>
            </w:r>
          </w:p>
          <w:p w14:paraId="59D786C9">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02重点行业结构优化调整工程（市生态环境局、市工信局、市发改委）</w:t>
            </w:r>
          </w:p>
          <w:p w14:paraId="5E054C94">
            <w:pPr>
              <w:numPr>
                <w:ilvl w:val="255"/>
                <w:numId w:val="0"/>
              </w:numPr>
              <w:suppressAutoHyphens/>
              <w:adjustRightInd w:val="0"/>
              <w:snapToGrid w:val="0"/>
              <w:spacing w:line="288"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完成建材、印刷、化工等行业产业集群大气污染综合治理。实施三明市（永安、尤溪）竹制品行业高质量发展规划，加快推进建材行业物料堆场进仓入库、绿色运输试点及门禁系统建设。开展氟化工行业挥发性有机物提升专项治理行动。</w:t>
            </w:r>
          </w:p>
          <w:p w14:paraId="799BAA74">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03能源结构优化调整工程（市发改委、市生态环境局）</w:t>
            </w:r>
          </w:p>
          <w:p w14:paraId="18D606DD">
            <w:pPr>
              <w:numPr>
                <w:ilvl w:val="255"/>
                <w:numId w:val="0"/>
              </w:numPr>
              <w:suppressAutoHyphens/>
              <w:adjustRightInd w:val="0"/>
              <w:snapToGrid w:val="0"/>
              <w:spacing w:line="288" w:lineRule="auto"/>
              <w:ind w:firstLine="480"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优化区域能源结构，探索垃圾焚烧发电等行业开展超低排放改造。加快推进永安、将乐抽蓄电站建设，谋划研究沙县官昌、明溪夏坊等小型抽蓄电站，推进三明磷酸铁锂储能电站、永安丰海煤矿压缩空气储能电站等项目建设。实施列入省光伏电站开发建设项目清单的19个集中式光伏电站等项目。淘汰2蒸吨/小时及以下生物质锅炉，关停整合10万千瓦及以下燃煤机组（背压除外）。建材、有色、铸造、化工等行业推广电窑炉、电加热、电辅热技术。</w:t>
            </w:r>
          </w:p>
          <w:p w14:paraId="2DBE0386">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04绿色低碳交通运输工程（市交通运输局、市生态环境局）</w:t>
            </w:r>
          </w:p>
          <w:p w14:paraId="0281DEB0">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推动老旧车及非道路移动机械淘汰更新，基本淘汰国三排放标准机动车和国一排放标准非道路移动机械。重点推广新能源车船，推动公共交通和货运车辆电动化，全面推进交通运输装备低碳化升级。加快推进三明港尤溪港区西滨作业区、三明港尤溪港区雍口作业区等项目建设。</w:t>
            </w:r>
          </w:p>
        </w:tc>
      </w:tr>
    </w:tbl>
    <w:p w14:paraId="0AB22F2D">
      <w:pPr>
        <w:rPr>
          <w:rFonts w:hint="eastAsia" w:ascii="Times New Roman" w:hAnsi="Times New Roman" w:cs="Times New Roman"/>
          <w:color w:val="000000" w:themeColor="text1"/>
          <w:highlight w:val="none"/>
          <w:lang w:val="en-US" w:eastAsia="zh-CN"/>
          <w14:textFill>
            <w14:solidFill>
              <w14:schemeClr w14:val="tx1"/>
            </w14:solidFill>
          </w14:textFill>
        </w:rPr>
      </w:pPr>
    </w:p>
    <w:p w14:paraId="61643FB7">
      <w:pPr>
        <w:rPr>
          <w:rFonts w:hint="eastAsia" w:ascii="Times New Roman" w:hAnsi="Times New Roman" w:cs="Times New Roman"/>
          <w:color w:val="000000" w:themeColor="text1"/>
          <w:highlight w:val="none"/>
          <w:lang w:val="en-US" w:eastAsia="zh-CN"/>
          <w14:textFill>
            <w14:solidFill>
              <w14:schemeClr w14:val="tx1"/>
            </w14:solidFill>
          </w14:textFill>
        </w:rPr>
      </w:pPr>
    </w:p>
    <w:p w14:paraId="4D3883DE">
      <w:pPr>
        <w:suppressAutoHyphens/>
        <w:adjustRightInd w:val="0"/>
        <w:snapToGrid w:val="0"/>
        <w:spacing w:line="360" w:lineRule="auto"/>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79FF522">
      <w:pPr>
        <w:pStyle w:val="4"/>
        <w:numPr>
          <w:ilvl w:val="0"/>
          <w:numId w:val="1"/>
        </w:numPr>
        <w:suppressAutoHyphens/>
        <w:adjustRightInd w:val="0"/>
        <w:snapToGrid w:val="0"/>
        <w:spacing w:before="0" w:beforeLines="0" w:after="0" w:afterLines="0" w:line="360" w:lineRule="auto"/>
        <w:jc w:val="center"/>
        <w:rPr>
          <w:rFonts w:hint="eastAsia" w:ascii="Times New Roman" w:hAnsi="Times New Roman" w:cs="Times New Roman"/>
          <w:color w:val="000000" w:themeColor="text1"/>
          <w:highlight w:val="none"/>
          <w:lang w:val="en-US" w:eastAsia="zh-CN"/>
          <w14:textFill>
            <w14:solidFill>
              <w14:schemeClr w14:val="tx1"/>
            </w14:solidFill>
          </w14:textFill>
        </w:rPr>
      </w:pPr>
      <w:bookmarkStart w:id="2" w:name="_Toc379811966"/>
      <w:r>
        <w:rPr>
          <w:rFonts w:hint="default" w:ascii="Times New Roman" w:hAnsi="Times New Roman" w:cs="Times New Roman"/>
          <w:color w:val="000000" w:themeColor="text1"/>
          <w:highlight w:val="none"/>
          <w:lang w:val="en-US" w:eastAsia="zh-CN"/>
          <w14:textFill>
            <w14:solidFill>
              <w14:schemeClr w14:val="tx1"/>
            </w14:solidFill>
          </w14:textFill>
        </w:rPr>
        <w:t>巩固绿水青山优势，绘就多样稳定持续美丽山川画卷</w:t>
      </w:r>
      <w:bookmarkEnd w:id="2"/>
    </w:p>
    <w:p w14:paraId="0FD6FAFE">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bCs/>
          <w:color w:val="000000" w:themeColor="text1"/>
          <w:sz w:val="32"/>
          <w:szCs w:val="31"/>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立足三明闽江源头、省级“绿色心肺”定位，坚持全域生态系统综合治理，深化林权改革，完善自然保护地体系，打造高颜值高品质的美丽三明生态样板。</w:t>
      </w:r>
    </w:p>
    <w:p w14:paraId="208784ED">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（一）</w:t>
      </w:r>
      <w:r>
        <w:rPr>
          <w:rStyle w:val="16"/>
          <w:rFonts w:hint="default"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严格保护自然生态空间</w:t>
      </w: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落实“三区三线”管控，筑牢武夷山、戴云山、玳瑁山生态屏障，建设水系生态廊道，打通野生动物迁徙通道。推动自然保护地整合优化落地实施，推进勘界定立标，力争2030年基本完成勘界，建成初步生态保护监管体系。</w:t>
      </w:r>
    </w:p>
    <w:p w14:paraId="14C93DCD">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（二）</w:t>
      </w:r>
      <w:r>
        <w:rPr>
          <w:rStyle w:val="16"/>
          <w:rFonts w:hint="default"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全面提升水源涵养能力</w:t>
      </w: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保护天然林，实施森林质量精准提升与低效林改造，优化林分结构，推广全周期经营模式，2030年森林蓄水量达90亿立方米。推进小流域治理、水土流失修复，严控河谷过度开垦，推广生态种植模式，建设生态茶果园。</w:t>
      </w:r>
    </w:p>
    <w:p w14:paraId="5909EF1C">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（三）系统开展</w:t>
      </w:r>
      <w:r>
        <w:rPr>
          <w:rStyle w:val="16"/>
          <w:rFonts w:hint="default"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生态保护修复</w:t>
      </w: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推行自然生态休养生息，完善湿地保护体系，推进重点湿地修复。实施历史遗留矿山生态治理，探索“修复+产业”模式，推动矿山绿色转型。提升林业碳汇能力，健全碳汇监测体系，拓展碳票应用场景，探索特色农业碳汇市场化交易。</w:t>
      </w:r>
    </w:p>
    <w:p w14:paraId="0D3113D9">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（四）</w:t>
      </w:r>
      <w:r>
        <w:rPr>
          <w:rStyle w:val="16"/>
          <w:rFonts w:hint="default"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强化生物多样性保护</w:t>
      </w: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开展优先区域生态监测与本底调查，修复生物迁徙廊道，保护珍稀物种。健全生物遗传资源管控机制，常态化开展外来入侵物种普查与综合治理。</w:t>
      </w:r>
    </w:p>
    <w:p w14:paraId="074FC3D1">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（五）</w:t>
      </w:r>
      <w:r>
        <w:rPr>
          <w:rStyle w:val="16"/>
          <w:rFonts w:hint="default"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完善生态统一监管体系</w:t>
      </w: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开展“绿盾”专项行动，实现生态破坏问题闭环管理，常态化开展生态状况评估与工程成效监管。</w:t>
      </w:r>
    </w:p>
    <w:p w14:paraId="4EDD7A9F">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（六）</w:t>
      </w:r>
      <w:r>
        <w:rPr>
          <w:rStyle w:val="16"/>
          <w:rFonts w:hint="default"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健全生态产品价值实现机制</w:t>
      </w: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推进GEP核算应用，做强产权交易平台，探索用水权等市场化配置和交易机制。</w:t>
      </w:r>
      <w:r>
        <w:rPr>
          <w:rFonts w:hint="eastAsia"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推进大田</w:t>
      </w:r>
      <w:r>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等地EOD</w:t>
      </w:r>
      <w:r>
        <w:rPr>
          <w:rFonts w:hint="eastAsia"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项目落地实施</w:t>
      </w:r>
      <w:r>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t>，打造一批“投、建、管、运”一体化项目，做大气候投融资规模。完善生态补偿与损害赔偿法治保障。</w:t>
      </w:r>
    </w:p>
    <w:tbl>
      <w:tblPr>
        <w:tblStyle w:val="1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461BD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9062" w:type="dxa"/>
            <w:vAlign w:val="center"/>
          </w:tcPr>
          <w:p w14:paraId="68778C89">
            <w:pPr>
              <w:keepNext/>
              <w:tabs>
                <w:tab w:val="left" w:pos="7680"/>
              </w:tabs>
              <w:suppressAutoHyphens/>
              <w:adjustRightInd w:val="0"/>
              <w:snapToGrid w:val="0"/>
              <w:spacing w:line="288" w:lineRule="auto"/>
              <w:ind w:firstLine="482" w:firstLineChars="20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专栏</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美丽山川建设工程</w:t>
            </w:r>
          </w:p>
        </w:tc>
      </w:tr>
      <w:tr w14:paraId="426D3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2" w:type="dxa"/>
            <w:vAlign w:val="center"/>
          </w:tcPr>
          <w:p w14:paraId="33CFD417">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01自然保护地体系建设</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工程</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（市林业局）</w:t>
            </w:r>
          </w:p>
          <w:p w14:paraId="336E4B07">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全面推进以武夷山脉—玳瑁山脉自然保护地、沙溪流域—金溪流域自然保护地和戴云山脉自然保护地等为主体的自然保护地体系建设，推动自然保护地整合优化落地实施，统筹推进自然保护地勘界立标。</w:t>
            </w:r>
          </w:p>
          <w:p w14:paraId="165C696F">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02水源涵养能力提升工程（市林业局）</w:t>
            </w:r>
          </w:p>
          <w:p w14:paraId="08326C00">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在全市区域重点生态区继续开展森林质量精准提升工程，针对低质低效马尾松林、竹林、经济林实施改造和补植，大力营造针阔混交林，优化林分结构。</w:t>
            </w:r>
          </w:p>
          <w:p w14:paraId="30B6C85B">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03水生态系统修复工程（市水利局、市生态环境局）</w:t>
            </w:r>
          </w:p>
          <w:p w14:paraId="426F7184">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在宁化、清流、大田等重点区域推进小流域治理、水系连通、水土流失治理、生态补水、水生态修复治理等工程。</w:t>
            </w:r>
          </w:p>
          <w:p w14:paraId="5F90F108">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04历史遗留废弃矿山生态修复示范工程（市自然资源局、市生态环境局）</w:t>
            </w:r>
          </w:p>
          <w:p w14:paraId="696B2D16">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推进大田县、尤溪县、将乐县、宁化县、永安市历史遗留废弃矿山生态修复和水土流失治理。</w:t>
            </w:r>
          </w:p>
          <w:p w14:paraId="281AE010">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05碳汇能力提升工程（市林业局）</w:t>
            </w:r>
          </w:p>
          <w:p w14:paraId="45C1B1CA">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建立健全林业碳汇计量监测体系，优化完善林业碳票，跟踪国家CCER政策变化，适时开发和储备一批林业碳汇项目，利用福建沙县农村产权交易中心平台，推动碳汇市场化交易。</w:t>
            </w:r>
          </w:p>
          <w:p w14:paraId="2F53108E">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06生物多样性保护工程（市林业局）</w:t>
            </w:r>
          </w:p>
          <w:p w14:paraId="37E9C717">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加强对珍稀濒危野生动植物栖息地区域的生态保护和修复，开展本底调查等工作。</w:t>
            </w:r>
          </w:p>
          <w:p w14:paraId="62B94BF7">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07生态环境导向的开发(EOD)模式项目（市生态环境局）</w:t>
            </w:r>
          </w:p>
          <w:p w14:paraId="5ED90DEF">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加快大田等县域EOD项目落地实施，打造一批“投、建、管、运”一体化项目。</w:t>
            </w:r>
          </w:p>
        </w:tc>
      </w:tr>
    </w:tbl>
    <w:p w14:paraId="2D102F1F">
      <w:pPr>
        <w:numPr>
          <w:ilvl w:val="0"/>
          <w:numId w:val="0"/>
        </w:numPr>
        <w:suppressAutoHyphens/>
        <w:adjustRightInd w:val="0"/>
        <w:snapToGrid w:val="0"/>
        <w:spacing w:before="0" w:beforeLines="0" w:after="0" w:afterLines="0" w:line="360" w:lineRule="auto"/>
        <w:jc w:val="center"/>
        <w:outlineLvl w:val="9"/>
        <w:rPr>
          <w:rFonts w:hint="eastAsia"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bookmarkStart w:id="3" w:name="_Toc831605959"/>
    </w:p>
    <w:p w14:paraId="4B91B831">
      <w:pPr>
        <w:pStyle w:val="4"/>
        <w:numPr>
          <w:ilvl w:val="0"/>
          <w:numId w:val="1"/>
        </w:numPr>
        <w:suppressAutoHyphens/>
        <w:adjustRightInd w:val="0"/>
        <w:snapToGrid w:val="0"/>
        <w:spacing w:before="0" w:beforeLines="0" w:after="0" w:afterLines="0" w:line="360" w:lineRule="auto"/>
        <w:jc w:val="center"/>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深化闽江源头治理，打造水清岸绿美丽河湖先行样板</w:t>
      </w:r>
      <w:bookmarkEnd w:id="3"/>
    </w:p>
    <w:p w14:paraId="72B9488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0"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坚持“三水统筹”，以水源地保护和水生态环境系统治理为核心，全面推进闽江干支流保护与治理，深化水生态协同共治，着力建设“有河有水、有鱼有草、人水和谐”的美丽河湖先行样板。</w:t>
      </w:r>
    </w:p>
    <w:p w14:paraId="273DD4E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bookmarkStart w:id="4" w:name="_Toc26863"/>
      <w:bookmarkStart w:id="5" w:name="_Toc101"/>
      <w:bookmarkStart w:id="6" w:name="_Toc580"/>
      <w:bookmarkStart w:id="7" w:name="_Toc28832"/>
      <w:bookmarkStart w:id="8" w:name="_Toc214612906"/>
      <w:bookmarkStart w:id="9" w:name="_Toc12080"/>
      <w:bookmarkStart w:id="10" w:name="_Toc9645"/>
      <w:bookmarkStart w:id="11" w:name="_Toc30054"/>
      <w:bookmarkStart w:id="12" w:name="_Toc2619"/>
      <w:bookmarkStart w:id="13" w:name="_Toc12970"/>
      <w:bookmarkStart w:id="14" w:name="_Toc219761501"/>
      <w:bookmarkStart w:id="15" w:name="_Toc390817364"/>
      <w:bookmarkStart w:id="16" w:name="_Toc9595"/>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（一）推进水资源协同保障。</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实施生态流量管理全覆盖，将生态需水纳入水资源统一调度和配置，健全多水源联合调度机制。落实用水双控指标，推进农业与高耗水行业节水改造，深化小水电清理整治。到2030年，重要河湖生态流量达标率98%以上。</w:t>
      </w:r>
    </w:p>
    <w:p w14:paraId="3678DA0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bookmarkStart w:id="17" w:name="_Toc12542"/>
      <w:bookmarkStart w:id="18" w:name="_Toc9177"/>
      <w:bookmarkStart w:id="19" w:name="_Toc27390"/>
      <w:bookmarkStart w:id="20" w:name="_Toc574769761"/>
      <w:bookmarkStart w:id="21" w:name="_Toc13077"/>
      <w:bookmarkStart w:id="22" w:name="_Toc219761500"/>
      <w:bookmarkStart w:id="23" w:name="_Toc24677"/>
      <w:bookmarkStart w:id="24" w:name="_Toc6998"/>
      <w:bookmarkStart w:id="25" w:name="_Toc5394"/>
      <w:bookmarkStart w:id="26" w:name="_Toc28933"/>
      <w:bookmarkStart w:id="27" w:name="_Toc21384"/>
      <w:bookmarkStart w:id="28" w:name="_Toc214612905"/>
      <w:bookmarkStart w:id="29" w:name="_Toc27054"/>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（二）深化水环境综合治理</w:t>
      </w:r>
      <w:bookmarkEnd w:id="17"/>
      <w:bookmarkEnd w:id="18"/>
      <w:bookmarkEnd w:id="19"/>
      <w:bookmarkEnd w:id="20"/>
      <w:bookmarkEnd w:id="21"/>
      <w:bookmarkEnd w:id="22"/>
      <w:bookmarkEnd w:id="23"/>
      <w:bookmarkEnd w:id="24"/>
      <w:bookmarkEnd w:id="25"/>
      <w:bookmarkEnd w:id="26"/>
      <w:bookmarkEnd w:id="27"/>
      <w:bookmarkEnd w:id="28"/>
      <w:bookmarkEnd w:id="29"/>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深化入河排污口整治，全面建成监测监管体系。严格执行畜禽养殖业污染物排放标准，加强粪污直排废水或消纳地外排尾水处理，确保达标排放。持续巩固提升饮水安全保障水平，加强重点流域及湖库治理，确保国省控断面水质稳定达到Ⅱ类。</w:t>
      </w:r>
      <w:bookmarkStart w:id="30" w:name="hmcheck_5826c2d693474e6eb868769cfac2f812"/>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持续整治黑臭水体，到2030年，消除城乡黑臭水体并建立长效机制。</w:t>
      </w:r>
      <w:bookmarkEnd w:id="30"/>
    </w:p>
    <w:p w14:paraId="5A902DB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（三）实施水生态保护修复</w:t>
      </w:r>
      <w:bookmarkEnd w:id="4"/>
      <w:bookmarkEnd w:id="5"/>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统筹做好水生生物保护、湿地修复与河湖岸线管控工作，完善水生态调查评估；持续推进涉水专项整治，严控重点区域开发建设。建立健全岸线动态监测预警机制。</w:t>
      </w:r>
    </w:p>
    <w:bookmarkEnd w:id="6"/>
    <w:bookmarkEnd w:id="7"/>
    <w:bookmarkEnd w:id="8"/>
    <w:bookmarkEnd w:id="9"/>
    <w:bookmarkEnd w:id="10"/>
    <w:bookmarkEnd w:id="11"/>
    <w:bookmarkEnd w:id="12"/>
    <w:bookmarkEnd w:id="13"/>
    <w:bookmarkEnd w:id="14"/>
    <w:bookmarkEnd w:id="15"/>
    <w:bookmarkEnd w:id="16"/>
    <w:p w14:paraId="23A86EC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bookmarkStart w:id="31" w:name="_Toc7029"/>
      <w:bookmarkStart w:id="32" w:name="_Toc28874"/>
      <w:bookmarkStart w:id="33" w:name="_Toc24439"/>
      <w:bookmarkStart w:id="34" w:name="_Toc19588"/>
      <w:bookmarkStart w:id="35" w:name="_Toc214612907"/>
      <w:bookmarkStart w:id="36" w:name="_Toc30798"/>
      <w:bookmarkStart w:id="37" w:name="_Toc19546"/>
      <w:bookmarkStart w:id="38" w:name="_Toc28334"/>
      <w:bookmarkStart w:id="39" w:name="_Toc219761502"/>
      <w:bookmarkStart w:id="40" w:name="_Toc11817"/>
      <w:bookmarkStart w:id="41" w:name="_Toc1737548238"/>
      <w:bookmarkStart w:id="42" w:name="_Toc11857"/>
      <w:bookmarkStart w:id="43" w:name="_Toc23936"/>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（四）推进地上地下协同管控</w:t>
      </w:r>
      <w:bookmarkEnd w:id="31"/>
      <w:bookmarkEnd w:id="32"/>
      <w:bookmarkEnd w:id="33"/>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强化重点行业企业和化工园区土壤和地下水系统源头防控，实施化工园区地下水污染专项整治及风险管控，推进</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历史遗留</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废弃矿山治理，</w:t>
      </w:r>
      <w:bookmarkEnd w:id="34"/>
      <w:bookmarkEnd w:id="35"/>
      <w:bookmarkEnd w:id="36"/>
      <w:bookmarkEnd w:id="37"/>
      <w:bookmarkEnd w:id="38"/>
      <w:bookmarkEnd w:id="39"/>
      <w:bookmarkEnd w:id="40"/>
      <w:bookmarkEnd w:id="41"/>
      <w:bookmarkEnd w:id="42"/>
      <w:bookmarkEnd w:id="43"/>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加强对地表水与地下水的协同监测，建立“双源”和区域协同保护和防控机制。</w:t>
      </w:r>
    </w:p>
    <w:tbl>
      <w:tblPr>
        <w:tblStyle w:val="1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062C3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062" w:type="dxa"/>
            <w:vAlign w:val="center"/>
          </w:tcPr>
          <w:p w14:paraId="27AC4C75">
            <w:pPr>
              <w:keepNext/>
              <w:tabs>
                <w:tab w:val="left" w:pos="7680"/>
              </w:tabs>
              <w:suppressAutoHyphens/>
              <w:adjustRightInd w:val="0"/>
              <w:snapToGrid w:val="0"/>
              <w:spacing w:line="288" w:lineRule="auto"/>
              <w:ind w:firstLine="482" w:firstLineChars="20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专栏</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3 </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美丽河湖样板打造工程</w:t>
            </w:r>
          </w:p>
        </w:tc>
      </w:tr>
      <w:tr w14:paraId="66D3C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9" w:hRule="atLeast"/>
          <w:jc w:val="center"/>
        </w:trPr>
        <w:tc>
          <w:tcPr>
            <w:tcW w:w="9062" w:type="dxa"/>
            <w:vAlign w:val="center"/>
          </w:tcPr>
          <w:p w14:paraId="70724C19">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01</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优化水资源配置工程</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市水利局</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w:t>
            </w:r>
          </w:p>
          <w:p w14:paraId="6CAF48DF">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加快大田下岩、沙县马岩、建宁黄家等水库工程建设，推进宁化石板桥等水库的前期工作，优化区域水资源配置格局，积极推进现代化水库运行管理矩阵先行先试工作、区域配水及智慧调度工程。</w:t>
            </w:r>
          </w:p>
          <w:p w14:paraId="4E657206">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02水质提升工程（市生态环境局）</w:t>
            </w:r>
          </w:p>
          <w:p w14:paraId="62FA88C5">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在沙溪、尤溪、金溪等重点流域关键断面实施控源截污、氮磷拦截生态沟渠建设及维护，因地制宜建设人工湿地；严格执行畜禽养殖业污染物排放标准，加强粪污直排废水或消纳地外排尾水处理；深化工业污染防治，巩固黑臭水体整治成效，加快生活污水处理提质增效，持续降低重点断面氨氮、总磷浓度。</w:t>
            </w:r>
          </w:p>
          <w:p w14:paraId="74D249A8">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03雨污分流改造工程（市城管局）</w:t>
            </w:r>
          </w:p>
          <w:p w14:paraId="38EC1F90">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推进排水系统溯源排查，完善雨污分流管网等配套设施，开展城镇污水资源化利用行动，加快推进市政排水管网错接混接改造、雨污分流改造和破损管网修复。着重填补城中村、老旧城区和城乡接合部管网空白区，鼓励和推广使用再生水。</w:t>
            </w:r>
          </w:p>
          <w:p w14:paraId="0124E794">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04水生态保护修复工程（市生态环境局）</w:t>
            </w:r>
          </w:p>
          <w:p w14:paraId="4608A4B1">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开展水生态基础状况调查，实施</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主要湖</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库水生态保护修复工程，全面评价重要湖库</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（河段）</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水生态环境功能。</w:t>
            </w:r>
          </w:p>
          <w:p w14:paraId="14E5CCDA">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05土壤和地下水协同治理工程（市生态环境局）</w:t>
            </w:r>
          </w:p>
          <w:p w14:paraId="297BDBB8">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展化工、农药、有色金属采选和冶炼、钢铁等腾退地块土壤污染专项治理行动，实施三明市化工园区地下水跟踪监测、永安市北部工业新城(三期)化工及生物制药集中区地下水环境状况详细调查，推进三明市黄砂新材料循环经济产业园地下水污染风险管控及修复项目。</w:t>
            </w:r>
          </w:p>
        </w:tc>
      </w:tr>
    </w:tbl>
    <w:p w14:paraId="0AD3D827">
      <w:pPr>
        <w:rPr>
          <w:rFonts w:hint="eastAsia" w:ascii="Times New Roman" w:hAnsi="Times New Roman" w:cs="Times New Roman"/>
          <w:color w:val="000000" w:themeColor="text1"/>
          <w:highlight w:val="none"/>
          <w:lang w:val="en-US" w:eastAsia="zh-CN"/>
          <w14:textFill>
            <w14:solidFill>
              <w14:schemeClr w14:val="tx1"/>
            </w14:solidFill>
          </w14:textFill>
        </w:rPr>
      </w:pPr>
    </w:p>
    <w:p w14:paraId="1CEF4D83">
      <w:pPr>
        <w:rPr>
          <w:rFonts w:hint="eastAsia" w:ascii="Times New Roman" w:hAnsi="Times New Roman" w:cs="Times New Roman"/>
          <w:color w:val="000000" w:themeColor="text1"/>
          <w:highlight w:val="none"/>
          <w:lang w:val="en-US" w:eastAsia="zh-CN"/>
          <w14:textFill>
            <w14:solidFill>
              <w14:schemeClr w14:val="tx1"/>
            </w14:solidFill>
          </w14:textFill>
        </w:rPr>
      </w:pPr>
    </w:p>
    <w:p w14:paraId="788BBB3E">
      <w:pPr>
        <w:rPr>
          <w:rFonts w:hint="eastAsia" w:ascii="Times New Roman" w:hAnsi="Times New Roman" w:cs="Times New Roman"/>
          <w:color w:val="000000" w:themeColor="text1"/>
          <w:highlight w:val="none"/>
          <w:lang w:val="en-US" w:eastAsia="zh-CN"/>
          <w14:textFill>
            <w14:solidFill>
              <w14:schemeClr w14:val="tx1"/>
            </w14:solidFill>
          </w14:textFill>
        </w:rPr>
      </w:pPr>
    </w:p>
    <w:p w14:paraId="01B3EDB7">
      <w:pPr>
        <w:rPr>
          <w:rFonts w:hint="eastAsia" w:ascii="Times New Roman" w:hAnsi="Times New Roman" w:cs="Times New Roman"/>
          <w:color w:val="000000" w:themeColor="text1"/>
          <w:highlight w:val="none"/>
          <w:lang w:val="en-US" w:eastAsia="zh-CN"/>
          <w14:textFill>
            <w14:solidFill>
              <w14:schemeClr w14:val="tx1"/>
            </w14:solidFill>
          </w14:textFill>
        </w:rPr>
      </w:pPr>
    </w:p>
    <w:p w14:paraId="28541DFB">
      <w:pPr>
        <w:rPr>
          <w:rFonts w:hint="eastAsia"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4E5DB572">
      <w:pPr>
        <w:pStyle w:val="4"/>
        <w:numPr>
          <w:ilvl w:val="0"/>
          <w:numId w:val="1"/>
        </w:numPr>
        <w:suppressAutoHyphens/>
        <w:adjustRightInd w:val="0"/>
        <w:snapToGrid w:val="0"/>
        <w:spacing w:before="0" w:beforeLines="0" w:after="0" w:afterLines="0" w:line="360" w:lineRule="auto"/>
        <w:jc w:val="center"/>
        <w:rPr>
          <w:rFonts w:hint="eastAsia" w:ascii="Times New Roman" w:hAnsi="Times New Roman" w:cs="Times New Roman"/>
          <w:color w:val="000000" w:themeColor="text1"/>
          <w:highlight w:val="none"/>
          <w:lang w:val="en-US" w:eastAsia="zh-CN"/>
          <w14:textFill>
            <w14:solidFill>
              <w14:schemeClr w14:val="tx1"/>
            </w14:solidFill>
          </w14:textFill>
        </w:rPr>
      </w:pPr>
      <w:bookmarkStart w:id="44" w:name="_Toc114398482"/>
      <w:r>
        <w:rPr>
          <w:rFonts w:hint="eastAsia" w:ascii="Times New Roman" w:hAnsi="Times New Roman" w:cs="Times New Roman"/>
          <w:color w:val="000000" w:themeColor="text1"/>
          <w:highlight w:val="none"/>
          <w:lang w:val="en-US" w:eastAsia="zh-CN"/>
          <w14:textFill>
            <w14:solidFill>
              <w14:schemeClr w14:val="tx1"/>
            </w14:solidFill>
          </w14:textFill>
        </w:rPr>
        <w:t>践行人民城市理念，打造宜居宜业美丽城市先行样板</w:t>
      </w:r>
      <w:bookmarkEnd w:id="44"/>
    </w:p>
    <w:p w14:paraId="0B40085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0"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围绕蓝天、碧水、净土保卫战，聚焦减污降碳、无废建设、生态宜居、环境健康与全域美丽，通过系统治理、智慧监管与区域联动，推动城市绿色低碳转型与环境质量持续改善，构建人与自然和谐共生的美丽家园。</w:t>
      </w:r>
    </w:p>
    <w:p w14:paraId="0B36FF3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（一）全面推进美丽蓝天建设。</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深化钢铁、水泥等重点行业减排与全流程超低排放改造。加强移动源综合治理，推广新能源车船，推动交通运输电动化。强化施工扬尘、秸秆焚烧、餐饮油烟等面源治理，实现空气质量监测网络县城全覆盖。</w:t>
      </w:r>
    </w:p>
    <w:p w14:paraId="6E92E66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（二）全面推进“无废城市”建设。</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推进工业固废源头减量与资源化利用，建设大宗固废示范基地。提升城乡垃圾治理水平，完善生活垃圾分类收运处置体系，推广回收网点与分类网点“两网融合”。严格固体废物全过程智慧监管，持续推进“无废细胞”建设，建设全域“无废城市”。</w:t>
      </w:r>
    </w:p>
    <w:p w14:paraId="430F72F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（三）提升城市宜居生活空间。</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优化城市生态水网，推进污水处理提质增效与雨污分流改造。拓展绿色空间，建设公园绿道与口袋公园。推进生态社区建设，打造15分钟生活圈，加强噪声管控，建设宁静社区。</w:t>
      </w:r>
    </w:p>
    <w:p w14:paraId="362EA7A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（四）保障城市环境健康安全。</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推进海绵城市建设，增强城市韧性。严格建设用地土壤污染风险管控与修复，保障安全利用。加强环境健康风险评估监测，维护公众健康。</w:t>
      </w:r>
    </w:p>
    <w:p w14:paraId="2622FEF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（五）分区协同推进美丽城市建设。</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协同推进产业协作与流域共治。发挥中心城区示范作用，带动县域差异化发展，形成“一县一韵”格局，梯次建成全域美丽城市。</w:t>
      </w:r>
    </w:p>
    <w:tbl>
      <w:tblPr>
        <w:tblStyle w:val="1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15BAC1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2" w:type="dxa"/>
            <w:vAlign w:val="center"/>
          </w:tcPr>
          <w:p w14:paraId="41D9621B">
            <w:pPr>
              <w:keepNext/>
              <w:tabs>
                <w:tab w:val="left" w:pos="7680"/>
              </w:tabs>
              <w:suppressAutoHyphens/>
              <w:adjustRightInd w:val="0"/>
              <w:snapToGrid w:val="0"/>
              <w:spacing w:line="288" w:lineRule="auto"/>
              <w:ind w:firstLine="482" w:firstLineChars="20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专栏</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美丽城市样板打造工程</w:t>
            </w:r>
          </w:p>
        </w:tc>
      </w:tr>
      <w:tr w14:paraId="54A42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60" w:hRule="atLeast"/>
          <w:jc w:val="center"/>
        </w:trPr>
        <w:tc>
          <w:tcPr>
            <w:tcW w:w="9062" w:type="dxa"/>
            <w:vAlign w:val="center"/>
          </w:tcPr>
          <w:p w14:paraId="2BB3B602">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01美丽蓝天建设工程（市生态环境局）</w:t>
            </w:r>
          </w:p>
          <w:p w14:paraId="6CAA2B5C">
            <w:pPr>
              <w:numPr>
                <w:ilvl w:val="255"/>
                <w:numId w:val="0"/>
              </w:numPr>
              <w:spacing w:line="288" w:lineRule="auto"/>
              <w:ind w:firstLine="480" w:firstLineChars="200"/>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推进大气环境综合整治，加强工业大气污染治理，实施三钢污染治理等项目。</w:t>
            </w:r>
          </w:p>
          <w:p w14:paraId="149EC129">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02建设用地修复和再开发利用工程（市生态环境局）</w:t>
            </w:r>
          </w:p>
          <w:p w14:paraId="426BFCF7">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开展典型污染场地绿色低碳修复试点，打造工业用地修复和再开发样板。</w:t>
            </w:r>
          </w:p>
          <w:p w14:paraId="22C9F20D">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03“无废城市”建设工程（市城管局、市发改委）</w:t>
            </w:r>
          </w:p>
          <w:p w14:paraId="5AB5A012">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推动建筑垃圾资源化、市政污泥协同处置、废弃资源循环利用等项目建设。</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推进</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建宁城区环境卫生设施提升、清流城镇生活垃圾收集处理设施提升改造、宁化垃圾填埋场无害化处理等项目</w:t>
            </w:r>
            <w:r>
              <w:rPr>
                <w:rFonts w:hint="eastAsia" w:ascii="仿宋_GB2312" w:hAnsi="仿宋_GB2312" w:eastAsia="仿宋_GB2312" w:cs="仿宋_GB2312"/>
                <w:b w:val="0"/>
                <w:bCs w:val="0"/>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实施尤溪县飞灰资源综合利用与垃圾焚烧发电项目，提升县域垃圾处置能力。</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实施清流县氟石膏资源化联产胶凝材料综合循环利用项目，强化工业固体废物资源化利用。</w:t>
            </w:r>
          </w:p>
          <w:p w14:paraId="5649BA63">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04城市污水提质增效工程（市城管局）</w:t>
            </w:r>
          </w:p>
          <w:p w14:paraId="4700AEE0">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加强生活污水收集处理设施建设与扩容，加快雨污分流改造。推进城市生活污水收集处理，实施三明市城区污水收集处理、建宁城区生活污水处理能力提升、泰宁城镇污水收集设施更新改造等项目。</w:t>
            </w:r>
          </w:p>
          <w:p w14:paraId="09D731B0">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05噪声污染防治工程（市生态环境局）</w:t>
            </w:r>
          </w:p>
          <w:p w14:paraId="1721EBA5">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完善声环境自动监测站点，保障设备更新升级。根据部署，推进噪声地图和建筑施工、交通噪声治理工程建设。</w:t>
            </w:r>
          </w:p>
          <w:p w14:paraId="064E3BFD">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06社区环境综合整治工程（市住建局）</w:t>
            </w:r>
          </w:p>
          <w:p w14:paraId="64DE911F">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推进老旧小区改造及传统建筑保护，完善公共空间与配套设施，普及数字化、智能化城市管理体系。</w:t>
            </w:r>
          </w:p>
        </w:tc>
      </w:tr>
    </w:tbl>
    <w:p w14:paraId="1C227305">
      <w:pPr>
        <w:rPr>
          <w:rFonts w:hint="eastAsia" w:ascii="Times New Roman" w:hAnsi="Times New Roman" w:cs="Times New Roman"/>
          <w:color w:val="000000" w:themeColor="text1"/>
          <w:highlight w:val="none"/>
          <w:lang w:val="en-US" w:eastAsia="zh-CN"/>
          <w14:textFill>
            <w14:solidFill>
              <w14:schemeClr w14:val="tx1"/>
            </w14:solidFill>
          </w14:textFill>
        </w:rPr>
      </w:pPr>
    </w:p>
    <w:p w14:paraId="300858E7">
      <w:pPr>
        <w:rPr>
          <w:rFonts w:hint="eastAsia" w:ascii="Times New Roman" w:hAnsi="Times New Roman" w:cs="Times New Roman"/>
          <w:color w:val="000000" w:themeColor="text1"/>
          <w:highlight w:val="none"/>
          <w:lang w:val="en-US" w:eastAsia="zh-CN"/>
          <w14:textFill>
            <w14:solidFill>
              <w14:schemeClr w14:val="tx1"/>
            </w14:solidFill>
          </w14:textFill>
        </w:rPr>
      </w:pPr>
    </w:p>
    <w:p w14:paraId="14773D59">
      <w:pPr>
        <w:rPr>
          <w:rFonts w:hint="eastAsia" w:ascii="Times New Roman" w:hAnsi="Times New Roman" w:cs="Times New Roman"/>
          <w:color w:val="000000" w:themeColor="text1"/>
          <w:highlight w:val="none"/>
          <w:lang w:val="en-US" w:eastAsia="zh-CN"/>
          <w14:textFill>
            <w14:solidFill>
              <w14:schemeClr w14:val="tx1"/>
            </w14:solidFill>
          </w14:textFill>
        </w:rPr>
      </w:pPr>
    </w:p>
    <w:p w14:paraId="18017AEF">
      <w:pPr>
        <w:rPr>
          <w:rFonts w:hint="eastAsia"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6EA13046">
      <w:pPr>
        <w:pStyle w:val="4"/>
        <w:numPr>
          <w:ilvl w:val="0"/>
          <w:numId w:val="1"/>
        </w:numPr>
        <w:suppressAutoHyphens/>
        <w:adjustRightInd w:val="0"/>
        <w:snapToGrid w:val="0"/>
        <w:spacing w:before="0" w:beforeLines="0" w:after="0" w:afterLines="0" w:line="360" w:lineRule="auto"/>
        <w:jc w:val="center"/>
        <w:rPr>
          <w:rFonts w:hint="eastAsia" w:ascii="Times New Roman" w:hAnsi="Times New Roman" w:cs="Times New Roman"/>
          <w:color w:val="000000" w:themeColor="text1"/>
          <w:highlight w:val="none"/>
          <w:lang w:val="en-US" w:eastAsia="zh-CN"/>
          <w14:textFill>
            <w14:solidFill>
              <w14:schemeClr w14:val="tx1"/>
            </w14:solidFill>
          </w14:textFill>
        </w:rPr>
      </w:pPr>
      <w:bookmarkStart w:id="45" w:name="_Toc1425400470"/>
      <w:r>
        <w:rPr>
          <w:rFonts w:hint="eastAsia" w:ascii="Times New Roman" w:hAnsi="Times New Roman" w:cs="Times New Roman"/>
          <w:color w:val="000000" w:themeColor="text1"/>
          <w:highlight w:val="none"/>
          <w:lang w:val="en-US" w:eastAsia="zh-CN"/>
          <w14:textFill>
            <w14:solidFill>
              <w14:schemeClr w14:val="tx1"/>
            </w14:solidFill>
          </w14:textFill>
        </w:rPr>
        <w:t>强化乡村全面振兴，打造革命老区美丽乡村先行样板</w:t>
      </w:r>
      <w:bookmarkEnd w:id="45"/>
    </w:p>
    <w:p w14:paraId="54E8A01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0"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紧扣高质量发展主题，以生态振兴带动乡村全面振兴，通过分区施策、系统治理、绿色转型、闽台融合，全力打造“各美其美、美美与共”的美丽乡村新格局，谱写“绿水青山就是金山银山”的闽江源头新篇章。</w:t>
      </w:r>
    </w:p>
    <w:p w14:paraId="0E4389F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（一）构建美美与共乡村整体格局。</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按功能分区精准施策，重点生态功能区发展生态旅游，农产品主产区推广绿色技术保障粮食安全，城乡统筹区示范融合发展。联动美丽山川河湖，差异化建设四类美丽乡村，打造秀美山村与临水乡居，形成流域联动新格局。</w:t>
      </w:r>
    </w:p>
    <w:p w14:paraId="1CFE25F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（二）全面提升农村生态环境质量。</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推进农村生活污水治理，补齐设施短板，健全运维机制。深化生活垃圾治理，完善分类收运体系。强化农业面源污染治理，推广科学施肥用药，加强畜禽粪污资源化利用。</w:t>
      </w:r>
    </w:p>
    <w:p w14:paraId="0A08585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（三）持续提升美丽乡村建设品质。</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保障农村供水安全，推进城乡供水一体化与水源地整治。基本消除农村黑臭水体，结合流域治理开展控源截污与生态修复，建立长效防范机制。</w:t>
      </w:r>
    </w:p>
    <w:p w14:paraId="074B5C4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（四）推进农业生产绿色低碳发展。</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保障农用地安全，加强土壤污染整治。推进种植业科学施肥用药、养殖业种养循环，发展绿色低碳农业。推动产业融合，发展乡村旅游等新业态，促进“美丽乡村”向“美丽经济”转化。</w:t>
      </w:r>
    </w:p>
    <w:p w14:paraId="47393A1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（五）梯次建设闽台融合美丽乡村样板。</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梯次推动整县建设，分类打造美丽先行县。发挥对台优势，深化明台乡建乡创合作，打造融合示范样板。依托闽江上游及环武夷山国家公园，集中建设美丽乡村示范带与集群，到2030年基本建成全域美丽乡村。</w:t>
      </w:r>
    </w:p>
    <w:tbl>
      <w:tblPr>
        <w:tblStyle w:val="1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681E5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062" w:type="dxa"/>
            <w:vAlign w:val="center"/>
          </w:tcPr>
          <w:p w14:paraId="18D24822">
            <w:pPr>
              <w:keepNext/>
              <w:tabs>
                <w:tab w:val="left" w:pos="7680"/>
              </w:tabs>
              <w:suppressAutoHyphens/>
              <w:adjustRightInd w:val="0"/>
              <w:snapToGrid w:val="0"/>
              <w:spacing w:line="288" w:lineRule="auto"/>
              <w:ind w:firstLine="482" w:firstLineChars="20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专栏</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5</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美丽乡村样板打造工程</w:t>
            </w:r>
          </w:p>
        </w:tc>
      </w:tr>
      <w:tr w14:paraId="076FE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66" w:hRule="atLeast"/>
          <w:jc w:val="center"/>
        </w:trPr>
        <w:tc>
          <w:tcPr>
            <w:tcW w:w="9062" w:type="dxa"/>
            <w:vAlign w:val="center"/>
          </w:tcPr>
          <w:p w14:paraId="68CFA876">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01农村生活污水治理工程（市生态环境局）</w:t>
            </w:r>
          </w:p>
          <w:p w14:paraId="4FC3FAC9">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因地制宜实施农村生活污水治理管控</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项目</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，完善配套污水管网建设，持续提升农村污水收集处置能力。</w:t>
            </w:r>
          </w:p>
          <w:p w14:paraId="6A81757F">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02农用地安全保障工程（市生态环境局、市农业农村局）</w:t>
            </w:r>
          </w:p>
          <w:p w14:paraId="3A8C70CD">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实施全市耕地土壤重金属污染溯源排查，持续推进受污染耕地的安全利用、提质改造与生态恢复，稳步提升耕地质量与综合生产能力，完善农业基础设施。</w:t>
            </w:r>
          </w:p>
          <w:p w14:paraId="442C84D1">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03农业面源污染防治工程（市生态环境局、市农业农村局）</w:t>
            </w:r>
          </w:p>
          <w:p w14:paraId="28B40B5C">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开展规模畜禽水产养殖场环境调查与智慧监管</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项目</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，推动</w:t>
            </w: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环境质量</w:t>
            </w: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监测能力向乡村延伸。</w:t>
            </w:r>
          </w:p>
        </w:tc>
      </w:tr>
    </w:tbl>
    <w:p w14:paraId="2C3EB262">
      <w:pPr>
        <w:rPr>
          <w:rFonts w:hint="eastAsia" w:ascii="Times New Roman" w:hAnsi="Times New Roman" w:cs="Times New Roman"/>
          <w:color w:val="000000" w:themeColor="text1"/>
          <w:highlight w:val="none"/>
          <w:lang w:val="en-US" w:eastAsia="zh-CN"/>
          <w14:textFill>
            <w14:solidFill>
              <w14:schemeClr w14:val="tx1"/>
            </w14:solidFill>
          </w14:textFill>
        </w:rPr>
      </w:pPr>
    </w:p>
    <w:p w14:paraId="5658D2E2">
      <w:pPr>
        <w:rPr>
          <w:rFonts w:hint="eastAsia" w:ascii="Times New Roman" w:hAnsi="Times New Roman" w:cs="Times New Roman"/>
          <w:color w:val="000000" w:themeColor="text1"/>
          <w:highlight w:val="none"/>
          <w:lang w:val="en-US" w:eastAsia="zh-CN"/>
          <w14:textFill>
            <w14:solidFill>
              <w14:schemeClr w14:val="tx1"/>
            </w14:solidFill>
          </w14:textFill>
        </w:rPr>
      </w:pPr>
    </w:p>
    <w:p w14:paraId="3525B9CF">
      <w:pPr>
        <w:rPr>
          <w:rFonts w:hint="eastAsia" w:ascii="Times New Roman" w:hAnsi="Times New Roman" w:cs="Times New Roman"/>
          <w:color w:val="000000" w:themeColor="text1"/>
          <w:highlight w:val="none"/>
          <w:lang w:val="en-US" w:eastAsia="zh-CN"/>
          <w14:textFill>
            <w14:solidFill>
              <w14:schemeClr w14:val="tx1"/>
            </w14:solidFill>
          </w14:textFill>
        </w:rPr>
      </w:pPr>
    </w:p>
    <w:p w14:paraId="2DD49CF5">
      <w:pPr>
        <w:rPr>
          <w:rFonts w:hint="eastAsia"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5D397A69">
      <w:pPr>
        <w:pStyle w:val="4"/>
        <w:numPr>
          <w:ilvl w:val="0"/>
          <w:numId w:val="1"/>
        </w:numPr>
        <w:suppressAutoHyphens/>
        <w:adjustRightInd w:val="0"/>
        <w:snapToGrid w:val="0"/>
        <w:spacing w:before="0" w:beforeLines="0" w:after="0" w:afterLines="0" w:line="360" w:lineRule="auto"/>
        <w:jc w:val="center"/>
        <w:rPr>
          <w:rFonts w:hint="eastAsia" w:ascii="Times New Roman" w:hAnsi="Times New Roman" w:cs="Times New Roman"/>
          <w:color w:val="000000" w:themeColor="text1"/>
          <w:highlight w:val="none"/>
          <w:lang w:val="en-US" w:eastAsia="zh-CN"/>
          <w14:textFill>
            <w14:solidFill>
              <w14:schemeClr w14:val="tx1"/>
            </w14:solidFill>
          </w14:textFill>
        </w:rPr>
      </w:pPr>
      <w:bookmarkStart w:id="46" w:name="_Toc48932332"/>
      <w:bookmarkStart w:id="47" w:name="_Toc17142"/>
      <w:bookmarkStart w:id="48" w:name="_Toc1060072540"/>
      <w:bookmarkStart w:id="49" w:name="_Toc214612931"/>
      <w:bookmarkStart w:id="50" w:name="_Toc30142"/>
      <w:bookmarkStart w:id="51" w:name="_Toc29298"/>
      <w:bookmarkStart w:id="52" w:name="_Toc16791"/>
      <w:r>
        <w:rPr>
          <w:rFonts w:hint="eastAsia" w:ascii="Times New Roman" w:hAnsi="Times New Roman" w:cs="Times New Roman"/>
          <w:color w:val="000000" w:themeColor="text1"/>
          <w:highlight w:val="none"/>
          <w:lang w:val="en-US" w:eastAsia="zh-CN"/>
          <w14:textFill>
            <w14:solidFill>
              <w14:schemeClr w14:val="tx1"/>
            </w14:solidFill>
          </w14:textFill>
        </w:rPr>
        <w:t>加速智改数转步伐，打造集约循环美丽园区先行样板</w:t>
      </w:r>
      <w:bookmarkEnd w:id="46"/>
      <w:bookmarkEnd w:id="47"/>
      <w:bookmarkEnd w:id="48"/>
      <w:bookmarkEnd w:id="49"/>
      <w:bookmarkEnd w:id="50"/>
      <w:bookmarkEnd w:id="51"/>
      <w:bookmarkEnd w:id="52"/>
    </w:p>
    <w:p w14:paraId="47DBBDB6">
      <w:pPr>
        <w:keepNext w:val="0"/>
        <w:keepLines w:val="0"/>
        <w:pageBreakBefore w:val="0"/>
        <w:widowControl w:val="0"/>
        <w:suppressAutoHyphens w:val="0"/>
        <w:kinsoku/>
        <w:wordWrap/>
        <w:overflowPunct/>
        <w:topLinePunct w:val="0"/>
        <w:autoSpaceDE/>
        <w:autoSpaceDN/>
        <w:bidi w:val="0"/>
        <w:adjustRightInd w:val="0"/>
        <w:snapToGrid w:val="0"/>
        <w:spacing w:after="0" w:line="360" w:lineRule="auto"/>
        <w:ind w:left="0" w:leftChars="0" w:firstLine="640" w:firstLineChars="200"/>
        <w:jc w:val="both"/>
        <w:textAlignment w:val="auto"/>
        <w:rPr>
          <w:rFonts w:hint="default"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t>以推进新型工业化为导向，坚持高端化、智能化、绿色化，</w:t>
      </w:r>
      <w:r>
        <w:rPr>
          <w:rFonts w:hint="eastAsia"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t>巩固</w:t>
      </w:r>
      <w:r>
        <w:rPr>
          <w:rFonts w:hint="default"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t>“污水零直排区”</w:t>
      </w:r>
      <w:r>
        <w:rPr>
          <w:rFonts w:hint="eastAsia"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t>建设成效，推进“无废园区”建设</w:t>
      </w:r>
      <w:r>
        <w:rPr>
          <w:rFonts w:hint="default"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t>。统筹减污与降碳，改造升级园区环境治理水平，协同推进园区节能降碳增效，加快园区智能化改造和数字化转型步伐，打造集约循环、绿色低碳、人产和谐的现代化美丽园区先行样板。</w:t>
      </w:r>
    </w:p>
    <w:p w14:paraId="3E2F3D0A">
      <w:pPr>
        <w:keepNext w:val="0"/>
        <w:keepLines w:val="0"/>
        <w:pageBreakBefore w:val="0"/>
        <w:widowControl w:val="0"/>
        <w:suppressAutoHyphens w:val="0"/>
        <w:kinsoku/>
        <w:wordWrap/>
        <w:overflowPunct/>
        <w:topLinePunct w:val="0"/>
        <w:autoSpaceDE/>
        <w:autoSpaceDN/>
        <w:bidi w:val="0"/>
        <w:adjustRightInd w:val="0"/>
        <w:snapToGrid w:val="0"/>
        <w:spacing w:after="0" w:line="360" w:lineRule="auto"/>
        <w:ind w:left="0" w:leftChars="0" w:firstLine="643" w:firstLineChars="200"/>
        <w:jc w:val="both"/>
        <w:textAlignment w:val="auto"/>
        <w:rPr>
          <w:rFonts w:hint="default"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 w:eastAsia="zh-CN"/>
          <w14:textFill>
            <w14:solidFill>
              <w14:schemeClr w14:val="tx1"/>
            </w14:solidFill>
          </w14:textFill>
        </w:rPr>
        <w:t>（一）深化污染防治与循环化改造。</w:t>
      </w:r>
      <w:r>
        <w:rPr>
          <w:rFonts w:hint="eastAsia" w:ascii="Times New Roman" w:hAnsi="Times New Roman" w:eastAsia="仿宋_GB2312"/>
          <w:color w:val="000000" w:themeColor="text1"/>
          <w:sz w:val="32"/>
          <w:szCs w:val="31"/>
          <w:highlight w:val="none"/>
          <w:lang w:val="en"/>
          <w14:textFill>
            <w14:solidFill>
              <w14:schemeClr w14:val="tx1"/>
            </w14:solidFill>
          </w14:textFill>
        </w:rPr>
        <w:t>推进园区内基础设施共建共享，加快构建化工园区企业间物料循环、能量梯级利用体系，推进工业园区循环化改造。加强化工园区等重点区域综合治理，开展涉VOCs产业专项整治。引导涉水工业企业入</w:t>
      </w:r>
      <w:r>
        <w:rPr>
          <w:rFonts w:hint="eastAsia" w:ascii="Times New Roman" w:hAnsi="Times New Roman" w:eastAsia="仿宋_GB2312"/>
          <w:color w:val="000000" w:themeColor="text1"/>
          <w:sz w:val="32"/>
          <w:szCs w:val="31"/>
          <w:highlight w:val="none"/>
          <w:lang w:val="en-US" w:eastAsia="zh-CN"/>
          <w14:textFill>
            <w14:solidFill>
              <w14:schemeClr w14:val="tx1"/>
            </w14:solidFill>
          </w14:textFill>
        </w:rPr>
        <w:t>工业</w:t>
      </w:r>
      <w:r>
        <w:rPr>
          <w:rFonts w:hint="eastAsia" w:ascii="Times New Roman" w:hAnsi="Times New Roman" w:eastAsia="仿宋_GB2312"/>
          <w:color w:val="000000" w:themeColor="text1"/>
          <w:sz w:val="32"/>
          <w:szCs w:val="31"/>
          <w:highlight w:val="none"/>
          <w:lang w:val="en"/>
          <w14:textFill>
            <w14:solidFill>
              <w14:schemeClr w14:val="tx1"/>
            </w14:solidFill>
          </w14:textFill>
        </w:rPr>
        <w:t>园区或工业集中区，巩固提升工业园区“污水零直排区”建设成效，全面推进重点园区明管化改造；到2</w:t>
      </w:r>
      <w:r>
        <w:rPr>
          <w:rFonts w:ascii="Times New Roman" w:hAnsi="Times New Roman" w:eastAsia="仿宋_GB2312"/>
          <w:color w:val="000000" w:themeColor="text1"/>
          <w:sz w:val="32"/>
          <w:szCs w:val="31"/>
          <w:highlight w:val="none"/>
          <w:lang w:val="en"/>
          <w14:textFill>
            <w14:solidFill>
              <w14:schemeClr w14:val="tx1"/>
            </w14:solidFill>
          </w14:textFill>
        </w:rPr>
        <w:t>028</w:t>
      </w:r>
      <w:r>
        <w:rPr>
          <w:rFonts w:hint="eastAsia" w:ascii="Times New Roman" w:hAnsi="Times New Roman" w:eastAsia="仿宋_GB2312"/>
          <w:color w:val="000000" w:themeColor="text1"/>
          <w:sz w:val="32"/>
          <w:szCs w:val="31"/>
          <w:highlight w:val="none"/>
          <w:lang w:val="en"/>
          <w14:textFill>
            <w14:solidFill>
              <w14:schemeClr w14:val="tx1"/>
            </w14:solidFill>
          </w14:textFill>
        </w:rPr>
        <w:t>年底前，力争全市重点行业企业及所在园区完成明管化改造，工业生产废水实现全收集、全处理、全达标，流域水环境风险防控能力显著增强。</w:t>
      </w:r>
    </w:p>
    <w:p w14:paraId="0D9F92DF">
      <w:pPr>
        <w:keepNext w:val="0"/>
        <w:keepLines w:val="0"/>
        <w:pageBreakBefore w:val="0"/>
        <w:widowControl w:val="0"/>
        <w:suppressAutoHyphens w:val="0"/>
        <w:kinsoku/>
        <w:wordWrap/>
        <w:overflowPunct/>
        <w:topLinePunct w:val="0"/>
        <w:autoSpaceDE/>
        <w:autoSpaceDN/>
        <w:bidi w:val="0"/>
        <w:adjustRightInd w:val="0"/>
        <w:snapToGrid w:val="0"/>
        <w:spacing w:after="0" w:line="360" w:lineRule="auto"/>
        <w:ind w:left="0" w:leftChars="0" w:firstLine="643" w:firstLineChars="200"/>
        <w:jc w:val="both"/>
        <w:textAlignment w:val="auto"/>
        <w:rPr>
          <w:rFonts w:hint="default"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 w:eastAsia="zh-CN"/>
          <w14:textFill>
            <w14:solidFill>
              <w14:schemeClr w14:val="tx1"/>
            </w14:solidFill>
          </w14:textFill>
        </w:rPr>
        <w:t>（二）加强零碳园区建设。</w:t>
      </w:r>
      <w:r>
        <w:rPr>
          <w:rFonts w:hint="eastAsia"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t>推进各类园区低碳化改造，支持有条件的工业园区建设零碳园区，实施将乐零碳园区建设项目。推动化工园区开展氢能应用和碳捕集封存示范。分级培育零碳园区样板，推动重点企业创建“低零碳”工厂。</w:t>
      </w:r>
    </w:p>
    <w:p w14:paraId="2F924FFF">
      <w:pPr>
        <w:keepNext w:val="0"/>
        <w:keepLines w:val="0"/>
        <w:pageBreakBefore w:val="0"/>
        <w:widowControl w:val="0"/>
        <w:suppressAutoHyphens w:val="0"/>
        <w:kinsoku/>
        <w:wordWrap/>
        <w:overflowPunct/>
        <w:topLinePunct w:val="0"/>
        <w:autoSpaceDE/>
        <w:autoSpaceDN/>
        <w:bidi w:val="0"/>
        <w:adjustRightInd w:val="0"/>
        <w:snapToGrid w:val="0"/>
        <w:spacing w:after="0" w:line="360" w:lineRule="auto"/>
        <w:ind w:left="0" w:leftChars="0" w:firstLine="643" w:firstLineChars="200"/>
        <w:jc w:val="both"/>
        <w:textAlignment w:val="auto"/>
        <w:rPr>
          <w:rFonts w:hint="eastAsia" w:ascii="Times New Roman" w:hAnsi="Times New Roman" w:eastAsia="仿宋_GB2312" w:cs="Times New Roman"/>
          <w:color w:val="000000" w:themeColor="text1"/>
          <w:kern w:val="2"/>
          <w:sz w:val="32"/>
          <w:szCs w:val="31"/>
          <w:highlight w:val="none"/>
          <w:lang w:val="en-US" w:eastAsia="zh-CN" w:bidi="ar-SA"/>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 w:eastAsia="zh-CN"/>
          <w14:textFill>
            <w14:solidFill>
              <w14:schemeClr w14:val="tx1"/>
            </w14:solidFill>
          </w14:textFill>
        </w:rPr>
        <w:t>（三）强化园区智慧监管。</w:t>
      </w:r>
      <w:r>
        <w:rPr>
          <w:rFonts w:hint="eastAsia" w:ascii="Times New Roman" w:hAnsi="Times New Roman" w:eastAsia="仿宋_GB2312" w:cs="Times New Roman"/>
          <w:color w:val="000000" w:themeColor="text1"/>
          <w:kern w:val="2"/>
          <w:sz w:val="32"/>
          <w:szCs w:val="31"/>
          <w:highlight w:val="none"/>
          <w:lang w:val="en" w:eastAsia="zh-CN" w:bidi="ar-SA"/>
          <w14:textFill>
            <w14:solidFill>
              <w14:schemeClr w14:val="tx1"/>
            </w14:solidFill>
          </w14:textFill>
        </w:rPr>
        <w:t>梯次建设数字车间、智能工厂、未来工厂及数字园区，实施尤溪再生纺织数字化赋能、沙县金杨科技数字化智能化改造等项目。整合园区安防、环保、能耗等数据，构建“一网统管”模式，推动接入“城市大脑”。强化科技协同创新，培育专业服务机构，支持园区和企业开展产品碳足迹标识、ESG国际认证。</w:t>
      </w:r>
    </w:p>
    <w:tbl>
      <w:tblPr>
        <w:tblStyle w:val="1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14:paraId="33F4C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62" w:type="dxa"/>
            <w:vAlign w:val="center"/>
          </w:tcPr>
          <w:p w14:paraId="3026A030">
            <w:pPr>
              <w:keepNext/>
              <w:tabs>
                <w:tab w:val="left" w:pos="7680"/>
              </w:tabs>
              <w:suppressAutoHyphens/>
              <w:adjustRightInd w:val="0"/>
              <w:snapToGrid w:val="0"/>
              <w:spacing w:line="288" w:lineRule="auto"/>
              <w:ind w:firstLine="482" w:firstLineChars="200"/>
              <w:jc w:val="cente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专栏</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bCs/>
                <w:color w:val="000000" w:themeColor="text1"/>
                <w:sz w:val="24"/>
                <w:highlight w:val="none"/>
                <w14:textFill>
                  <w14:solidFill>
                    <w14:schemeClr w14:val="tx1"/>
                  </w14:solidFill>
                </w14:textFill>
              </w:rPr>
              <w:t>美丽园区样板建设工程</w:t>
            </w:r>
          </w:p>
        </w:tc>
      </w:tr>
      <w:tr w14:paraId="1D4DF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7" w:hRule="atLeast"/>
          <w:jc w:val="center"/>
        </w:trPr>
        <w:tc>
          <w:tcPr>
            <w:tcW w:w="9062" w:type="dxa"/>
            <w:vAlign w:val="center"/>
          </w:tcPr>
          <w:p w14:paraId="7B1599D2">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01工业废水集中处理与循环利用工程（市商务局）</w:t>
            </w:r>
          </w:p>
          <w:p w14:paraId="1B35DE4C">
            <w:pPr>
              <w:numPr>
                <w:ilvl w:val="255"/>
                <w:numId w:val="0"/>
              </w:numPr>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巩固“污水零直排区”建设成效，持续开展省级以上工业园区污水收集处理成效评估。建设园区中水回用工程与分质供水网络，推动重点企业水资源梯级利用。</w:t>
            </w:r>
          </w:p>
          <w:p w14:paraId="07FE012F">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02园区集中供热热电联产工程（市发改委、市生态环境局）</w:t>
            </w:r>
          </w:p>
          <w:p w14:paraId="36D7CD0D">
            <w:pPr>
              <w:numPr>
                <w:ilvl w:val="255"/>
                <w:numId w:val="0"/>
              </w:numPr>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推动明溪县工业集中区、将乐县积善工业集中区集中供热项目建设。</w:t>
            </w:r>
          </w:p>
          <w:p w14:paraId="2BC647D6">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03园区地下水污染源专项整治工程（市生态环境局）</w:t>
            </w:r>
          </w:p>
          <w:p w14:paraId="7CEBDFC2">
            <w:pPr>
              <w:numPr>
                <w:ilvl w:val="255"/>
                <w:numId w:val="0"/>
              </w:numPr>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在黄砂新材料循环经济产业园、永安市北部工业新城（三期）化工及生物制药集中区等重点区域，实施地下水污染源专项整治工程。</w:t>
            </w:r>
          </w:p>
          <w:p w14:paraId="6C9A4182">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04涉VOCs产业综合治理工程（市生态环境局）</w:t>
            </w:r>
          </w:p>
          <w:p w14:paraId="19A62E25">
            <w:pPr>
              <w:numPr>
                <w:ilvl w:val="255"/>
                <w:numId w:val="0"/>
              </w:numPr>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加快工业园区清洁化、循环化改造，实施化工园区VOCs减排项目。</w:t>
            </w:r>
          </w:p>
          <w:p w14:paraId="664928D5">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05危险废物利用和处置能力提升项目（市生态环境局、市发改委）</w:t>
            </w:r>
          </w:p>
          <w:p w14:paraId="58F1CBCF">
            <w:pPr>
              <w:numPr>
                <w:ilvl w:val="255"/>
                <w:numId w:val="0"/>
              </w:numPr>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实施福建省利凯科技有限公司废旧电子产品加工处理项目异地搬迁项目、福建创世纪铝业有限公司废铝灰综合利用及处置固废项目、尤溪县鑫辉润滑油再生利用有限公司扩类别项目等。</w:t>
            </w:r>
          </w:p>
          <w:p w14:paraId="6B6DE72D">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06园区智改数转工程（市工信局）</w:t>
            </w:r>
          </w:p>
          <w:p w14:paraId="0A381FBC">
            <w:pPr>
              <w:numPr>
                <w:ilvl w:val="255"/>
                <w:numId w:val="0"/>
              </w:numPr>
              <w:spacing w:line="288" w:lineRule="auto"/>
              <w:ind w:firstLine="480"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梯次建设数字车间、智能工厂、未来工厂及数字园区，实施尤溪再生纺织数字化赋能、沙县金杨科技数字化智能化改造等项目。</w:t>
            </w:r>
          </w:p>
          <w:p w14:paraId="5770E34A">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07智慧园区建设工程（相关部门按职责推进）</w:t>
            </w:r>
          </w:p>
          <w:p w14:paraId="24AD5334">
            <w:pPr>
              <w:numPr>
                <w:ilvl w:val="255"/>
                <w:numId w:val="0"/>
              </w:numPr>
              <w:spacing w:line="288" w:lineRule="auto"/>
              <w:ind w:firstLine="480"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建设智慧园区，重点推进明溪县工业集中区、永安尼葛园建立检测与修复信息管理平台建设。</w:t>
            </w:r>
          </w:p>
        </w:tc>
      </w:tr>
    </w:tbl>
    <w:p w14:paraId="5790E363">
      <w:pPr>
        <w:rPr>
          <w:rFonts w:hint="eastAsia" w:ascii="Times New Roman" w:hAnsi="Times New Roman" w:cs="Times New Roman"/>
          <w:color w:val="000000" w:themeColor="text1"/>
          <w:highlight w:val="none"/>
          <w:lang w:val="en-US" w:eastAsia="zh-CN"/>
          <w14:textFill>
            <w14:solidFill>
              <w14:schemeClr w14:val="tx1"/>
            </w14:solidFill>
          </w14:textFill>
        </w:rPr>
      </w:pPr>
    </w:p>
    <w:p w14:paraId="38A69AD2">
      <w:pPr>
        <w:rPr>
          <w:rFonts w:hint="eastAsia"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208FCC93">
      <w:pPr>
        <w:pStyle w:val="4"/>
        <w:numPr>
          <w:ilvl w:val="0"/>
          <w:numId w:val="1"/>
        </w:numPr>
        <w:suppressAutoHyphens/>
        <w:adjustRightInd w:val="0"/>
        <w:snapToGrid w:val="0"/>
        <w:spacing w:before="0" w:beforeLines="0" w:after="0" w:afterLines="0" w:line="360" w:lineRule="auto"/>
        <w:jc w:val="center"/>
        <w:rPr>
          <w:rFonts w:hint="eastAsia" w:ascii="Times New Roman" w:hAnsi="Times New Roman" w:cs="Times New Roman"/>
          <w:color w:val="000000" w:themeColor="text1"/>
          <w:highlight w:val="none"/>
          <w:lang w:val="en-US" w:eastAsia="zh-CN"/>
          <w14:textFill>
            <w14:solidFill>
              <w14:schemeClr w14:val="tx1"/>
            </w14:solidFill>
          </w14:textFill>
        </w:rPr>
      </w:pPr>
      <w:bookmarkStart w:id="53" w:name="_Toc152885792"/>
      <w:r>
        <w:rPr>
          <w:rFonts w:hint="eastAsia" w:ascii="Times New Roman" w:hAnsi="Times New Roman" w:cs="Times New Roman"/>
          <w:color w:val="000000" w:themeColor="text1"/>
          <w:highlight w:val="none"/>
          <w:lang w:val="en-US" w:eastAsia="zh-CN"/>
          <w14:textFill>
            <w14:solidFill>
              <w14:schemeClr w14:val="tx1"/>
            </w14:solidFill>
          </w14:textFill>
        </w:rPr>
        <w:t>筑牢美丽安全底线，树立韧性健康和谐生态安全典范</w:t>
      </w:r>
      <w:bookmarkEnd w:id="53"/>
    </w:p>
    <w:p w14:paraId="136B536E">
      <w:pPr>
        <w:keepNext w:val="0"/>
        <w:keepLines w:val="0"/>
        <w:pageBreakBefore w:val="0"/>
        <w:widowControl w:val="0"/>
        <w:suppressAutoHyphens w:val="0"/>
        <w:kinsoku/>
        <w:wordWrap/>
        <w:overflowPunct/>
        <w:topLinePunct w:val="0"/>
        <w:autoSpaceDE/>
        <w:autoSpaceDN/>
        <w:bidi w:val="0"/>
        <w:adjustRightInd w:val="0"/>
        <w:snapToGrid w:val="0"/>
        <w:spacing w:after="0" w:line="360" w:lineRule="auto"/>
        <w:ind w:left="0" w:leftChars="0" w:firstLine="640" w:firstLineChars="200"/>
        <w:jc w:val="both"/>
        <w:textAlignment w:val="auto"/>
        <w:rPr>
          <w:rFonts w:hint="default" w:ascii="Times New Roman" w:hAnsi="Times New Roman" w:eastAsia="仿宋_GB2312" w:cs="Times New Roman"/>
          <w:color w:val="000000" w:themeColor="text1"/>
          <w:kern w:val="2"/>
          <w:sz w:val="32"/>
          <w:szCs w:val="31"/>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1"/>
          <w:highlight w:val="none"/>
          <w:lang w:val="en-US" w:eastAsia="zh-CN" w:bidi="ar-SA"/>
          <w14:textFill>
            <w14:solidFill>
              <w14:schemeClr w14:val="tx1"/>
            </w14:solidFill>
          </w14:textFill>
        </w:rPr>
        <w:t>立足三明老工业基地、重点生态屏障及闽江上游核心水源区定位，贯彻总体国家安全观，构建全域联动、立体高效生态安全防护体系。聚焦化工园区、新污染物、危废、重金属、尾矿库，强化源头防控与全流程管控，常态化防范环境风险，守住核与辐射安全底线，稳固生态安全格局。</w:t>
      </w:r>
    </w:p>
    <w:p w14:paraId="07E142A3">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
          <w:color w:val="000000" w:themeColor="text1"/>
          <w:sz w:val="32"/>
          <w:szCs w:val="31"/>
          <w:highlight w:val="none"/>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（一）</w:t>
      </w:r>
      <w:r>
        <w:rPr>
          <w:rStyle w:val="16"/>
          <w:rFonts w:hint="default"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健全生态安全防护机制</w:t>
      </w: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1"/>
          <w:highlight w:val="none"/>
          <w14:textFill>
            <w14:solidFill>
              <w14:schemeClr w14:val="tx1"/>
            </w14:solidFill>
          </w14:textFill>
        </w:rPr>
        <w:t>建立市级统筹协调机制，完善风险清单、监测预警和评估研判体系，强化重点生态功能区风险防控。夯实核与辐射安全监管，提升核事故应急处置水平，推进老旧核设施治理修复，规范核技术利用与电磁辐射管理，降低辐射事故发生率。</w:t>
      </w:r>
    </w:p>
    <w:p w14:paraId="1E5967C8">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
          <w:color w:val="000000" w:themeColor="text1"/>
          <w:sz w:val="32"/>
          <w:szCs w:val="31"/>
          <w:highlight w:val="none"/>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（二）</w:t>
      </w:r>
      <w:r>
        <w:rPr>
          <w:rStyle w:val="16"/>
          <w:rFonts w:hint="default"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积极主动适应气候变化</w:t>
      </w: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1"/>
          <w:highlight w:val="none"/>
          <w14:textFill>
            <w14:solidFill>
              <w14:schemeClr w14:val="tx1"/>
            </w14:solidFill>
          </w14:textFill>
        </w:rPr>
        <w:t>开展生态屏障、河湖湿地保护修复，提升气候韧性，强化气候影响评估与地灾隐患排查。升级数字化气象服务，健全多领域应急联动机制，将气候风险评估纳入重大工程管理，提升经济社会气候适应能力。</w:t>
      </w:r>
    </w:p>
    <w:p w14:paraId="01DD71B1">
      <w:pPr>
        <w:keepNext w:val="0"/>
        <w:keepLines w:val="0"/>
        <w:pageBreakBefore w:val="0"/>
        <w:widowControl w:val="0"/>
        <w:suppressAutoHyphens/>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仿宋_GB2312" w:cs="Times New Roman"/>
          <w:bCs/>
          <w:color w:val="000000" w:themeColor="text1"/>
          <w:sz w:val="32"/>
          <w:szCs w:val="31"/>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（三）</w:t>
      </w:r>
      <w:r>
        <w:rPr>
          <w:rStyle w:val="16"/>
          <w:rFonts w:hint="default"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加强环境风险防控与应急管理</w:t>
      </w: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1"/>
          <w:highlight w:val="none"/>
          <w14:textFill>
            <w14:solidFill>
              <w14:schemeClr w14:val="tx1"/>
            </w14:solidFill>
          </w14:textFill>
        </w:rPr>
        <w:t>提升危险废物规范化处置、全链条溯源及小微企业集中收运能力。系统推进重点行业重金属污染治理，按期完成隐患排查整治。落实尾矿库分级监管，推行“一库一策一图”精细化治理。强化新污染物管控，纳入排污许可管理，推进监测溯源与绿色替代。落实重点流域、园区“</w:t>
      </w:r>
      <w:r>
        <w:rPr>
          <w:rFonts w:hint="eastAsia" w:ascii="Times New Roman" w:hAnsi="Times New Roman" w:eastAsia="仿宋_GB2312" w:cs="Times New Roman"/>
          <w:b w:val="0"/>
          <w:bCs/>
          <w:color w:val="000000" w:themeColor="text1"/>
          <w:sz w:val="32"/>
          <w:szCs w:val="31"/>
          <w:highlight w:val="none"/>
          <w:lang w:val="en-US" w:eastAsia="zh-CN"/>
          <w14:textFill>
            <w14:solidFill>
              <w14:schemeClr w14:val="tx1"/>
            </w14:solidFill>
          </w14:textFill>
        </w:rPr>
        <w:t>一园</w:t>
      </w:r>
      <w:r>
        <w:rPr>
          <w:rFonts w:hint="default" w:ascii="Times New Roman" w:hAnsi="Times New Roman" w:eastAsia="仿宋_GB2312" w:cs="Times New Roman"/>
          <w:b w:val="0"/>
          <w:bCs/>
          <w:color w:val="000000" w:themeColor="text1"/>
          <w:sz w:val="32"/>
          <w:szCs w:val="31"/>
          <w:highlight w:val="none"/>
          <w14:textFill>
            <w14:solidFill>
              <w14:schemeClr w14:val="tx1"/>
            </w14:solidFill>
          </w14:textFill>
        </w:rPr>
        <w:t>一策一图”应急机制，搭建2小时应急监测响应与物资保障体系。补强新污染物、水生生物专项监测能力，落实常态化应急值守，深化跨部门联防联控，健全生态损害赔偿机制，全面提升突发环境事件处置能力。</w:t>
      </w:r>
    </w:p>
    <w:tbl>
      <w:tblPr>
        <w:tblStyle w:val="12"/>
        <w:tblW w:w="91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14:paraId="73222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00" w:type="dxa"/>
            <w:vAlign w:val="center"/>
          </w:tcPr>
          <w:p w14:paraId="0237192C">
            <w:pPr>
              <w:keepNext/>
              <w:tabs>
                <w:tab w:val="left" w:pos="7680"/>
              </w:tabs>
              <w:suppressAutoHyphens/>
              <w:adjustRightInd w:val="0"/>
              <w:snapToGrid w:val="0"/>
              <w:spacing w:line="288" w:lineRule="auto"/>
              <w:ind w:firstLine="482" w:firstLineChars="200"/>
              <w:jc w:val="cente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专栏</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7</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生态安全体系</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建设工程</w:t>
            </w:r>
          </w:p>
        </w:tc>
      </w:tr>
      <w:tr w14:paraId="4ACC8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3" w:hRule="atLeast"/>
          <w:jc w:val="center"/>
        </w:trPr>
        <w:tc>
          <w:tcPr>
            <w:tcW w:w="9100" w:type="dxa"/>
            <w:vAlign w:val="center"/>
          </w:tcPr>
          <w:p w14:paraId="18AA8C7F">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01生态安全风险监测（</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市</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发改委、市气象局、市生态环境局）</w:t>
            </w:r>
          </w:p>
          <w:p w14:paraId="3EFC156D">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建立生态安全风险清单台账和风险监测预警指标，开展年度风险评估与中长期风险形势研判，建立生态安全风险监测预警体系业务化运行制度，提升生态安全风险研判评估、监测预警、应急应对和处置能力。</w:t>
            </w:r>
          </w:p>
          <w:p w14:paraId="101B055A">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02</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重点领域环境风险防控工程</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（市生态环境局）</w:t>
            </w:r>
          </w:p>
          <w:p w14:paraId="73A65D6C">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开展风险隐患整治及完成情况核查，对环境安全影响突出的涉重金属历史遗留问题，优先以保障饮用水安全为目标实施综合治理，“一企一策”“一地一策”分级分类整治，严格防控新的重金属环境风险。继续实施尾矿库分类分级环境监管，完成重点尾矿库突发水污染事件环境应急“一库一图一策”编制，开展尾矿库隐患排查治理与成效评估。</w:t>
            </w:r>
          </w:p>
          <w:p w14:paraId="2DC4924A">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03新污染物治理工程（市生态环境局）</w:t>
            </w:r>
          </w:p>
          <w:p w14:paraId="229D4DBB">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开展化学物质环境信息调查统计、新污染物调查监测，执行动态更新后的重点管控新污染物清单。以氟化工、纺织印染、医药等行业为重点，动态更新重点企业、重点区域清单。深化集中式饮用水水源地专项调查，逐步将全氟化物、抗生素纳入监测内容。</w:t>
            </w:r>
          </w:p>
        </w:tc>
      </w:tr>
    </w:tbl>
    <w:p w14:paraId="67D60259">
      <w:pPr>
        <w:rPr>
          <w:rFonts w:hint="eastAsia" w:ascii="Times New Roman" w:hAnsi="Times New Roman" w:cs="Times New Roman"/>
          <w:color w:val="000000" w:themeColor="text1"/>
          <w:highlight w:val="none"/>
          <w:lang w:val="en-US" w:eastAsia="zh-CN"/>
          <w14:textFill>
            <w14:solidFill>
              <w14:schemeClr w14:val="tx1"/>
            </w14:solidFill>
          </w14:textFill>
        </w:rPr>
      </w:pPr>
    </w:p>
    <w:p w14:paraId="7B20A6E7">
      <w:pPr>
        <w:rPr>
          <w:rFonts w:hint="eastAsia" w:ascii="Times New Roman" w:hAnsi="Times New Roman" w:cs="Times New Roman"/>
          <w:color w:val="000000" w:themeColor="text1"/>
          <w:highlight w:val="none"/>
          <w:lang w:val="en-US" w:eastAsia="zh-CN"/>
          <w14:textFill>
            <w14:solidFill>
              <w14:schemeClr w14:val="tx1"/>
            </w14:solidFill>
          </w14:textFill>
        </w:rPr>
      </w:pPr>
    </w:p>
    <w:p w14:paraId="594B122E">
      <w:pPr>
        <w:rPr>
          <w:rFonts w:hint="eastAsia"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37A771E2">
      <w:pPr>
        <w:pStyle w:val="4"/>
        <w:numPr>
          <w:ilvl w:val="0"/>
          <w:numId w:val="1"/>
        </w:numPr>
        <w:suppressAutoHyphens/>
        <w:adjustRightInd w:val="0"/>
        <w:snapToGrid w:val="0"/>
        <w:spacing w:before="0" w:beforeLines="0" w:after="0" w:afterLines="0" w:line="360" w:lineRule="auto"/>
        <w:jc w:val="center"/>
        <w:rPr>
          <w:rFonts w:hint="eastAsia" w:ascii="Times New Roman" w:hAnsi="Times New Roman" w:cs="Times New Roman"/>
          <w:color w:val="000000" w:themeColor="text1"/>
          <w:highlight w:val="none"/>
          <w:lang w:val="en-US" w:eastAsia="zh-CN"/>
          <w14:textFill>
            <w14:solidFill>
              <w14:schemeClr w14:val="tx1"/>
            </w14:solidFill>
          </w14:textFill>
        </w:rPr>
      </w:pPr>
      <w:bookmarkStart w:id="54" w:name="_Toc1463518090"/>
      <w:r>
        <w:rPr>
          <w:rFonts w:hint="eastAsia" w:ascii="Times New Roman" w:hAnsi="Times New Roman" w:cs="Times New Roman"/>
          <w:color w:val="000000" w:themeColor="text1"/>
          <w:highlight w:val="none"/>
          <w:lang w:val="en-US" w:eastAsia="zh-CN"/>
          <w14:textFill>
            <w14:solidFill>
              <w14:schemeClr w14:val="tx1"/>
            </w14:solidFill>
          </w14:textFill>
        </w:rPr>
        <w:t>深化生态文明改革，构建美丽三明生态治理共治格局</w:t>
      </w:r>
      <w:bookmarkEnd w:id="54"/>
    </w:p>
    <w:p w14:paraId="395D3E0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0" w:firstLineChars="200"/>
        <w:jc w:val="both"/>
        <w:textAlignment w:val="auto"/>
        <w:rPr>
          <w:rStyle w:val="16"/>
          <w:rFonts w:hint="eastAsia" w:ascii="仿宋_GB2312" w:hAnsi="仿宋_GB2312" w:eastAsia="仿宋_GB2312" w:cs="仿宋_GB2312"/>
          <w:color w:val="0000FF"/>
          <w:kern w:val="2"/>
          <w:sz w:val="32"/>
          <w:szCs w:val="32"/>
          <w:highlight w:val="none"/>
          <w:lang w:val="en-US" w:eastAsia="zh-CN"/>
        </w:rPr>
      </w:pP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围绕生态文明体制改革主线，健全生态补偿机制、推动区域生态协作、探索生态产品价值实现路径，</w:t>
      </w:r>
      <w:r>
        <w:rPr>
          <w:rStyle w:val="16"/>
          <w:rFonts w:hint="eastAsia" w:ascii="仿宋_GB2312" w:hAnsi="仿宋_GB2312" w:eastAsia="仿宋_GB2312" w:cs="仿宋_GB2312"/>
          <w:color w:val="auto"/>
          <w:kern w:val="2"/>
          <w:sz w:val="32"/>
          <w:szCs w:val="32"/>
          <w:highlight w:val="none"/>
          <w:lang w:val="en-US" w:eastAsia="zh-CN"/>
        </w:rPr>
        <w:t>完善与美丽三明建设相适应的生态环境治理体系。</w:t>
      </w:r>
    </w:p>
    <w:p w14:paraId="6B6AD6E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（一）健全生态文明制度体系。</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落实党政领导干部生态环境保护责任制和领导干部自然资源资产离任审计制度。深化生态环境治理制度与生态环保法治保障。推行“林长+警长”等联动机制，强化山水林田湖草系统治理。</w:t>
      </w:r>
    </w:p>
    <w:p w14:paraId="5CE7E7D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auto"/>
          <w:kern w:val="2"/>
          <w:sz w:val="32"/>
          <w:szCs w:val="32"/>
          <w:highlight w:val="none"/>
          <w:lang w:val="en-US" w:eastAsia="zh-CN"/>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（二）创新生态产品价值实现机制。</w:t>
      </w:r>
      <w:r>
        <w:rPr>
          <w:rStyle w:val="16"/>
          <w:rFonts w:hint="eastAsia" w:ascii="仿宋_GB2312" w:hAnsi="仿宋_GB2312" w:eastAsia="仿宋_GB2312" w:cs="仿宋_GB2312"/>
          <w:color w:val="auto"/>
          <w:kern w:val="2"/>
          <w:sz w:val="32"/>
          <w:szCs w:val="32"/>
          <w:highlight w:val="none"/>
          <w:lang w:val="en-US" w:eastAsia="zh-CN"/>
        </w:rPr>
        <w:t>探索建立GEP应用体系，推动其在绩效管理、干部综合评价、生态补偿等方面的应用。统筹推进国家生态产品价值实现机制试点，以及泰宁县、宁化县省级生态产品价值实现机制试点建设。完善流生态保护补偿机制，落实生态环境损害赔偿机制，健全资源要素市场化交易体系，做大做强福建沙县农村产权交易中心，打造集体产权定价中心和林权交易平台。立足资源禀赋，推动多元业态融合,拓宽价值转化路径。深化绿色金融政策创新。</w:t>
      </w:r>
    </w:p>
    <w:p w14:paraId="044CA665">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Style w:val="16"/>
          <w:rFonts w:hint="eastAsia" w:ascii="仿宋_GB2312" w:hAnsi="仿宋_GB2312" w:eastAsia="仿宋_GB2312" w:cs="仿宋_GB2312"/>
          <w:color w:val="auto"/>
          <w:kern w:val="2"/>
          <w:sz w:val="32"/>
          <w:szCs w:val="32"/>
          <w:highlight w:val="none"/>
          <w:lang w:val="en-US" w:eastAsia="zh-CN" w:bidi="ar-SA"/>
        </w:rPr>
      </w:pPr>
      <w:r>
        <w:rPr>
          <w:rStyle w:val="16"/>
          <w:rFonts w:hint="eastAsia" w:ascii="楷体_GB2312" w:hAnsi="楷体_GB2312" w:eastAsia="楷体_GB2312" w:cs="楷体_GB2312"/>
          <w:b/>
          <w:bCs/>
          <w:color w:val="auto"/>
          <w:kern w:val="2"/>
          <w:sz w:val="32"/>
          <w:szCs w:val="32"/>
          <w:highlight w:val="none"/>
          <w:lang w:val="en-US" w:eastAsia="zh-CN" w:bidi="ar-SA"/>
        </w:rPr>
        <w:t>（三）加强区域生态协作。</w:t>
      </w:r>
      <w:r>
        <w:rPr>
          <w:rStyle w:val="16"/>
          <w:rFonts w:hint="eastAsia" w:ascii="仿宋_GB2312" w:hAnsi="仿宋_GB2312" w:eastAsia="仿宋_GB2312" w:cs="仿宋_GB2312"/>
          <w:color w:val="auto"/>
          <w:kern w:val="2"/>
          <w:sz w:val="32"/>
          <w:szCs w:val="32"/>
          <w:highlight w:val="none"/>
          <w:lang w:val="en-US" w:eastAsia="zh-CN" w:bidi="ar-SA"/>
        </w:rPr>
        <w:t>统筹推进沪明对口合作、泉明山海协作、京明科技合作与两岸及周边生态融合。推动沪明两地联合创新生态产品价值实现机制，持续扩大沪明跨区域碳票交易规模，推动上海各类金融机构与三明强化绿色金融业务对接合作，助力绿色企业发展壮大。完善闽西南城市群大气污染联防联控机制，流域污染溯源与生态补偿机制，构建跨区域协同监管体系。</w:t>
      </w:r>
    </w:p>
    <w:p w14:paraId="39B4A1A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（四）强化科技与产业支撑。</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依托本地特色产业园区，布局节能环保装备制造基地。推动高耗能行业节能降碳转型，打造“零碳园区”“零碳工厂”。深化生态环境领域关键技术攻关，推进数字技术赋能，实施“人工智能+”行动，构建生态环境治理行业大模型。</w:t>
      </w:r>
    </w:p>
    <w:p w14:paraId="6C2926D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（五）数字赋能构建智慧监管体系。</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推进生态环境质量监测网络升级，构建“天空地海”一体化监测网络。构建“互联网+非现场监管”污染源自动监管体系，推进生态环境执法装备全面标准化配备。打通各部门数据壁垒，共建本地生态数据平台，实现数据共享互通。</w:t>
      </w:r>
    </w:p>
    <w:p w14:paraId="27317DC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auto"/>
        <w:ind w:firstLine="643" w:firstLineChars="200"/>
        <w:jc w:val="both"/>
        <w:textAlignment w:val="auto"/>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Style w:val="16"/>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（六）全民行动凝聚绿色发展共识。</w:t>
      </w:r>
      <w:r>
        <w:rPr>
          <w:rStyle w:val="16"/>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倡导民众践行绿色低碳生活方式，依托生态环境科普、宣传、教育等基地，推进生态环境志愿服务事业发展。动员社会各界参与各类环保主题宣传及环保设施开放活动，引导公众参与生态环境保护工作，凝聚全社会共建绿色发展的共识与合力。</w:t>
      </w:r>
    </w:p>
    <w:tbl>
      <w:tblPr>
        <w:tblStyle w:val="12"/>
        <w:tblW w:w="89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94"/>
      </w:tblGrid>
      <w:tr w14:paraId="659F8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94" w:type="dxa"/>
            <w:vAlign w:val="center"/>
          </w:tcPr>
          <w:p w14:paraId="669650C6">
            <w:pPr>
              <w:keepNext/>
              <w:tabs>
                <w:tab w:val="left" w:pos="7680"/>
              </w:tabs>
              <w:suppressAutoHyphens/>
              <w:adjustRightInd w:val="0"/>
              <w:snapToGrid w:val="0"/>
              <w:spacing w:line="288" w:lineRule="auto"/>
              <w:ind w:firstLine="482" w:firstLineChars="200"/>
              <w:jc w:val="center"/>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专栏</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8</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b/>
                <w:bCs/>
                <w:color w:val="000000" w:themeColor="text1"/>
                <w:kern w:val="0"/>
                <w:sz w:val="24"/>
                <w:szCs w:val="24"/>
                <w:highlight w:val="none"/>
                <w:lang w:bidi="ar"/>
                <w14:textFill>
                  <w14:solidFill>
                    <w14:schemeClr w14:val="tx1"/>
                  </w14:solidFill>
                </w14:textFill>
              </w:rPr>
              <w:t>治理能力现代化建设工程</w:t>
            </w:r>
          </w:p>
        </w:tc>
      </w:tr>
      <w:tr w14:paraId="6353B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9" w:hRule="atLeast"/>
          <w:jc w:val="center"/>
        </w:trPr>
        <w:tc>
          <w:tcPr>
            <w:tcW w:w="8994" w:type="dxa"/>
            <w:vAlign w:val="center"/>
          </w:tcPr>
          <w:p w14:paraId="113D141C">
            <w:pPr>
              <w:numPr>
                <w:ilvl w:val="255"/>
                <w:numId w:val="0"/>
              </w:numPr>
              <w:spacing w:line="288" w:lineRule="auto"/>
              <w:ind w:firstLine="482" w:firstLineChars="200"/>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01生态环境监测网络升级</w:t>
            </w:r>
            <w:r>
              <w:rPr>
                <w:rFonts w:hint="eastAsia" w:ascii="仿宋_GB2312" w:hAnsi="仿宋_GB2312" w:eastAsia="仿宋_GB2312" w:cs="仿宋_GB2312"/>
                <w:b/>
                <w:bCs/>
                <w:color w:val="000000" w:themeColor="text1"/>
                <w:sz w:val="24"/>
                <w:szCs w:val="24"/>
                <w:highlight w:val="none"/>
                <w:lang w:eastAsia="zh-CN"/>
                <w14:textFill>
                  <w14:solidFill>
                    <w14:schemeClr w14:val="tx1"/>
                  </w14:solidFill>
                </w14:textFill>
              </w:rPr>
              <w:t>（市生态环境局）</w:t>
            </w:r>
          </w:p>
          <w:p w14:paraId="086D4126">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完善河湖水体的水生态环境监测体系，常态化开展黑臭水体监测。开展大气污染监测预警与预报模型研究，解析臭氧污染、颗粒物组分的精细化来源。推进自动监测站老旧设备更新与数智化改造，试点应用无人运维、智能采样、黑灯实验室等先进智能技术。</w:t>
            </w:r>
          </w:p>
          <w:p w14:paraId="7E0F585A">
            <w:pPr>
              <w:numPr>
                <w:ilvl w:val="255"/>
                <w:numId w:val="0"/>
              </w:numPr>
              <w:suppressAutoHyphens/>
              <w:adjustRightInd w:val="0"/>
              <w:snapToGrid w:val="0"/>
              <w:spacing w:line="288" w:lineRule="auto"/>
              <w:ind w:firstLine="482" w:firstLineChars="200"/>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02生态环境执法和应急能力建设（市生态环境局）</w:t>
            </w:r>
          </w:p>
          <w:p w14:paraId="026FA8D2">
            <w:pPr>
              <w:numPr>
                <w:ilvl w:val="255"/>
                <w:numId w:val="0"/>
              </w:numPr>
              <w:suppressAutoHyphens/>
              <w:adjustRightInd w:val="0"/>
              <w:snapToGrid w:val="0"/>
              <w:spacing w:line="288" w:lineRule="auto"/>
              <w:ind w:firstLine="480" w:firstLineChars="200"/>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14:textFill>
                  <w14:solidFill>
                    <w14:schemeClr w14:val="tx1"/>
                  </w14:solidFill>
                </w14:textFill>
              </w:rPr>
              <w:t>对照执法装备标准化建设要求，优化执法装备配置，推动新技术新装备应用，确保2029年前执法装备全面对标配齐。补齐市级应急监测装备短板，推进机器人、无人机（船）在应急监测等复杂场景中应用。</w:t>
            </w:r>
          </w:p>
        </w:tc>
      </w:tr>
    </w:tbl>
    <w:p w14:paraId="4C8B9E1F">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jc w:val="both"/>
        <w:textAlignment w:val="auto"/>
        <w:rPr>
          <w:rStyle w:val="16"/>
          <w:rFonts w:hint="default"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4B477005">
      <w:pPr>
        <w:pStyle w:val="4"/>
        <w:numPr>
          <w:ilvl w:val="0"/>
          <w:numId w:val="1"/>
        </w:numPr>
        <w:suppressAutoHyphens/>
        <w:adjustRightInd w:val="0"/>
        <w:snapToGrid w:val="0"/>
        <w:spacing w:before="0" w:beforeLines="0" w:after="0" w:afterLines="0" w:line="360" w:lineRule="auto"/>
        <w:jc w:val="left"/>
        <w:rPr>
          <w:rFonts w:hint="eastAsia" w:ascii="Times New Roman" w:hAnsi="Times New Roman" w:cs="Times New Roman"/>
          <w:color w:val="000000" w:themeColor="text1"/>
          <w:highlight w:val="none"/>
          <w:lang w:val="en-US" w:eastAsia="zh-CN"/>
          <w14:textFill>
            <w14:solidFill>
              <w14:schemeClr w14:val="tx1"/>
            </w14:solidFill>
          </w14:textFill>
        </w:rPr>
      </w:pPr>
      <w:bookmarkStart w:id="55" w:name="_Toc718297116"/>
      <w:r>
        <w:rPr>
          <w:rFonts w:hint="eastAsia" w:ascii="Times New Roman" w:hAnsi="Times New Roman" w:cs="Times New Roman"/>
          <w:color w:val="000000" w:themeColor="text1"/>
          <w:highlight w:val="none"/>
          <w:lang w:val="en-US" w:eastAsia="zh-CN"/>
          <w14:textFill>
            <w14:solidFill>
              <w14:schemeClr w14:val="tx1"/>
            </w14:solidFill>
          </w14:textFill>
        </w:rPr>
        <w:t>规划实施保障</w:t>
      </w:r>
      <w:bookmarkEnd w:id="55"/>
    </w:p>
    <w:p w14:paraId="276A5045">
      <w:pPr>
        <w:suppressAutoHyphens/>
        <w:adjustRightInd w:val="0"/>
        <w:snapToGrid w:val="0"/>
        <w:spacing w:line="360" w:lineRule="auto"/>
        <w:ind w:firstLine="640" w:firstLineChars="200"/>
        <w:rPr>
          <w:rFonts w:hint="eastAsia" w:ascii="Times New Roman" w:hAnsi="Times New Roman" w:eastAsia="仿宋_GB2312"/>
          <w:bCs/>
          <w:color w:val="000000" w:themeColor="text1"/>
          <w:sz w:val="32"/>
          <w:szCs w:val="31"/>
          <w:highlight w:val="none"/>
          <w:lang w:val="en-US" w:eastAsia="zh-CN"/>
          <w14:textFill>
            <w14:solidFill>
              <w14:schemeClr w14:val="tx1"/>
            </w14:solidFill>
          </w14:textFill>
        </w:rPr>
      </w:pPr>
      <w:r>
        <w:rPr>
          <w:rFonts w:hint="eastAsia" w:ascii="Times New Roman" w:hAnsi="Times New Roman" w:eastAsia="仿宋_GB2312"/>
          <w:bCs/>
          <w:color w:val="000000" w:themeColor="text1"/>
          <w:sz w:val="32"/>
          <w:szCs w:val="31"/>
          <w:highlight w:val="none"/>
          <w:lang w:val="en-US" w:eastAsia="zh-CN"/>
          <w14:textFill>
            <w14:solidFill>
              <w14:schemeClr w14:val="tx1"/>
            </w14:solidFill>
          </w14:textFill>
        </w:rPr>
        <w:t>严格落实党政同责、一岗双责，建立责任明晰、分工协作、协调联动的工作机制。加大对规划重大项目的财政、金融、价格等政策支持，争取中央预算内投资、超长期特别国债等资金，引导金融、社会资本加大绿色转型投资。生态环境局会同有关部门调度规划进展，跟踪督促规划各项工作落实，分别在2028年和2030年对规划实施情况进行中期评估和总结评估，依据评估结果适时对规划指标、目标和重点任务进行动态优化调整，确保规划始终科学引领美丽三明建设实践。</w:t>
      </w:r>
    </w:p>
    <w:p w14:paraId="3A921D91">
      <w:pPr>
        <w:pStyle w:val="3"/>
        <w:rPr>
          <w:rFonts w:hint="eastAsia" w:ascii="Times New Roman" w:hAnsi="Times New Roman" w:eastAsia="仿宋_GB2312"/>
          <w:bCs/>
          <w:color w:val="000000" w:themeColor="text1"/>
          <w:sz w:val="32"/>
          <w:szCs w:val="31"/>
          <w:highlight w:val="none"/>
          <w:lang w:val="en-US" w:eastAsia="zh-CN"/>
          <w14:textFill>
            <w14:solidFill>
              <w14:schemeClr w14:val="tx1"/>
            </w14:solidFill>
          </w14:textFill>
        </w:rPr>
      </w:pPr>
    </w:p>
    <w:p w14:paraId="26075D85">
      <w:pPr>
        <w:rPr>
          <w:rFonts w:hint="eastAsia"/>
          <w:color w:val="000000" w:themeColor="text1"/>
          <w:highlight w:val="none"/>
          <w:lang w:val="en-US" w:eastAsia="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4C4426BB">
      <w:pPr>
        <w:keepNext/>
        <w:keepLines/>
        <w:widowControl w:val="0"/>
        <w:suppressAutoHyphens/>
        <w:adjustRightInd w:val="0"/>
        <w:snapToGrid w:val="0"/>
        <w:spacing w:before="0" w:beforeLines="0" w:after="0" w:afterLines="0" w:line="360" w:lineRule="auto"/>
        <w:ind w:firstLine="0" w:firstLineChars="0"/>
        <w:jc w:val="both"/>
        <w:outlineLvl w:val="0"/>
        <w:rPr>
          <w:rFonts w:hint="default" w:ascii="Times New Roman" w:hAnsi="Times New Roman" w:eastAsia="黑体" w:cs="Times New Roman"/>
          <w:color w:val="000000" w:themeColor="text1"/>
          <w:kern w:val="44"/>
          <w:sz w:val="36"/>
          <w:szCs w:val="24"/>
          <w:highlight w:val="none"/>
          <w:lang w:val="en" w:eastAsia="zh-CN" w:bidi="ar-SA"/>
          <w14:textFill>
            <w14:solidFill>
              <w14:schemeClr w14:val="tx1"/>
            </w14:solidFill>
          </w14:textFill>
        </w:rPr>
      </w:pPr>
      <w:bookmarkStart w:id="56" w:name="_Toc690874050"/>
      <w:bookmarkStart w:id="57" w:name="_Toc5691"/>
      <w:bookmarkStart w:id="58" w:name="_Toc8004"/>
      <w:bookmarkStart w:id="59" w:name="_Toc14098"/>
      <w:bookmarkStart w:id="60" w:name="_Toc9117"/>
      <w:bookmarkStart w:id="61" w:name="_Toc153338368"/>
      <w:bookmarkStart w:id="62" w:name="_Toc6104"/>
      <w:bookmarkStart w:id="63" w:name="_Toc12337"/>
      <w:bookmarkStart w:id="64" w:name="_Toc4308"/>
      <w:r>
        <w:rPr>
          <w:rFonts w:hint="eastAsia" w:ascii="Times New Roman" w:hAnsi="Times New Roman" w:eastAsia="黑体" w:cs="Times New Roman"/>
          <w:color w:val="000000" w:themeColor="text1"/>
          <w:kern w:val="44"/>
          <w:sz w:val="36"/>
          <w:szCs w:val="24"/>
          <w:highlight w:val="none"/>
          <w:lang w:val="en" w:eastAsia="zh-CN" w:bidi="ar-SA"/>
          <w14:textFill>
            <w14:solidFill>
              <w14:schemeClr w14:val="tx1"/>
            </w14:solidFill>
          </w14:textFill>
        </w:rPr>
        <w:t>附表</w:t>
      </w:r>
      <w:r>
        <w:rPr>
          <w:rFonts w:hint="eastAsia" w:ascii="Times New Roman" w:hAnsi="Times New Roman" w:eastAsia="黑体" w:cs="Times New Roman"/>
          <w:color w:val="000000" w:themeColor="text1"/>
          <w:kern w:val="44"/>
          <w:sz w:val="36"/>
          <w:szCs w:val="24"/>
          <w:highlight w:val="none"/>
          <w:lang w:val="en-US" w:eastAsia="zh-CN" w:bidi="ar-SA"/>
          <w14:textFill>
            <w14:solidFill>
              <w14:schemeClr w14:val="tx1"/>
            </w14:solidFill>
          </w14:textFill>
        </w:rPr>
        <w:t>1</w:t>
      </w:r>
      <w:bookmarkEnd w:id="56"/>
    </w:p>
    <w:p w14:paraId="7CB40C26">
      <w:pPr>
        <w:keepNext/>
        <w:keepLines/>
        <w:widowControl w:val="0"/>
        <w:suppressAutoHyphens/>
        <w:adjustRightInd w:val="0"/>
        <w:snapToGrid w:val="0"/>
        <w:spacing w:before="0" w:beforeLines="0" w:after="0" w:afterLines="0" w:line="360" w:lineRule="auto"/>
        <w:ind w:firstLine="0" w:firstLineChars="0"/>
        <w:jc w:val="center"/>
        <w:outlineLvl w:val="0"/>
        <w:rPr>
          <w:rFonts w:hint="default" w:ascii="Times New Roman" w:hAnsi="Times New Roman" w:eastAsia="黑体" w:cs="Times New Roman"/>
          <w:color w:val="000000" w:themeColor="text1"/>
          <w:kern w:val="44"/>
          <w:sz w:val="36"/>
          <w:szCs w:val="24"/>
          <w:highlight w:val="none"/>
          <w:lang w:val="en" w:eastAsia="zh-CN" w:bidi="ar-SA"/>
          <w14:textFill>
            <w14:solidFill>
              <w14:schemeClr w14:val="tx1"/>
            </w14:solidFill>
          </w14:textFill>
        </w:rPr>
      </w:pPr>
      <w:bookmarkStart w:id="65" w:name="_Toc1728084861"/>
      <w:r>
        <w:rPr>
          <w:rFonts w:hint="default" w:ascii="Times New Roman" w:hAnsi="Times New Roman" w:eastAsia="黑体" w:cs="Times New Roman"/>
          <w:color w:val="000000" w:themeColor="text1"/>
          <w:kern w:val="44"/>
          <w:sz w:val="36"/>
          <w:szCs w:val="24"/>
          <w:highlight w:val="none"/>
          <w:lang w:val="en" w:eastAsia="zh-CN" w:bidi="ar-SA"/>
          <w14:textFill>
            <w14:solidFill>
              <w14:schemeClr w14:val="tx1"/>
            </w14:solidFill>
          </w14:textFill>
        </w:rPr>
        <w:t>三明市“十五五”</w:t>
      </w:r>
      <w:r>
        <w:rPr>
          <w:rFonts w:hint="eastAsia" w:ascii="Times New Roman" w:hAnsi="Times New Roman" w:eastAsia="黑体" w:cs="Times New Roman"/>
          <w:color w:val="000000" w:themeColor="text1"/>
          <w:kern w:val="44"/>
          <w:sz w:val="36"/>
          <w:szCs w:val="24"/>
          <w:highlight w:val="none"/>
          <w:lang w:val="en" w:eastAsia="zh-CN" w:bidi="ar-SA"/>
          <w14:textFill>
            <w14:solidFill>
              <w14:schemeClr w14:val="tx1"/>
            </w14:solidFill>
          </w14:textFill>
        </w:rPr>
        <w:t>生态环境保护专项规划</w:t>
      </w:r>
      <w:r>
        <w:rPr>
          <w:rFonts w:hint="default" w:ascii="Times New Roman" w:hAnsi="Times New Roman" w:eastAsia="黑体" w:cs="Times New Roman"/>
          <w:color w:val="000000" w:themeColor="text1"/>
          <w:kern w:val="44"/>
          <w:sz w:val="36"/>
          <w:szCs w:val="24"/>
          <w:highlight w:val="none"/>
          <w:lang w:val="en" w:eastAsia="zh-CN" w:bidi="ar-SA"/>
          <w14:textFill>
            <w14:solidFill>
              <w14:schemeClr w14:val="tx1"/>
            </w14:solidFill>
          </w14:textFill>
        </w:rPr>
        <w:t>主要指标</w:t>
      </w:r>
      <w:bookmarkEnd w:id="65"/>
    </w:p>
    <w:tbl>
      <w:tblPr>
        <w:tblStyle w:val="12"/>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14"/>
        <w:gridCol w:w="3067"/>
        <w:gridCol w:w="1287"/>
        <w:gridCol w:w="1609"/>
        <w:gridCol w:w="983"/>
      </w:tblGrid>
      <w:tr w14:paraId="58D6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blHeader/>
          <w:jc w:val="center"/>
        </w:trPr>
        <w:tc>
          <w:tcPr>
            <w:tcW w:w="392" w:type="pct"/>
            <w:vAlign w:val="center"/>
          </w:tcPr>
          <w:p w14:paraId="5C745C03">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领域</w:t>
            </w:r>
          </w:p>
        </w:tc>
        <w:tc>
          <w:tcPr>
            <w:tcW w:w="429" w:type="pct"/>
            <w:noWrap/>
            <w:vAlign w:val="center"/>
          </w:tcPr>
          <w:p w14:paraId="62119BCA">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序号</w:t>
            </w:r>
          </w:p>
        </w:tc>
        <w:tc>
          <w:tcPr>
            <w:tcW w:w="1844" w:type="pct"/>
            <w:noWrap/>
            <w:vAlign w:val="center"/>
          </w:tcPr>
          <w:p w14:paraId="39946D38">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指  标</w:t>
            </w:r>
          </w:p>
        </w:tc>
        <w:tc>
          <w:tcPr>
            <w:tcW w:w="774" w:type="pct"/>
            <w:noWrap/>
            <w:vAlign w:val="center"/>
          </w:tcPr>
          <w:p w14:paraId="5E5EC761">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bidi="ar"/>
                <w14:textFill>
                  <w14:solidFill>
                    <w14:schemeClr w14:val="tx1"/>
                  </w14:solidFill>
                </w14:textFill>
              </w:rPr>
              <w:t>规划基数（</w:t>
            </w: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2025年</w:t>
            </w:r>
            <w:r>
              <w:rPr>
                <w:rFonts w:hint="eastAsia" w:ascii="仿宋_GB2312" w:hAnsi="仿宋_GB2312" w:eastAsia="仿宋_GB2312" w:cs="仿宋_GB2312"/>
                <w:color w:val="000000" w:themeColor="text1"/>
                <w:kern w:val="0"/>
                <w:sz w:val="21"/>
                <w:szCs w:val="21"/>
                <w:highlight w:val="none"/>
                <w:lang w:eastAsia="zh-CN" w:bidi="ar"/>
                <w14:textFill>
                  <w14:solidFill>
                    <w14:schemeClr w14:val="tx1"/>
                  </w14:solidFill>
                </w14:textFill>
              </w:rPr>
              <w:t>）</w:t>
            </w:r>
          </w:p>
        </w:tc>
        <w:tc>
          <w:tcPr>
            <w:tcW w:w="967" w:type="pct"/>
            <w:noWrap/>
            <w:vAlign w:val="center"/>
          </w:tcPr>
          <w:p w14:paraId="52086D74">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目标值</w:t>
            </w:r>
          </w:p>
          <w:p w14:paraId="58635D74">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（2030年）</w:t>
            </w:r>
          </w:p>
        </w:tc>
        <w:tc>
          <w:tcPr>
            <w:tcW w:w="591" w:type="pct"/>
            <w:noWrap/>
            <w:vAlign w:val="center"/>
          </w:tcPr>
          <w:p w14:paraId="5AFA68DD">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指标</w:t>
            </w:r>
          </w:p>
          <w:p w14:paraId="7E311ED3">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属性</w:t>
            </w:r>
          </w:p>
        </w:tc>
      </w:tr>
      <w:tr w14:paraId="33C7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2" w:type="pct"/>
            <w:vMerge w:val="restart"/>
            <w:vAlign w:val="center"/>
          </w:tcPr>
          <w:p w14:paraId="471DDC82">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绿色</w:t>
            </w:r>
          </w:p>
          <w:p w14:paraId="21D4815A">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低碳</w:t>
            </w:r>
          </w:p>
          <w:p w14:paraId="7A255690">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发展</w:t>
            </w:r>
          </w:p>
        </w:tc>
        <w:tc>
          <w:tcPr>
            <w:tcW w:w="429" w:type="pct"/>
            <w:noWrap/>
            <w:vAlign w:val="center"/>
          </w:tcPr>
          <w:p w14:paraId="5386EC81">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textAlignment w:val="cente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p>
        </w:tc>
        <w:tc>
          <w:tcPr>
            <w:tcW w:w="1844" w:type="pct"/>
            <w:noWrap/>
            <w:vAlign w:val="center"/>
          </w:tcPr>
          <w:p w14:paraId="464F8D88">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单位地区生产总值二氧化碳排放降低（%）</w:t>
            </w:r>
          </w:p>
        </w:tc>
        <w:tc>
          <w:tcPr>
            <w:tcW w:w="774" w:type="pct"/>
            <w:shd w:val="clear" w:color="auto" w:fill="auto"/>
            <w:noWrap/>
            <w:vAlign w:val="center"/>
          </w:tcPr>
          <w:p w14:paraId="0050BE1C">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w:t>
            </w:r>
          </w:p>
        </w:tc>
        <w:tc>
          <w:tcPr>
            <w:tcW w:w="967" w:type="pct"/>
            <w:shd w:val="clear" w:color="auto" w:fill="auto"/>
            <w:noWrap/>
            <w:vAlign w:val="center"/>
          </w:tcPr>
          <w:p w14:paraId="1A29A176">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完成省下达</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目标</w:t>
            </w:r>
          </w:p>
        </w:tc>
        <w:tc>
          <w:tcPr>
            <w:tcW w:w="591" w:type="pct"/>
            <w:noWrap/>
            <w:vAlign w:val="center"/>
          </w:tcPr>
          <w:p w14:paraId="531B81F9">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约束性</w:t>
            </w:r>
          </w:p>
        </w:tc>
      </w:tr>
      <w:tr w14:paraId="64BD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Merge w:val="continue"/>
            <w:vAlign w:val="center"/>
          </w:tcPr>
          <w:p w14:paraId="18142F61">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429" w:type="pct"/>
            <w:vAlign w:val="center"/>
          </w:tcPr>
          <w:p w14:paraId="14915196">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16DBEA54">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主要污染物（氮氧化物、挥发性有机物、化学需氧量、总磷）重点工程减排量</w:t>
            </w:r>
          </w:p>
        </w:tc>
        <w:tc>
          <w:tcPr>
            <w:tcW w:w="774" w:type="pct"/>
            <w:noWrap/>
            <w:vAlign w:val="center"/>
          </w:tcPr>
          <w:p w14:paraId="285053B8">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default"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w:t>
            </w:r>
          </w:p>
        </w:tc>
        <w:tc>
          <w:tcPr>
            <w:tcW w:w="967" w:type="pct"/>
            <w:noWrap/>
            <w:vAlign w:val="center"/>
          </w:tcPr>
          <w:p w14:paraId="24BA1D0E">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完成省下达目标</w:t>
            </w:r>
          </w:p>
        </w:tc>
        <w:tc>
          <w:tcPr>
            <w:tcW w:w="591" w:type="pct"/>
            <w:noWrap/>
            <w:vAlign w:val="center"/>
          </w:tcPr>
          <w:p w14:paraId="5090A59F">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约束性</w:t>
            </w:r>
          </w:p>
        </w:tc>
      </w:tr>
      <w:tr w14:paraId="26F1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Merge w:val="continue"/>
            <w:vAlign w:val="center"/>
          </w:tcPr>
          <w:p w14:paraId="5F8A503C">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429" w:type="pct"/>
            <w:vAlign w:val="center"/>
          </w:tcPr>
          <w:p w14:paraId="136AFDED">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50A38F40">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FF0000"/>
                <w:sz w:val="21"/>
                <w:szCs w:val="21"/>
                <w:highlight w:val="none"/>
                <w:lang w:eastAsia="zh-CN"/>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获得产品碳足迹标识认证企业数量（</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家</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tc>
        <w:tc>
          <w:tcPr>
            <w:tcW w:w="774" w:type="pct"/>
            <w:noWrap/>
            <w:vAlign w:val="center"/>
          </w:tcPr>
          <w:p w14:paraId="784BAEA3">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default"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w:t>
            </w:r>
          </w:p>
        </w:tc>
        <w:tc>
          <w:tcPr>
            <w:tcW w:w="967" w:type="pct"/>
            <w:noWrap/>
            <w:vAlign w:val="center"/>
          </w:tcPr>
          <w:p w14:paraId="6443DEF8">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完成省下达目标</w:t>
            </w:r>
          </w:p>
        </w:tc>
        <w:tc>
          <w:tcPr>
            <w:tcW w:w="591" w:type="pct"/>
            <w:noWrap/>
            <w:vAlign w:val="center"/>
          </w:tcPr>
          <w:p w14:paraId="13D43535">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预期性</w:t>
            </w:r>
          </w:p>
        </w:tc>
      </w:tr>
      <w:tr w14:paraId="6212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92" w:type="pct"/>
            <w:vMerge w:val="restart"/>
            <w:noWrap/>
            <w:vAlign w:val="center"/>
          </w:tcPr>
          <w:p w14:paraId="4812AD1D">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美丽</w:t>
            </w:r>
          </w:p>
          <w:p w14:paraId="37C76F88">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default" w:ascii="仿宋_GB2312" w:hAnsi="仿宋_GB2312" w:eastAsia="仿宋_GB2312" w:cs="仿宋_GB2312"/>
                <w:color w:val="000000" w:themeColor="text1"/>
                <w:sz w:val="21"/>
                <w:szCs w:val="21"/>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t>山川建设</w:t>
            </w:r>
          </w:p>
        </w:tc>
        <w:tc>
          <w:tcPr>
            <w:tcW w:w="429" w:type="pct"/>
            <w:vAlign w:val="center"/>
          </w:tcPr>
          <w:p w14:paraId="34A6714B">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1D6F94A7">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生态保护红线面积（万平方千米）</w:t>
            </w:r>
          </w:p>
        </w:tc>
        <w:tc>
          <w:tcPr>
            <w:tcW w:w="774" w:type="pct"/>
            <w:noWrap/>
            <w:vAlign w:val="center"/>
          </w:tcPr>
          <w:p w14:paraId="7215777B">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待补充</w:t>
            </w:r>
          </w:p>
        </w:tc>
        <w:tc>
          <w:tcPr>
            <w:tcW w:w="967" w:type="pct"/>
            <w:noWrap/>
            <w:vAlign w:val="center"/>
          </w:tcPr>
          <w:p w14:paraId="60746EBD">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不降低</w:t>
            </w:r>
          </w:p>
        </w:tc>
        <w:tc>
          <w:tcPr>
            <w:tcW w:w="591" w:type="pct"/>
            <w:noWrap/>
            <w:vAlign w:val="center"/>
          </w:tcPr>
          <w:p w14:paraId="009C7B4D">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约束性</w:t>
            </w:r>
          </w:p>
        </w:tc>
      </w:tr>
      <w:tr w14:paraId="0600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92" w:type="pct"/>
            <w:vMerge w:val="continue"/>
            <w:noWrap/>
            <w:vAlign w:val="center"/>
          </w:tcPr>
          <w:p w14:paraId="1313616E">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kern w:val="0"/>
                <w:sz w:val="21"/>
                <w:szCs w:val="21"/>
                <w:highlight w:val="none"/>
                <w:lang w:eastAsia="zh-CN" w:bidi="ar"/>
                <w14:textFill>
                  <w14:solidFill>
                    <w14:schemeClr w14:val="tx1"/>
                  </w14:solidFill>
                </w14:textFill>
              </w:rPr>
            </w:pPr>
          </w:p>
        </w:tc>
        <w:tc>
          <w:tcPr>
            <w:tcW w:w="429" w:type="pct"/>
            <w:vAlign w:val="center"/>
          </w:tcPr>
          <w:p w14:paraId="09399F9C">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58F9022C">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生态质量指数（</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EQI</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tc>
        <w:tc>
          <w:tcPr>
            <w:tcW w:w="774" w:type="pct"/>
            <w:noWrap/>
            <w:vAlign w:val="center"/>
          </w:tcPr>
          <w:p w14:paraId="31F9491E">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w:t>
            </w:r>
          </w:p>
        </w:tc>
        <w:tc>
          <w:tcPr>
            <w:tcW w:w="967" w:type="pct"/>
            <w:noWrap/>
            <w:vAlign w:val="center"/>
          </w:tcPr>
          <w:p w14:paraId="4555607B">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稳中向好</w:t>
            </w:r>
          </w:p>
        </w:tc>
        <w:tc>
          <w:tcPr>
            <w:tcW w:w="591" w:type="pct"/>
            <w:noWrap/>
            <w:vAlign w:val="center"/>
          </w:tcPr>
          <w:p w14:paraId="1A854163">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预期性</w:t>
            </w:r>
          </w:p>
        </w:tc>
      </w:tr>
      <w:tr w14:paraId="47AF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392" w:type="pct"/>
            <w:vMerge w:val="continue"/>
            <w:noWrap/>
            <w:vAlign w:val="center"/>
          </w:tcPr>
          <w:p w14:paraId="21875379">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kern w:val="0"/>
                <w:sz w:val="21"/>
                <w:szCs w:val="21"/>
                <w:highlight w:val="none"/>
                <w:lang w:eastAsia="zh-CN" w:bidi="ar"/>
                <w14:textFill>
                  <w14:solidFill>
                    <w14:schemeClr w14:val="tx1"/>
                  </w14:solidFill>
                </w14:textFill>
              </w:rPr>
            </w:pPr>
          </w:p>
        </w:tc>
        <w:tc>
          <w:tcPr>
            <w:tcW w:w="429" w:type="pct"/>
            <w:vAlign w:val="center"/>
          </w:tcPr>
          <w:p w14:paraId="1F82089A">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4A8EB16C">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细颗粒物（</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PM</w:t>
            </w:r>
            <w:r>
              <w:rPr>
                <w:rFonts w:hint="eastAsia" w:ascii="仿宋_GB2312" w:hAnsi="仿宋_GB2312" w:eastAsia="仿宋_GB2312" w:cs="仿宋_GB2312"/>
                <w:color w:val="000000" w:themeColor="text1"/>
                <w:sz w:val="21"/>
                <w:szCs w:val="21"/>
                <w:highlight w:val="none"/>
                <w:vertAlign w:val="subscript"/>
                <w:lang w:val="en-US" w:eastAsia="zh-CN"/>
                <w14:textFill>
                  <w14:solidFill>
                    <w14:schemeClr w14:val="tx1"/>
                  </w14:solidFill>
                </w14:textFill>
              </w:rPr>
              <w:t>2.5</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）浓度（微克</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/立方米</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tc>
        <w:tc>
          <w:tcPr>
            <w:tcW w:w="774" w:type="pct"/>
            <w:noWrap/>
            <w:vAlign w:val="center"/>
          </w:tcPr>
          <w:p w14:paraId="2AD3EE3A">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20</w:t>
            </w:r>
          </w:p>
        </w:tc>
        <w:tc>
          <w:tcPr>
            <w:tcW w:w="967" w:type="pct"/>
            <w:noWrap/>
            <w:vAlign w:val="center"/>
          </w:tcPr>
          <w:p w14:paraId="201F6AC8">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中心市区降至18以下，全域降至14以下</w:t>
            </w:r>
          </w:p>
        </w:tc>
        <w:tc>
          <w:tcPr>
            <w:tcW w:w="591" w:type="pct"/>
            <w:noWrap/>
            <w:vAlign w:val="center"/>
          </w:tcPr>
          <w:p w14:paraId="6D48B6AB">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约束性</w:t>
            </w:r>
          </w:p>
        </w:tc>
      </w:tr>
      <w:tr w14:paraId="5463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92" w:type="pct"/>
            <w:vMerge w:val="continue"/>
            <w:noWrap/>
            <w:vAlign w:val="center"/>
          </w:tcPr>
          <w:p w14:paraId="2C7EB52D">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429" w:type="pct"/>
            <w:vAlign w:val="center"/>
          </w:tcPr>
          <w:p w14:paraId="33F0FE4B">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62509CFB">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森林覆盖率（%）</w:t>
            </w:r>
          </w:p>
        </w:tc>
        <w:tc>
          <w:tcPr>
            <w:tcW w:w="774" w:type="pct"/>
            <w:noWrap/>
            <w:vAlign w:val="center"/>
          </w:tcPr>
          <w:p w14:paraId="4010B01D">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7</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7.12</w:t>
            </w:r>
          </w:p>
        </w:tc>
        <w:tc>
          <w:tcPr>
            <w:tcW w:w="967" w:type="pct"/>
            <w:noWrap/>
            <w:vAlign w:val="center"/>
          </w:tcPr>
          <w:p w14:paraId="369E34F8">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稳中向好</w:t>
            </w:r>
          </w:p>
        </w:tc>
        <w:tc>
          <w:tcPr>
            <w:tcW w:w="591" w:type="pct"/>
            <w:noWrap/>
            <w:vAlign w:val="center"/>
          </w:tcPr>
          <w:p w14:paraId="31DDF357">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约束</w:t>
            </w:r>
            <w:r>
              <w:rPr>
                <w:rFonts w:hint="eastAsia" w:ascii="仿宋_GB2312" w:hAnsi="仿宋_GB2312" w:eastAsia="仿宋_GB2312" w:cs="仿宋_GB2312"/>
                <w:color w:val="000000" w:themeColor="text1"/>
                <w:sz w:val="21"/>
                <w:szCs w:val="21"/>
                <w:highlight w:val="none"/>
                <w14:textFill>
                  <w14:solidFill>
                    <w14:schemeClr w14:val="tx1"/>
                  </w14:solidFill>
                </w14:textFill>
              </w:rPr>
              <w:t>性</w:t>
            </w:r>
          </w:p>
        </w:tc>
      </w:tr>
      <w:tr w14:paraId="3D78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Merge w:val="continue"/>
            <w:noWrap/>
            <w:vAlign w:val="center"/>
          </w:tcPr>
          <w:p w14:paraId="718E62D0">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429" w:type="pct"/>
            <w:vAlign w:val="center"/>
          </w:tcPr>
          <w:p w14:paraId="4A259C39">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37CAF2D3">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森林蓄积量（亿立方米）</w:t>
            </w:r>
          </w:p>
        </w:tc>
        <w:tc>
          <w:tcPr>
            <w:tcW w:w="774" w:type="pct"/>
            <w:noWrap/>
            <w:vAlign w:val="center"/>
          </w:tcPr>
          <w:p w14:paraId="7626617E">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default" w:ascii="仿宋_GB2312" w:hAnsi="仿宋_GB2312" w:eastAsia="仿宋_GB2312" w:cs="仿宋_GB2312"/>
                <w:color w:val="000000" w:themeColor="text1"/>
                <w:sz w:val="21"/>
                <w:szCs w:val="21"/>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2.1</w:t>
            </w:r>
          </w:p>
        </w:tc>
        <w:tc>
          <w:tcPr>
            <w:tcW w:w="967" w:type="pct"/>
            <w:noWrap/>
            <w:vAlign w:val="center"/>
          </w:tcPr>
          <w:p w14:paraId="071AC012">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完成省下达目标</w:t>
            </w:r>
          </w:p>
        </w:tc>
        <w:tc>
          <w:tcPr>
            <w:tcW w:w="591" w:type="pct"/>
            <w:noWrap/>
            <w:vAlign w:val="center"/>
          </w:tcPr>
          <w:p w14:paraId="19CCD408">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约束性</w:t>
            </w:r>
          </w:p>
        </w:tc>
      </w:tr>
      <w:tr w14:paraId="2F96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Merge w:val="continue"/>
            <w:noWrap/>
            <w:vAlign w:val="center"/>
          </w:tcPr>
          <w:p w14:paraId="28DB8E6E">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429" w:type="pct"/>
            <w:vAlign w:val="center"/>
          </w:tcPr>
          <w:p w14:paraId="30EE2E10">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16B80F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bidi="ar"/>
                <w14:textFill>
                  <w14:solidFill>
                    <w14:schemeClr w14:val="tx1"/>
                  </w14:solidFill>
                </w14:textFill>
              </w:rPr>
              <w:t>水土保持率（%）</w:t>
            </w:r>
          </w:p>
        </w:tc>
        <w:tc>
          <w:tcPr>
            <w:tcW w:w="774" w:type="pct"/>
            <w:noWrap/>
            <w:vAlign w:val="center"/>
          </w:tcPr>
          <w:p w14:paraId="6B94998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92.82</w:t>
            </w:r>
          </w:p>
        </w:tc>
        <w:tc>
          <w:tcPr>
            <w:tcW w:w="967" w:type="pct"/>
            <w:noWrap/>
            <w:vAlign w:val="center"/>
          </w:tcPr>
          <w:p w14:paraId="33FE590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完成省下达目标</w:t>
            </w:r>
          </w:p>
        </w:tc>
        <w:tc>
          <w:tcPr>
            <w:tcW w:w="591" w:type="pct"/>
            <w:noWrap/>
            <w:vAlign w:val="center"/>
          </w:tcPr>
          <w:p w14:paraId="20F94BE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预期性</w:t>
            </w:r>
          </w:p>
        </w:tc>
      </w:tr>
      <w:tr w14:paraId="0454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2" w:type="pct"/>
            <w:vMerge w:val="restart"/>
            <w:noWrap/>
            <w:vAlign w:val="center"/>
          </w:tcPr>
          <w:p w14:paraId="4E6F0871">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美丽河湖建设</w:t>
            </w:r>
          </w:p>
        </w:tc>
        <w:tc>
          <w:tcPr>
            <w:tcW w:w="429" w:type="pct"/>
            <w:noWrap/>
            <w:vAlign w:val="center"/>
          </w:tcPr>
          <w:p w14:paraId="001C7EEA">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noWrap/>
            <w:vAlign w:val="center"/>
          </w:tcPr>
          <w:p w14:paraId="6F38D6C9">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优良水体比例（%）</w:t>
            </w:r>
          </w:p>
        </w:tc>
        <w:tc>
          <w:tcPr>
            <w:tcW w:w="774" w:type="pct"/>
            <w:noWrap/>
            <w:vAlign w:val="center"/>
          </w:tcPr>
          <w:p w14:paraId="159C89A4">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t>100</w:t>
            </w:r>
          </w:p>
        </w:tc>
        <w:tc>
          <w:tcPr>
            <w:tcW w:w="967" w:type="pct"/>
            <w:noWrap/>
            <w:vAlign w:val="center"/>
          </w:tcPr>
          <w:p w14:paraId="51E35AF9">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完成省下达</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目标</w:t>
            </w:r>
          </w:p>
        </w:tc>
        <w:tc>
          <w:tcPr>
            <w:tcW w:w="591" w:type="pct"/>
            <w:noWrap/>
            <w:vAlign w:val="center"/>
          </w:tcPr>
          <w:p w14:paraId="75EF5E93">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约束性</w:t>
            </w:r>
          </w:p>
        </w:tc>
      </w:tr>
      <w:tr w14:paraId="333D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92" w:type="pct"/>
            <w:vMerge w:val="continue"/>
            <w:noWrap/>
            <w:vAlign w:val="center"/>
          </w:tcPr>
          <w:p w14:paraId="56351C2F">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429" w:type="pct"/>
            <w:noWrap/>
            <w:vAlign w:val="center"/>
          </w:tcPr>
          <w:p w14:paraId="2696B336">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noWrap/>
            <w:vAlign w:val="center"/>
          </w:tcPr>
          <w:p w14:paraId="6E2FC420">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bidi="ar"/>
                <w14:textFill>
                  <w14:solidFill>
                    <w14:schemeClr w14:val="tx1"/>
                  </w14:solidFill>
                </w14:textFill>
              </w:rPr>
              <w:t>国控断面</w:t>
            </w: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好Ⅲ水质比例（%）</w:t>
            </w:r>
          </w:p>
        </w:tc>
        <w:tc>
          <w:tcPr>
            <w:tcW w:w="774" w:type="pct"/>
            <w:noWrap/>
            <w:vAlign w:val="center"/>
          </w:tcPr>
          <w:p w14:paraId="4BBA3387">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100</w:t>
            </w:r>
          </w:p>
        </w:tc>
        <w:tc>
          <w:tcPr>
            <w:tcW w:w="967" w:type="pct"/>
            <w:noWrap/>
            <w:vAlign w:val="center"/>
          </w:tcPr>
          <w:p w14:paraId="369DD492">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100</w:t>
            </w:r>
          </w:p>
        </w:tc>
        <w:tc>
          <w:tcPr>
            <w:tcW w:w="591" w:type="pct"/>
            <w:noWrap/>
            <w:vAlign w:val="center"/>
          </w:tcPr>
          <w:p w14:paraId="0242A7AD">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预期性</w:t>
            </w:r>
          </w:p>
        </w:tc>
      </w:tr>
      <w:tr w14:paraId="5095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2" w:type="pct"/>
            <w:vMerge w:val="continue"/>
            <w:noWrap/>
            <w:vAlign w:val="center"/>
          </w:tcPr>
          <w:p w14:paraId="4841D148">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429" w:type="pct"/>
            <w:noWrap/>
            <w:vAlign w:val="center"/>
          </w:tcPr>
          <w:p w14:paraId="2E1FFE46">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noWrap/>
            <w:vAlign w:val="center"/>
          </w:tcPr>
          <w:p w14:paraId="0B3C6497">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主要流域总氮平均浓度下降比例（%）</w:t>
            </w:r>
          </w:p>
        </w:tc>
        <w:tc>
          <w:tcPr>
            <w:tcW w:w="774" w:type="pct"/>
            <w:noWrap/>
            <w:vAlign w:val="center"/>
          </w:tcPr>
          <w:p w14:paraId="73358491">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t>-</w:t>
            </w:r>
          </w:p>
        </w:tc>
        <w:tc>
          <w:tcPr>
            <w:tcW w:w="967" w:type="pct"/>
            <w:noWrap/>
            <w:vAlign w:val="center"/>
          </w:tcPr>
          <w:p w14:paraId="3AEC5C98">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default"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t>≥4.7</w:t>
            </w:r>
          </w:p>
        </w:tc>
        <w:tc>
          <w:tcPr>
            <w:tcW w:w="591" w:type="pct"/>
            <w:noWrap/>
            <w:vAlign w:val="center"/>
          </w:tcPr>
          <w:p w14:paraId="39749A28">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约束性</w:t>
            </w:r>
          </w:p>
        </w:tc>
      </w:tr>
      <w:tr w14:paraId="38FE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pct"/>
            <w:vMerge w:val="continue"/>
            <w:noWrap/>
            <w:vAlign w:val="center"/>
          </w:tcPr>
          <w:p w14:paraId="183150B7">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p>
        </w:tc>
        <w:tc>
          <w:tcPr>
            <w:tcW w:w="429" w:type="pct"/>
            <w:noWrap/>
            <w:vAlign w:val="center"/>
          </w:tcPr>
          <w:p w14:paraId="759C9F62">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textAlignment w:val="cente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p>
        </w:tc>
        <w:tc>
          <w:tcPr>
            <w:tcW w:w="1844" w:type="pct"/>
            <w:noWrap/>
            <w:vAlign w:val="center"/>
          </w:tcPr>
          <w:p w14:paraId="750504D5">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trike/>
                <w:dstrike w:val="0"/>
                <w:color w:val="000000" w:themeColor="text1"/>
                <w:kern w:val="0"/>
                <w:sz w:val="21"/>
                <w:szCs w:val="21"/>
                <w:highlight w:val="none"/>
                <w:lang w:eastAsia="zh-CN"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公园绿化活动场地服务半径覆盖率（</w:t>
            </w:r>
            <w:r>
              <w:rPr>
                <w:rFonts w:hint="eastAsia"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t>%</w:t>
            </w: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w:t>
            </w:r>
          </w:p>
        </w:tc>
        <w:tc>
          <w:tcPr>
            <w:tcW w:w="774" w:type="pct"/>
            <w:noWrap/>
            <w:vAlign w:val="center"/>
          </w:tcPr>
          <w:p w14:paraId="2D99C861">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待补充</w:t>
            </w:r>
          </w:p>
        </w:tc>
        <w:tc>
          <w:tcPr>
            <w:tcW w:w="967" w:type="pct"/>
            <w:noWrap/>
            <w:vAlign w:val="center"/>
          </w:tcPr>
          <w:p w14:paraId="15752C71">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t>90</w:t>
            </w:r>
          </w:p>
        </w:tc>
        <w:tc>
          <w:tcPr>
            <w:tcW w:w="591" w:type="pct"/>
            <w:noWrap/>
            <w:vAlign w:val="center"/>
          </w:tcPr>
          <w:p w14:paraId="37F341B3">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预期性</w:t>
            </w:r>
          </w:p>
        </w:tc>
      </w:tr>
      <w:tr w14:paraId="6A1E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2" w:type="pct"/>
            <w:vMerge w:val="continue"/>
            <w:noWrap/>
            <w:vAlign w:val="center"/>
          </w:tcPr>
          <w:p w14:paraId="25FB6959">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p>
        </w:tc>
        <w:tc>
          <w:tcPr>
            <w:tcW w:w="429" w:type="pct"/>
            <w:noWrap/>
            <w:vAlign w:val="center"/>
          </w:tcPr>
          <w:p w14:paraId="46889766">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textAlignment w:val="cente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p>
        </w:tc>
        <w:tc>
          <w:tcPr>
            <w:tcW w:w="1844" w:type="pct"/>
            <w:noWrap/>
            <w:vAlign w:val="center"/>
          </w:tcPr>
          <w:p w14:paraId="403CA8B2">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trike/>
                <w:dstrike w:val="0"/>
                <w:color w:val="000000" w:themeColor="text1"/>
                <w:kern w:val="0"/>
                <w:sz w:val="21"/>
                <w:szCs w:val="21"/>
                <w:highlight w:val="none"/>
                <w:lang w:eastAsia="zh-CN"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城市生活污水集中收集率（</w:t>
            </w:r>
            <w:r>
              <w:rPr>
                <w:rFonts w:hint="eastAsia"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t>%</w:t>
            </w: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w:t>
            </w:r>
          </w:p>
        </w:tc>
        <w:tc>
          <w:tcPr>
            <w:tcW w:w="774" w:type="pct"/>
            <w:noWrap/>
            <w:vAlign w:val="center"/>
          </w:tcPr>
          <w:p w14:paraId="6FF6423A">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待补充</w:t>
            </w:r>
          </w:p>
        </w:tc>
        <w:tc>
          <w:tcPr>
            <w:tcW w:w="967" w:type="pct"/>
            <w:noWrap/>
            <w:vAlign w:val="center"/>
          </w:tcPr>
          <w:p w14:paraId="56603A3C">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t>85</w:t>
            </w:r>
          </w:p>
        </w:tc>
        <w:tc>
          <w:tcPr>
            <w:tcW w:w="591" w:type="pct"/>
            <w:noWrap/>
            <w:vAlign w:val="center"/>
          </w:tcPr>
          <w:p w14:paraId="698A0C39">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约束性</w:t>
            </w:r>
          </w:p>
        </w:tc>
      </w:tr>
      <w:tr w14:paraId="0BBE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92" w:type="pct"/>
            <w:vMerge w:val="continue"/>
            <w:noWrap/>
            <w:vAlign w:val="center"/>
          </w:tcPr>
          <w:p w14:paraId="6FDF157E">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p>
        </w:tc>
        <w:tc>
          <w:tcPr>
            <w:tcW w:w="429" w:type="pct"/>
            <w:noWrap/>
            <w:vAlign w:val="center"/>
          </w:tcPr>
          <w:p w14:paraId="49BA983C">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textAlignment w:val="cente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p>
        </w:tc>
        <w:tc>
          <w:tcPr>
            <w:tcW w:w="1844" w:type="pct"/>
            <w:noWrap/>
            <w:vAlign w:val="center"/>
          </w:tcPr>
          <w:p w14:paraId="2A520D09">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公共供水管网漏损率</w:t>
            </w:r>
          </w:p>
        </w:tc>
        <w:tc>
          <w:tcPr>
            <w:tcW w:w="774" w:type="pct"/>
            <w:noWrap/>
            <w:vAlign w:val="center"/>
          </w:tcPr>
          <w:p w14:paraId="01B0866B">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待补充</w:t>
            </w:r>
          </w:p>
        </w:tc>
        <w:tc>
          <w:tcPr>
            <w:tcW w:w="967" w:type="pct"/>
            <w:noWrap/>
            <w:vAlign w:val="center"/>
          </w:tcPr>
          <w:p w14:paraId="08305629">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default"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7.5</w:t>
            </w:r>
          </w:p>
        </w:tc>
        <w:tc>
          <w:tcPr>
            <w:tcW w:w="591" w:type="pct"/>
            <w:noWrap/>
            <w:vAlign w:val="center"/>
          </w:tcPr>
          <w:p w14:paraId="2327D581">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约束性</w:t>
            </w:r>
          </w:p>
        </w:tc>
      </w:tr>
      <w:tr w14:paraId="1563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92" w:type="pct"/>
            <w:vMerge w:val="continue"/>
            <w:noWrap/>
            <w:vAlign w:val="center"/>
          </w:tcPr>
          <w:p w14:paraId="46796B7C">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p>
        </w:tc>
        <w:tc>
          <w:tcPr>
            <w:tcW w:w="429" w:type="pct"/>
            <w:noWrap/>
            <w:vAlign w:val="center"/>
          </w:tcPr>
          <w:p w14:paraId="3D964338">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textAlignment w:val="cente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p>
        </w:tc>
        <w:tc>
          <w:tcPr>
            <w:tcW w:w="1844" w:type="pct"/>
            <w:noWrap/>
            <w:vAlign w:val="center"/>
          </w:tcPr>
          <w:p w14:paraId="40DB4E7F">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声环境功能区夜间达标率（</w:t>
            </w:r>
            <w:r>
              <w:rPr>
                <w:rFonts w:hint="eastAsia"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t>%</w:t>
            </w: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w:t>
            </w:r>
          </w:p>
        </w:tc>
        <w:tc>
          <w:tcPr>
            <w:tcW w:w="774" w:type="pct"/>
            <w:noWrap/>
            <w:vAlign w:val="center"/>
          </w:tcPr>
          <w:p w14:paraId="21FB186F">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t>-</w:t>
            </w:r>
          </w:p>
        </w:tc>
        <w:tc>
          <w:tcPr>
            <w:tcW w:w="967" w:type="pct"/>
            <w:noWrap/>
            <w:vAlign w:val="center"/>
          </w:tcPr>
          <w:p w14:paraId="3897F7D3">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稳步提升</w:t>
            </w:r>
          </w:p>
        </w:tc>
        <w:tc>
          <w:tcPr>
            <w:tcW w:w="591" w:type="pct"/>
            <w:noWrap/>
            <w:vAlign w:val="center"/>
          </w:tcPr>
          <w:p w14:paraId="5A7367C4">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预期性</w:t>
            </w:r>
          </w:p>
        </w:tc>
      </w:tr>
      <w:tr w14:paraId="2946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92" w:type="pct"/>
            <w:vMerge w:val="continue"/>
            <w:noWrap/>
            <w:vAlign w:val="center"/>
          </w:tcPr>
          <w:p w14:paraId="65E3CCAA">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p>
        </w:tc>
        <w:tc>
          <w:tcPr>
            <w:tcW w:w="429" w:type="pct"/>
            <w:noWrap/>
            <w:vAlign w:val="center"/>
          </w:tcPr>
          <w:p w14:paraId="7815551A">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textAlignment w:val="cente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p>
        </w:tc>
        <w:tc>
          <w:tcPr>
            <w:tcW w:w="1844" w:type="pct"/>
            <w:noWrap/>
            <w:vAlign w:val="center"/>
          </w:tcPr>
          <w:p w14:paraId="04A91946">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建筑垃圾资源化利用率（</w:t>
            </w:r>
            <w:r>
              <w:rPr>
                <w:rFonts w:hint="eastAsia"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t>%</w:t>
            </w: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w:t>
            </w:r>
          </w:p>
        </w:tc>
        <w:tc>
          <w:tcPr>
            <w:tcW w:w="774" w:type="pct"/>
            <w:noWrap/>
            <w:vAlign w:val="center"/>
          </w:tcPr>
          <w:p w14:paraId="1F3C4657">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kern w:val="0"/>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待补充</w:t>
            </w:r>
          </w:p>
        </w:tc>
        <w:tc>
          <w:tcPr>
            <w:tcW w:w="967" w:type="pct"/>
            <w:noWrap/>
            <w:vAlign w:val="center"/>
          </w:tcPr>
          <w:p w14:paraId="77697114">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完成省下达目标</w:t>
            </w:r>
          </w:p>
        </w:tc>
        <w:tc>
          <w:tcPr>
            <w:tcW w:w="591" w:type="pct"/>
            <w:noWrap/>
            <w:vAlign w:val="center"/>
          </w:tcPr>
          <w:p w14:paraId="203B99DC">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预期性</w:t>
            </w:r>
          </w:p>
        </w:tc>
      </w:tr>
      <w:tr w14:paraId="400F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92" w:type="pct"/>
            <w:vMerge w:val="restart"/>
            <w:noWrap/>
            <w:vAlign w:val="center"/>
          </w:tcPr>
          <w:p w14:paraId="016BC55F">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美丽</w:t>
            </w:r>
          </w:p>
          <w:p w14:paraId="1064B3B6">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乡村</w:t>
            </w:r>
          </w:p>
          <w:p w14:paraId="6F662988">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建设</w:t>
            </w:r>
          </w:p>
        </w:tc>
        <w:tc>
          <w:tcPr>
            <w:tcW w:w="429" w:type="pct"/>
            <w:noWrap/>
            <w:vAlign w:val="center"/>
          </w:tcPr>
          <w:p w14:paraId="558C864C">
            <w:pPr>
              <w:keepNext w:val="0"/>
              <w:keepLines w:val="0"/>
              <w:pageBreakBefore w:val="0"/>
              <w:widowControl/>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textAlignment w:val="center"/>
              <w:rPr>
                <w:rFonts w:hint="eastAsia" w:ascii="仿宋_GB2312" w:hAnsi="仿宋_GB2312" w:eastAsia="仿宋_GB2312" w:cs="仿宋_GB2312"/>
                <w:color w:val="000000" w:themeColor="text1"/>
                <w:kern w:val="0"/>
                <w:sz w:val="21"/>
                <w:szCs w:val="21"/>
                <w:highlight w:val="none"/>
                <w:lang w:val="en-US" w:eastAsia="zh-CN" w:bidi="ar"/>
                <w14:textFill>
                  <w14:solidFill>
                    <w14:schemeClr w14:val="tx1"/>
                  </w14:solidFill>
                </w14:textFill>
              </w:rPr>
            </w:pPr>
          </w:p>
        </w:tc>
        <w:tc>
          <w:tcPr>
            <w:tcW w:w="1844" w:type="pct"/>
            <w:noWrap/>
            <w:vAlign w:val="center"/>
          </w:tcPr>
          <w:p w14:paraId="25FA144E">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trike/>
                <w:dstrike w:val="0"/>
                <w:color w:val="000000" w:themeColor="text1"/>
                <w:kern w:val="0"/>
                <w:sz w:val="21"/>
                <w:szCs w:val="21"/>
                <w:highlight w:val="none"/>
                <w:lang w:eastAsia="zh-CN"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受污染耕地安全利用率（</w:t>
            </w:r>
            <w:r>
              <w:rPr>
                <w:rFonts w:hint="eastAsia"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t>%</w:t>
            </w: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w:t>
            </w:r>
          </w:p>
        </w:tc>
        <w:tc>
          <w:tcPr>
            <w:tcW w:w="774" w:type="pct"/>
            <w:noWrap/>
            <w:vAlign w:val="center"/>
          </w:tcPr>
          <w:p w14:paraId="0F85A736">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default"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94</w:t>
            </w:r>
          </w:p>
        </w:tc>
        <w:tc>
          <w:tcPr>
            <w:tcW w:w="967" w:type="pct"/>
            <w:noWrap/>
            <w:vAlign w:val="center"/>
          </w:tcPr>
          <w:p w14:paraId="5541554A">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完成省下达目标</w:t>
            </w:r>
          </w:p>
        </w:tc>
        <w:tc>
          <w:tcPr>
            <w:tcW w:w="591" w:type="pct"/>
            <w:noWrap/>
            <w:vAlign w:val="center"/>
          </w:tcPr>
          <w:p w14:paraId="10ED7DFD">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预期性</w:t>
            </w:r>
          </w:p>
        </w:tc>
      </w:tr>
      <w:tr w14:paraId="3B34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392" w:type="pct"/>
            <w:vMerge w:val="continue"/>
            <w:noWrap/>
            <w:vAlign w:val="center"/>
          </w:tcPr>
          <w:p w14:paraId="70420253">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429" w:type="pct"/>
            <w:vAlign w:val="center"/>
          </w:tcPr>
          <w:p w14:paraId="1F1732C8">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423C5DE5">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t>农村生活污水治理（管控）率（%）</w:t>
            </w:r>
          </w:p>
        </w:tc>
        <w:tc>
          <w:tcPr>
            <w:tcW w:w="774" w:type="pct"/>
            <w:noWrap/>
            <w:vAlign w:val="center"/>
          </w:tcPr>
          <w:p w14:paraId="4C89ABAE">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79.3</w:t>
            </w:r>
          </w:p>
        </w:tc>
        <w:tc>
          <w:tcPr>
            <w:tcW w:w="967" w:type="pct"/>
            <w:noWrap/>
            <w:vAlign w:val="center"/>
          </w:tcPr>
          <w:p w14:paraId="1EDF62F0">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90</w:t>
            </w:r>
          </w:p>
        </w:tc>
        <w:tc>
          <w:tcPr>
            <w:tcW w:w="591" w:type="pct"/>
            <w:noWrap/>
            <w:vAlign w:val="center"/>
          </w:tcPr>
          <w:p w14:paraId="38A402A6">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预期性</w:t>
            </w:r>
          </w:p>
        </w:tc>
      </w:tr>
      <w:tr w14:paraId="5612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92" w:type="pct"/>
            <w:noWrap/>
            <w:vAlign w:val="center"/>
          </w:tcPr>
          <w:p w14:paraId="0D1F980C">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default"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美丽园区建设</w:t>
            </w:r>
          </w:p>
        </w:tc>
        <w:tc>
          <w:tcPr>
            <w:tcW w:w="429" w:type="pct"/>
            <w:vAlign w:val="center"/>
          </w:tcPr>
          <w:p w14:paraId="2F0C41B1">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vAlign w:val="center"/>
          </w:tcPr>
          <w:p w14:paraId="4E7A61A6">
            <w:pPr>
              <w:keepNext w:val="0"/>
              <w:keepLines w:val="0"/>
              <w:pageBreakBefore w:val="0"/>
              <w:widowControl/>
              <w:suppressAutoHyphens/>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bidi="ar"/>
                <w14:textFill>
                  <w14:solidFill>
                    <w14:schemeClr w14:val="tx1"/>
                  </w14:solidFill>
                </w14:textFill>
              </w:rPr>
              <w:t>园区环境风险防控体系建设</w:t>
            </w:r>
          </w:p>
        </w:tc>
        <w:tc>
          <w:tcPr>
            <w:tcW w:w="774" w:type="pct"/>
            <w:noWrap/>
            <w:vAlign w:val="center"/>
          </w:tcPr>
          <w:p w14:paraId="71600394">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w:t>
            </w:r>
          </w:p>
        </w:tc>
        <w:tc>
          <w:tcPr>
            <w:tcW w:w="967" w:type="pct"/>
            <w:noWrap/>
            <w:vAlign w:val="center"/>
          </w:tcPr>
          <w:p w14:paraId="1DBB0739">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具备</w:t>
            </w:r>
          </w:p>
        </w:tc>
        <w:tc>
          <w:tcPr>
            <w:tcW w:w="591" w:type="pct"/>
            <w:noWrap/>
            <w:vAlign w:val="center"/>
          </w:tcPr>
          <w:p w14:paraId="24741434">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预期性</w:t>
            </w:r>
          </w:p>
        </w:tc>
      </w:tr>
      <w:tr w14:paraId="04BF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2" w:type="pct"/>
            <w:vMerge w:val="restart"/>
            <w:noWrap/>
            <w:vAlign w:val="center"/>
          </w:tcPr>
          <w:p w14:paraId="127AB841">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lang w:eastAsia="zh-CN" w:bidi="ar"/>
                <w14:textFill>
                  <w14:solidFill>
                    <w14:schemeClr w14:val="tx1"/>
                  </w14:solidFill>
                </w14:textFill>
              </w:rPr>
              <w:t>生态安全底线</w:t>
            </w:r>
          </w:p>
        </w:tc>
        <w:tc>
          <w:tcPr>
            <w:tcW w:w="429" w:type="pct"/>
            <w:vAlign w:val="center"/>
          </w:tcPr>
          <w:p w14:paraId="6F6A8B64">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shd w:val="clear" w:color="auto" w:fill="auto"/>
            <w:vAlign w:val="center"/>
          </w:tcPr>
          <w:p w14:paraId="1811B90E">
            <w:pPr>
              <w:widowControl/>
              <w:suppressAutoHyphens/>
              <w:adjustRightInd w:val="0"/>
              <w:snapToGrid w:val="0"/>
              <w:spacing w:line="240" w:lineRule="auto"/>
              <w:ind w:firstLine="0" w:firstLineChars="0"/>
              <w:jc w:val="center"/>
              <w:textAlignment w:val="auto"/>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highlight w:val="none"/>
                <w14:textFill>
                  <w14:solidFill>
                    <w14:schemeClr w14:val="tx1"/>
                  </w14:solidFill>
                </w14:textFill>
              </w:rPr>
              <w:t>危险废物填埋量占比（%）</w:t>
            </w:r>
          </w:p>
        </w:tc>
        <w:tc>
          <w:tcPr>
            <w:tcW w:w="774" w:type="pct"/>
            <w:shd w:val="clear" w:color="auto" w:fill="auto"/>
            <w:noWrap/>
            <w:vAlign w:val="center"/>
          </w:tcPr>
          <w:p w14:paraId="7768E0B7">
            <w:pPr>
              <w:widowControl/>
              <w:suppressAutoHyphens/>
              <w:adjustRightInd w:val="0"/>
              <w:snapToGrid w:val="0"/>
              <w:spacing w:line="240" w:lineRule="auto"/>
              <w:ind w:firstLine="0" w:firstLineChars="0"/>
              <w:jc w:val="center"/>
              <w:textAlignment w:val="auto"/>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1.77</w:t>
            </w:r>
          </w:p>
        </w:tc>
        <w:tc>
          <w:tcPr>
            <w:tcW w:w="967" w:type="pct"/>
            <w:shd w:val="clear" w:color="auto" w:fill="auto"/>
            <w:noWrap/>
            <w:vAlign w:val="center"/>
          </w:tcPr>
          <w:p w14:paraId="7CA72EBB">
            <w:pPr>
              <w:widowControl/>
              <w:suppressAutoHyphens/>
              <w:adjustRightInd w:val="0"/>
              <w:snapToGrid w:val="0"/>
              <w:spacing w:line="240" w:lineRule="auto"/>
              <w:ind w:firstLine="0" w:firstLineChars="0"/>
              <w:jc w:val="center"/>
              <w:textAlignment w:val="auto"/>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highlight w:val="none"/>
                <w14:textFill>
                  <w14:solidFill>
                    <w14:schemeClr w14:val="tx1"/>
                  </w14:solidFill>
                </w14:textFill>
              </w:rPr>
              <w:t>＜10</w:t>
            </w:r>
          </w:p>
        </w:tc>
        <w:tc>
          <w:tcPr>
            <w:tcW w:w="591" w:type="pct"/>
            <w:shd w:val="clear" w:color="auto" w:fill="auto"/>
            <w:noWrap/>
            <w:vAlign w:val="center"/>
          </w:tcPr>
          <w:p w14:paraId="166AA3EF">
            <w:pPr>
              <w:widowControl/>
              <w:suppressAutoHyphens/>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约束性</w:t>
            </w:r>
          </w:p>
        </w:tc>
      </w:tr>
      <w:tr w14:paraId="47D0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2" w:type="pct"/>
            <w:vMerge w:val="continue"/>
            <w:noWrap/>
            <w:vAlign w:val="center"/>
          </w:tcPr>
          <w:p w14:paraId="5E4CA55C">
            <w:pPr>
              <w:keepNext w:val="0"/>
              <w:keepLines w:val="0"/>
              <w:pageBreakBefore w:val="0"/>
              <w:suppressAutoHyphens/>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429" w:type="pct"/>
            <w:vAlign w:val="center"/>
          </w:tcPr>
          <w:p w14:paraId="6CCFEAF4">
            <w:pPr>
              <w:keepNext w:val="0"/>
              <w:keepLines w:val="0"/>
              <w:pageBreakBefore w:val="0"/>
              <w:widowControl w:val="0"/>
              <w:numPr>
                <w:ilvl w:val="0"/>
                <w:numId w:val="2"/>
              </w:numPr>
              <w:suppressAutoHyphens/>
              <w:kinsoku/>
              <w:wordWrap/>
              <w:overflowPunct/>
              <w:topLinePunct w:val="0"/>
              <w:autoSpaceDE/>
              <w:autoSpaceDN/>
              <w:bidi w:val="0"/>
              <w:adjustRightInd w:val="0"/>
              <w:snapToGrid w:val="0"/>
              <w:spacing w:line="240" w:lineRule="auto"/>
              <w:ind w:left="0" w:firstLine="105" w:firstLineChars="50"/>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p>
        </w:tc>
        <w:tc>
          <w:tcPr>
            <w:tcW w:w="1844" w:type="pct"/>
            <w:shd w:val="clear" w:color="auto" w:fill="auto"/>
            <w:vAlign w:val="center"/>
          </w:tcPr>
          <w:p w14:paraId="3EDF0EED">
            <w:pPr>
              <w:widowControl/>
              <w:suppressAutoHyphens/>
              <w:adjustRightInd w:val="0"/>
              <w:snapToGrid w:val="0"/>
              <w:spacing w:line="240" w:lineRule="auto"/>
              <w:ind w:firstLine="0" w:firstLineChars="0"/>
              <w:jc w:val="center"/>
              <w:textAlignment w:val="auto"/>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highlight w:val="none"/>
                <w:lang w:eastAsia="zh-CN"/>
                <w14:textFill>
                  <w14:solidFill>
                    <w14:schemeClr w14:val="tx1"/>
                  </w14:solidFill>
                </w14:textFill>
              </w:rPr>
              <w:t>辐射安全与</w:t>
            </w:r>
            <w:r>
              <w:rPr>
                <w:rFonts w:hint="eastAsia" w:ascii="仿宋_GB2312" w:hAnsi="仿宋_GB2312" w:eastAsia="仿宋_GB2312" w:cs="仿宋_GB2312"/>
                <w:color w:val="000000" w:themeColor="text1"/>
                <w:kern w:val="2"/>
                <w:sz w:val="21"/>
                <w:szCs w:val="21"/>
                <w:highlight w:val="none"/>
                <w14:textFill>
                  <w14:solidFill>
                    <w14:schemeClr w14:val="tx1"/>
                  </w14:solidFill>
                </w14:textFill>
              </w:rPr>
              <w:t>辐射</w:t>
            </w:r>
            <w:r>
              <w:rPr>
                <w:rFonts w:hint="eastAsia" w:ascii="仿宋_GB2312" w:hAnsi="仿宋_GB2312" w:eastAsia="仿宋_GB2312" w:cs="仿宋_GB2312"/>
                <w:color w:val="000000" w:themeColor="text1"/>
                <w:kern w:val="2"/>
                <w:sz w:val="21"/>
                <w:szCs w:val="21"/>
                <w:highlight w:val="none"/>
                <w:lang w:eastAsia="zh-CN"/>
                <w14:textFill>
                  <w14:solidFill>
                    <w14:schemeClr w14:val="tx1"/>
                  </w14:solidFill>
                </w14:textFill>
              </w:rPr>
              <w:t>环境优良</w:t>
            </w:r>
            <w:r>
              <w:rPr>
                <w:rFonts w:hint="eastAsia" w:ascii="仿宋_GB2312" w:hAnsi="仿宋_GB2312" w:eastAsia="仿宋_GB2312" w:cs="仿宋_GB2312"/>
                <w:color w:val="000000" w:themeColor="text1"/>
                <w:kern w:val="2"/>
                <w:sz w:val="21"/>
                <w:szCs w:val="21"/>
                <w:highlight w:val="none"/>
                <w14:textFill>
                  <w14:solidFill>
                    <w14:schemeClr w14:val="tx1"/>
                  </w14:solidFill>
                </w14:textFill>
              </w:rPr>
              <w:t>指数（%）</w:t>
            </w:r>
          </w:p>
        </w:tc>
        <w:tc>
          <w:tcPr>
            <w:tcW w:w="774" w:type="pct"/>
            <w:shd w:val="clear" w:color="auto" w:fill="auto"/>
            <w:noWrap/>
            <w:vAlign w:val="center"/>
          </w:tcPr>
          <w:p w14:paraId="2A67C8CB">
            <w:pPr>
              <w:widowControl/>
              <w:suppressAutoHyphens/>
              <w:adjustRightInd w:val="0"/>
              <w:snapToGrid w:val="0"/>
              <w:spacing w:line="240" w:lineRule="auto"/>
              <w:ind w:firstLine="0" w:firstLineChars="0"/>
              <w:jc w:val="center"/>
              <w:textAlignment w:val="auto"/>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highlight w:val="none"/>
                <w14:textFill>
                  <w14:solidFill>
                    <w14:schemeClr w14:val="tx1"/>
                  </w14:solidFill>
                </w14:textFill>
              </w:rPr>
              <w:t>-</w:t>
            </w:r>
          </w:p>
        </w:tc>
        <w:tc>
          <w:tcPr>
            <w:tcW w:w="967" w:type="pct"/>
            <w:shd w:val="clear" w:color="auto" w:fill="auto"/>
            <w:noWrap/>
            <w:vAlign w:val="center"/>
          </w:tcPr>
          <w:p w14:paraId="7B4D1996">
            <w:pPr>
              <w:widowControl/>
              <w:suppressAutoHyphens/>
              <w:adjustRightInd w:val="0"/>
              <w:snapToGrid w:val="0"/>
              <w:spacing w:line="240" w:lineRule="auto"/>
              <w:ind w:firstLine="0" w:firstLineChars="0"/>
              <w:jc w:val="center"/>
              <w:textAlignment w:val="auto"/>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t>完成省下达目标</w:t>
            </w:r>
          </w:p>
        </w:tc>
        <w:tc>
          <w:tcPr>
            <w:tcW w:w="591" w:type="pct"/>
            <w:shd w:val="clear" w:color="auto" w:fill="auto"/>
            <w:noWrap/>
            <w:vAlign w:val="center"/>
          </w:tcPr>
          <w:p w14:paraId="68CD16C5">
            <w:pPr>
              <w:widowControl/>
              <w:suppressAutoHyphens/>
              <w:adjustRightInd w:val="0"/>
              <w:snapToGrid w:val="0"/>
              <w:spacing w:line="240" w:lineRule="auto"/>
              <w:ind w:firstLine="0" w:firstLineChars="0"/>
              <w:jc w:val="center"/>
              <w:textAlignment w:val="center"/>
              <w:rPr>
                <w:rFonts w:hint="eastAsia" w:ascii="仿宋_GB2312" w:hAnsi="仿宋_GB2312" w:eastAsia="仿宋_GB2312" w:cs="仿宋_GB2312"/>
                <w:color w:val="000000" w:themeColor="text1"/>
                <w:kern w:val="0"/>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highlight w:val="none"/>
                <w14:textFill>
                  <w14:solidFill>
                    <w14:schemeClr w14:val="tx1"/>
                  </w14:solidFill>
                </w14:textFill>
              </w:rPr>
              <w:t>预期性</w:t>
            </w:r>
          </w:p>
        </w:tc>
      </w:tr>
    </w:tbl>
    <w:p w14:paraId="0C9E64C2">
      <w:pPr>
        <w:keepNext w:val="0"/>
        <w:keepLines w:val="0"/>
        <w:pageBreakBefore w:val="0"/>
        <w:widowControl/>
        <w:suppressAutoHyphens/>
        <w:kinsoku/>
        <w:wordWrap/>
        <w:overflowPunct/>
        <w:topLinePunct w:val="0"/>
        <w:autoSpaceDE/>
        <w:autoSpaceDN/>
        <w:bidi w:val="0"/>
        <w:adjustRightInd w:val="0"/>
        <w:snapToGrid w:val="0"/>
        <w:spacing w:line="240" w:lineRule="auto"/>
        <w:ind w:firstLine="420" w:firstLineChars="200"/>
        <w:jc w:val="left"/>
        <w:textAlignment w:val="cente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eastAsia="zh-CN" w:bidi="ar"/>
          <w14:textFill>
            <w14:solidFill>
              <w14:schemeClr w14:val="tx1"/>
            </w14:solidFill>
          </w14:textFill>
        </w:rPr>
        <w:t>注：若省下达指标要求严于上述指标要求，从严执行。</w:t>
      </w:r>
    </w:p>
    <w:p w14:paraId="7A637067">
      <w:pPr>
        <w:keepNext w:val="0"/>
        <w:keepLines w:val="0"/>
        <w:pageBreakBefore w:val="0"/>
        <w:widowControl/>
        <w:suppressAutoHyphens/>
        <w:kinsoku/>
        <w:wordWrap/>
        <w:overflowPunct/>
        <w:topLinePunct w:val="0"/>
        <w:autoSpaceDE/>
        <w:autoSpaceDN/>
        <w:bidi w:val="0"/>
        <w:adjustRightInd w:val="0"/>
        <w:snapToGrid w:val="0"/>
        <w:spacing w:line="240" w:lineRule="auto"/>
        <w:ind w:firstLine="420" w:firstLineChars="200"/>
        <w:jc w:val="left"/>
        <w:textAlignment w:val="center"/>
        <w:rPr>
          <w:rFonts w:hint="eastAsia"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t>在规划指标体系构建上，全面落实《福建省‘十五五’生态省建设暨生态环境保护规划》要求，与其中20项规划指标保持一致，“大陆自然岸线保有率”“近岸海域水质优良（一、二类）比例”2项指标与我市实际无关，绿色生产指标中的“非化石能源占能源消费总量比重”、“用水总量”、“万元GDP用水量”及“城镇新建建筑绿色建筑比例”四项指标由《三明市“十五五”绿色经济发展专项规划》统筹考核，这6项指标本规划不予设置。同时为筑牢闽江源头生态屏障、守牢闽江上游水环境安全底线，增设水土保持率、园区环境风险防控体系建设2个三明特色的指标。</w:t>
      </w:r>
    </w:p>
    <w:p w14:paraId="488935C1">
      <w:pPr>
        <w:keepNext w:val="0"/>
        <w:keepLines w:val="0"/>
        <w:pageBreakBefore w:val="0"/>
        <w:widowControl/>
        <w:suppressAutoHyphens/>
        <w:kinsoku/>
        <w:wordWrap/>
        <w:overflowPunct/>
        <w:topLinePunct w:val="0"/>
        <w:autoSpaceDE/>
        <w:autoSpaceDN/>
        <w:bidi w:val="0"/>
        <w:adjustRightInd w:val="0"/>
        <w:snapToGrid w:val="0"/>
        <w:spacing w:line="240" w:lineRule="auto"/>
        <w:ind w:firstLine="420" w:firstLineChars="200"/>
        <w:jc w:val="left"/>
        <w:textAlignment w:val="center"/>
        <w:rPr>
          <w:rFonts w:hint="default"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pPr>
      <w:r>
        <w:rPr>
          <w:rFonts w:hint="eastAsia" w:ascii="仿宋_GB2312" w:hAnsi="仿宋_GB2312" w:eastAsia="仿宋_GB2312" w:cs="仿宋_GB2312"/>
          <w:strike w:val="0"/>
          <w:dstrike w:val="0"/>
          <w:color w:val="000000" w:themeColor="text1"/>
          <w:kern w:val="0"/>
          <w:sz w:val="21"/>
          <w:szCs w:val="21"/>
          <w:highlight w:val="none"/>
          <w:lang w:val="en-US" w:eastAsia="zh-CN" w:bidi="ar"/>
          <w14:textFill>
            <w14:solidFill>
              <w14:schemeClr w14:val="tx1"/>
            </w14:solidFill>
          </w14:textFill>
        </w:rPr>
        <w:t>。</w:t>
      </w:r>
    </w:p>
    <w:p w14:paraId="6EEC9A20">
      <w:pPr>
        <w:pStyle w:val="3"/>
        <w:rPr>
          <w:rFonts w:hint="eastAsia"/>
          <w:highlight w:val="none"/>
          <w:lang w:val="en-US" w:eastAsia="zh-CN"/>
        </w:rPr>
      </w:pPr>
    </w:p>
    <w:p w14:paraId="3FC3777A">
      <w:pPr>
        <w:rPr>
          <w:rFonts w:hint="default"/>
          <w:highlight w:val="none"/>
          <w:lang w:val="en-US" w:eastAsia="zh-CN"/>
        </w:rPr>
        <w:sectPr>
          <w:pgSz w:w="11906" w:h="16838"/>
          <w:pgMar w:top="1440" w:right="1800" w:bottom="1440" w:left="1800" w:header="851" w:footer="992" w:gutter="0"/>
          <w:cols w:space="720" w:num="1"/>
          <w:docGrid w:type="lines" w:linePitch="312" w:charSpace="0"/>
        </w:sectPr>
      </w:pPr>
    </w:p>
    <w:p w14:paraId="02E5EDCE">
      <w:pPr>
        <w:keepNext/>
        <w:keepLines/>
        <w:widowControl w:val="0"/>
        <w:suppressAutoHyphens/>
        <w:adjustRightInd w:val="0"/>
        <w:snapToGrid w:val="0"/>
        <w:spacing w:before="0" w:beforeLines="0" w:after="0" w:afterLines="0" w:line="360" w:lineRule="auto"/>
        <w:ind w:firstLine="0" w:firstLineChars="0"/>
        <w:jc w:val="left"/>
        <w:outlineLvl w:val="0"/>
        <w:rPr>
          <w:rFonts w:hint="eastAsia" w:ascii="Times New Roman" w:hAnsi="Times New Roman" w:eastAsia="黑体" w:cs="Times New Roman"/>
          <w:color w:val="000000" w:themeColor="text1"/>
          <w:kern w:val="44"/>
          <w:sz w:val="36"/>
          <w:szCs w:val="24"/>
          <w:highlight w:val="none"/>
          <w:lang w:val="en-US" w:eastAsia="zh-CN" w:bidi="ar-SA"/>
          <w14:textFill>
            <w14:solidFill>
              <w14:schemeClr w14:val="tx1"/>
            </w14:solidFill>
          </w14:textFill>
        </w:rPr>
      </w:pPr>
      <w:bookmarkStart w:id="66" w:name="_Toc594090024"/>
      <w:r>
        <w:rPr>
          <w:rFonts w:ascii="Times New Roman" w:hAnsi="Times New Roman" w:eastAsia="黑体" w:cs="Times New Roman"/>
          <w:color w:val="000000" w:themeColor="text1"/>
          <w:kern w:val="44"/>
          <w:sz w:val="36"/>
          <w:szCs w:val="24"/>
          <w:highlight w:val="none"/>
          <w:lang w:val="en" w:eastAsia="zh-CN" w:bidi="ar-SA"/>
          <w14:textFill>
            <w14:solidFill>
              <w14:schemeClr w14:val="tx1"/>
            </w14:solidFill>
          </w14:textFill>
        </w:rPr>
        <w:t>附表</w:t>
      </w:r>
      <w:bookmarkEnd w:id="57"/>
      <w:bookmarkEnd w:id="58"/>
      <w:bookmarkEnd w:id="59"/>
      <w:r>
        <w:rPr>
          <w:rFonts w:hint="eastAsia" w:ascii="Times New Roman" w:hAnsi="Times New Roman" w:eastAsia="黑体" w:cs="Times New Roman"/>
          <w:color w:val="000000" w:themeColor="text1"/>
          <w:kern w:val="44"/>
          <w:sz w:val="36"/>
          <w:szCs w:val="24"/>
          <w:highlight w:val="none"/>
          <w:lang w:val="en-US" w:eastAsia="zh-CN" w:bidi="ar-SA"/>
          <w14:textFill>
            <w14:solidFill>
              <w14:schemeClr w14:val="tx1"/>
            </w14:solidFill>
          </w14:textFill>
        </w:rPr>
        <w:t>2</w:t>
      </w:r>
      <w:bookmarkEnd w:id="66"/>
    </w:p>
    <w:p w14:paraId="258D908C">
      <w:pPr>
        <w:keepNext/>
        <w:keepLines/>
        <w:widowControl w:val="0"/>
        <w:suppressAutoHyphens/>
        <w:adjustRightInd w:val="0"/>
        <w:snapToGrid w:val="0"/>
        <w:spacing w:before="0" w:beforeLines="0" w:after="0" w:afterLines="0" w:line="360" w:lineRule="auto"/>
        <w:ind w:firstLine="0" w:firstLineChars="0"/>
        <w:jc w:val="center"/>
        <w:outlineLvl w:val="0"/>
        <w:rPr>
          <w:rFonts w:ascii="Times New Roman" w:hAnsi="Times New Roman" w:eastAsia="黑体" w:cs="Times New Roman"/>
          <w:color w:val="000000" w:themeColor="text1"/>
          <w:kern w:val="44"/>
          <w:sz w:val="36"/>
          <w:szCs w:val="24"/>
          <w:highlight w:val="none"/>
          <w:lang w:val="en-US" w:eastAsia="zh-CN" w:bidi="ar-SA"/>
          <w14:textFill>
            <w14:solidFill>
              <w14:schemeClr w14:val="tx1"/>
            </w14:solidFill>
          </w14:textFill>
        </w:rPr>
      </w:pPr>
      <w:bookmarkStart w:id="67" w:name="_Toc168321798"/>
      <w:r>
        <w:rPr>
          <w:rFonts w:ascii="Times New Roman" w:hAnsi="Times New Roman" w:eastAsia="黑体" w:cs="Times New Roman"/>
          <w:color w:val="000000" w:themeColor="text1"/>
          <w:kern w:val="44"/>
          <w:sz w:val="36"/>
          <w:szCs w:val="24"/>
          <w:highlight w:val="none"/>
          <w:lang w:val="en-US" w:eastAsia="zh-CN" w:bidi="ar-SA"/>
          <w14:textFill>
            <w14:solidFill>
              <w14:schemeClr w14:val="tx1"/>
            </w14:solidFill>
          </w14:textFill>
        </w:rPr>
        <w:t>三明市推进</w:t>
      </w:r>
      <w:r>
        <w:rPr>
          <w:rFonts w:hint="eastAsia" w:ascii="Times New Roman" w:hAnsi="Times New Roman" w:eastAsia="黑体" w:cs="Times New Roman"/>
          <w:color w:val="000000" w:themeColor="text1"/>
          <w:kern w:val="44"/>
          <w:sz w:val="36"/>
          <w:szCs w:val="24"/>
          <w:highlight w:val="none"/>
          <w:lang w:val="en-US" w:eastAsia="zh-CN" w:bidi="ar-SA"/>
          <w14:textFill>
            <w14:solidFill>
              <w14:schemeClr w14:val="tx1"/>
            </w14:solidFill>
          </w14:textFill>
        </w:rPr>
        <w:t>“</w:t>
      </w:r>
      <w:r>
        <w:rPr>
          <w:rFonts w:ascii="Times New Roman" w:hAnsi="Times New Roman" w:eastAsia="黑体" w:cs="Times New Roman"/>
          <w:color w:val="000000" w:themeColor="text1"/>
          <w:kern w:val="44"/>
          <w:sz w:val="36"/>
          <w:szCs w:val="24"/>
          <w:highlight w:val="none"/>
          <w:lang w:val="en-US" w:eastAsia="zh-CN" w:bidi="ar-SA"/>
          <w14:textFill>
            <w14:solidFill>
              <w14:schemeClr w14:val="tx1"/>
            </w14:solidFill>
          </w14:textFill>
        </w:rPr>
        <w:t>美丽三明</w:t>
      </w:r>
      <w:r>
        <w:rPr>
          <w:rFonts w:hint="eastAsia" w:ascii="Times New Roman" w:hAnsi="Times New Roman" w:eastAsia="黑体" w:cs="Times New Roman"/>
          <w:color w:val="000000" w:themeColor="text1"/>
          <w:kern w:val="44"/>
          <w:sz w:val="36"/>
          <w:szCs w:val="24"/>
          <w:highlight w:val="none"/>
          <w:lang w:val="en-US" w:eastAsia="zh-CN" w:bidi="ar-SA"/>
          <w14:textFill>
            <w14:solidFill>
              <w14:schemeClr w14:val="tx1"/>
            </w14:solidFill>
          </w14:textFill>
        </w:rPr>
        <w:t>”</w:t>
      </w:r>
      <w:r>
        <w:rPr>
          <w:rFonts w:ascii="Times New Roman" w:hAnsi="Times New Roman" w:eastAsia="黑体" w:cs="Times New Roman"/>
          <w:color w:val="000000" w:themeColor="text1"/>
          <w:kern w:val="44"/>
          <w:sz w:val="36"/>
          <w:szCs w:val="24"/>
          <w:highlight w:val="none"/>
          <w:lang w:val="en-US" w:eastAsia="zh-CN" w:bidi="ar-SA"/>
          <w14:textFill>
            <w14:solidFill>
              <w14:schemeClr w14:val="tx1"/>
            </w14:solidFill>
          </w14:textFill>
        </w:rPr>
        <w:t>建设计划表</w:t>
      </w:r>
      <w:bookmarkEnd w:id="60"/>
      <w:bookmarkEnd w:id="61"/>
      <w:bookmarkEnd w:id="62"/>
      <w:bookmarkEnd w:id="63"/>
      <w:bookmarkEnd w:id="64"/>
      <w:bookmarkEnd w:id="67"/>
    </w:p>
    <w:tbl>
      <w:tblPr>
        <w:tblStyle w:val="12"/>
        <w:tblW w:w="5106" w:type="pct"/>
        <w:tblInd w:w="-130" w:type="dxa"/>
        <w:tblLayout w:type="fixed"/>
        <w:tblCellMar>
          <w:top w:w="0" w:type="dxa"/>
          <w:left w:w="57" w:type="dxa"/>
          <w:bottom w:w="0" w:type="dxa"/>
          <w:right w:w="57" w:type="dxa"/>
        </w:tblCellMar>
      </w:tblPr>
      <w:tblGrid>
        <w:gridCol w:w="1481"/>
        <w:gridCol w:w="2300"/>
        <w:gridCol w:w="2228"/>
        <w:gridCol w:w="2529"/>
        <w:gridCol w:w="1308"/>
        <w:gridCol w:w="1286"/>
        <w:gridCol w:w="2012"/>
        <w:gridCol w:w="1227"/>
      </w:tblGrid>
      <w:tr w14:paraId="5E5496FF">
        <w:tblPrEx>
          <w:tblCellMar>
            <w:top w:w="0" w:type="dxa"/>
            <w:left w:w="57" w:type="dxa"/>
            <w:bottom w:w="0" w:type="dxa"/>
            <w:right w:w="57" w:type="dxa"/>
          </w:tblCellMar>
        </w:tblPrEx>
        <w:trPr>
          <w:trHeight w:val="1134" w:hRule="atLeast"/>
          <w:tblHeader/>
        </w:trPr>
        <w:tc>
          <w:tcPr>
            <w:tcW w:w="515" w:type="pct"/>
            <w:tcBorders>
              <w:top w:val="single" w:color="000000" w:sz="4" w:space="0"/>
              <w:left w:val="single" w:color="000000" w:sz="4" w:space="0"/>
              <w:bottom w:val="single" w:color="000000" w:sz="4" w:space="0"/>
              <w:right w:val="single" w:color="000000" w:sz="4" w:space="0"/>
            </w:tcBorders>
            <w:vAlign w:val="center"/>
          </w:tcPr>
          <w:p w14:paraId="1A47E76E">
            <w:pPr>
              <w:keepNext w:val="0"/>
              <w:keepLines w:val="0"/>
              <w:pageBreakBefore w:val="0"/>
              <w:suppressAutoHyphens/>
              <w:kinsoku/>
              <w:wordWrap/>
              <w:overflowPunct/>
              <w:topLinePunct w:val="0"/>
              <w:autoSpaceDE/>
              <w:autoSpaceDN/>
              <w:bidi w:val="0"/>
              <w:adjustRightInd/>
              <w:snapToGrid/>
              <w:spacing w:line="240" w:lineRule="auto"/>
              <w:ind w:firstLine="0" w:firstLineChars="0"/>
              <w:jc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kern w:val="0"/>
                <w:sz w:val="24"/>
                <w:highlight w:val="none"/>
                <w:lang w:bidi="ar"/>
                <w14:textFill>
                  <w14:solidFill>
                    <w14:schemeClr w14:val="tx1"/>
                  </w14:solidFill>
                </w14:textFill>
              </w:rPr>
              <w:t>建设类型</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70FA585F">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kern w:val="0"/>
                <w:sz w:val="24"/>
                <w:highlight w:val="none"/>
                <w:lang w:bidi="ar"/>
                <w14:textFill>
                  <w14:solidFill>
                    <w14:schemeClr w14:val="tx1"/>
                  </w14:solidFill>
                </w14:textFill>
              </w:rPr>
              <w:t>2025年（现状）</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2EA0F9E4">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kern w:val="0"/>
                <w:sz w:val="24"/>
                <w:highlight w:val="none"/>
                <w:lang w:bidi="ar"/>
                <w14:textFill>
                  <w14:solidFill>
                    <w14:schemeClr w14:val="tx1"/>
                  </w14:solidFill>
                </w14:textFill>
              </w:rPr>
              <w:t>2026年</w:t>
            </w:r>
          </w:p>
        </w:tc>
        <w:tc>
          <w:tcPr>
            <w:tcW w:w="879" w:type="pct"/>
            <w:tcBorders>
              <w:top w:val="single" w:color="000000" w:sz="4" w:space="0"/>
              <w:left w:val="single" w:color="000000" w:sz="4" w:space="0"/>
              <w:bottom w:val="single" w:color="000000" w:sz="4" w:space="0"/>
              <w:right w:val="single" w:color="000000" w:sz="4" w:space="0"/>
            </w:tcBorders>
            <w:noWrap/>
            <w:vAlign w:val="center"/>
          </w:tcPr>
          <w:p w14:paraId="737B60AC">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kern w:val="0"/>
                <w:sz w:val="24"/>
                <w:highlight w:val="none"/>
                <w:lang w:bidi="ar"/>
                <w14:textFill>
                  <w14:solidFill>
                    <w14:schemeClr w14:val="tx1"/>
                  </w14:solidFill>
                </w14:textFill>
              </w:rPr>
              <w:t>2027年</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080AD905">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kern w:val="0"/>
                <w:sz w:val="24"/>
                <w:highlight w:val="none"/>
                <w:lang w:bidi="ar"/>
                <w14:textFill>
                  <w14:solidFill>
                    <w14:schemeClr w14:val="tx1"/>
                  </w14:solidFill>
                </w14:textFill>
              </w:rPr>
              <w:t>2028年</w:t>
            </w: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7101FB86">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kern w:val="0"/>
                <w:sz w:val="24"/>
                <w:highlight w:val="none"/>
                <w:lang w:bidi="ar"/>
                <w14:textFill>
                  <w14:solidFill>
                    <w14:schemeClr w14:val="tx1"/>
                  </w14:solidFill>
                </w14:textFill>
              </w:rPr>
              <w:t>2029年</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597F2218">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kern w:val="0"/>
                <w:sz w:val="24"/>
                <w:highlight w:val="none"/>
                <w:lang w:bidi="ar"/>
                <w14:textFill>
                  <w14:solidFill>
                    <w14:schemeClr w14:val="tx1"/>
                  </w14:solidFill>
                </w14:textFill>
              </w:rPr>
              <w:t>2030年</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6EC29061">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b/>
                <w:color w:val="000000" w:themeColor="text1"/>
                <w:sz w:val="24"/>
                <w:highlight w:val="none"/>
                <w14:textFill>
                  <w14:solidFill>
                    <w14:schemeClr w14:val="tx1"/>
                  </w14:solidFill>
                </w14:textFill>
              </w:rPr>
            </w:pPr>
            <w:r>
              <w:rPr>
                <w:rFonts w:ascii="Times New Roman" w:hAnsi="Times New Roman" w:eastAsia="仿宋_GB2312"/>
                <w:b/>
                <w:color w:val="000000" w:themeColor="text1"/>
                <w:kern w:val="0"/>
                <w:sz w:val="24"/>
                <w:highlight w:val="none"/>
                <w:lang w:bidi="ar"/>
                <w14:textFill>
                  <w14:solidFill>
                    <w14:schemeClr w14:val="tx1"/>
                  </w14:solidFill>
                </w14:textFill>
              </w:rPr>
              <w:t>小计</w:t>
            </w:r>
          </w:p>
        </w:tc>
      </w:tr>
      <w:tr w14:paraId="26772507">
        <w:tblPrEx>
          <w:tblCellMar>
            <w:top w:w="0" w:type="dxa"/>
            <w:left w:w="57" w:type="dxa"/>
            <w:bottom w:w="0" w:type="dxa"/>
            <w:right w:w="57" w:type="dxa"/>
          </w:tblCellMar>
        </w:tblPrEx>
        <w:trPr>
          <w:trHeight w:val="1076" w:hRule="atLeast"/>
        </w:trPr>
        <w:tc>
          <w:tcPr>
            <w:tcW w:w="515" w:type="pct"/>
            <w:tcBorders>
              <w:top w:val="single" w:color="000000" w:sz="4" w:space="0"/>
              <w:left w:val="single" w:color="000000" w:sz="4" w:space="0"/>
              <w:bottom w:val="single" w:color="000000" w:sz="4" w:space="0"/>
              <w:right w:val="single" w:color="000000" w:sz="4" w:space="0"/>
            </w:tcBorders>
            <w:noWrap/>
            <w:vAlign w:val="center"/>
          </w:tcPr>
          <w:p w14:paraId="5B171BF1">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美丽城市</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595CDA40">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将乐县</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1B1213BC">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olor w:val="000000" w:themeColor="text1"/>
                <w:kern w:val="0"/>
                <w:sz w:val="24"/>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t>/</w:t>
            </w:r>
          </w:p>
        </w:tc>
        <w:tc>
          <w:tcPr>
            <w:tcW w:w="879" w:type="pct"/>
            <w:tcBorders>
              <w:top w:val="single" w:color="000000" w:sz="4" w:space="0"/>
              <w:left w:val="single" w:color="000000" w:sz="4" w:space="0"/>
              <w:bottom w:val="single" w:color="000000" w:sz="4" w:space="0"/>
              <w:right w:val="single" w:color="000000" w:sz="4" w:space="0"/>
            </w:tcBorders>
            <w:noWrap/>
            <w:vAlign w:val="center"/>
          </w:tcPr>
          <w:p w14:paraId="729FFF46">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清流县</w:t>
            </w:r>
            <w:bookmarkStart w:id="68" w:name="_GoBack"/>
            <w:bookmarkEnd w:id="68"/>
            <w:r>
              <w:rPr>
                <w:rFonts w:ascii="Times New Roman" w:hAnsi="Times New Roman" w:eastAsia="仿宋_GB2312"/>
                <w:color w:val="000000" w:themeColor="text1"/>
                <w:kern w:val="0"/>
                <w:sz w:val="24"/>
                <w:highlight w:val="none"/>
                <w:lang w:bidi="ar"/>
                <w14:textFill>
                  <w14:solidFill>
                    <w14:schemeClr w14:val="tx1"/>
                  </w14:solidFill>
                </w14:textFill>
              </w:rPr>
              <w:t>、泰宁县、建宁县</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12D83B82">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sz w:val="24"/>
                <w:highlight w:val="none"/>
                <w14:textFill>
                  <w14:solidFill>
                    <w14:schemeClr w14:val="tx1"/>
                  </w14:solidFill>
                </w14:textFill>
              </w:rPr>
              <w:t>/</w:t>
            </w: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2CC239FA">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sz w:val="24"/>
                <w:highlight w:val="none"/>
                <w14:textFill>
                  <w14:solidFill>
                    <w14:schemeClr w14:val="tx1"/>
                  </w14:solidFill>
                </w14:textFill>
              </w:rPr>
              <w:t>/</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1E891486">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olor w:val="000000" w:themeColor="text1"/>
                <w:kern w:val="0"/>
                <w:sz w:val="24"/>
                <w:highlight w:val="none"/>
                <w:lang w:eastAsia="zh-CN"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明溪县、宁化县、永安市、大田县、尤溪县</w:t>
            </w:r>
            <w:r>
              <w:rPr>
                <w:rFonts w:hint="eastAsia" w:ascii="Times New Roman" w:hAnsi="Times New Roman" w:eastAsia="仿宋_GB2312"/>
                <w:color w:val="000000" w:themeColor="text1"/>
                <w:kern w:val="0"/>
                <w:sz w:val="24"/>
                <w:highlight w:val="none"/>
                <w:lang w:eastAsia="zh-CN" w:bidi="ar"/>
                <w14:textFill>
                  <w14:solidFill>
                    <w14:schemeClr w14:val="tx1"/>
                  </w14:solidFill>
                </w14:textFill>
              </w:rPr>
              <w:t>、</w:t>
            </w:r>
            <w:r>
              <w:rPr>
                <w:rFonts w:hint="eastAsia" w:ascii="Times New Roman" w:hAnsi="Times New Roman" w:eastAsia="仿宋_GB2312"/>
                <w:color w:val="000000" w:themeColor="text1"/>
                <w:kern w:val="0"/>
                <w:sz w:val="24"/>
                <w:highlight w:val="none"/>
                <w:lang w:eastAsia="zh-CN" w:bidi="ar"/>
                <w14:textFill>
                  <w14:solidFill>
                    <w14:schemeClr w14:val="tx1"/>
                  </w14:solidFill>
                </w14:textFill>
              </w:rPr>
              <w:t>三元区、沙县区</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2B330609">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olor w:val="000000" w:themeColor="text1"/>
                <w:kern w:val="0"/>
                <w:sz w:val="24"/>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t>11</w:t>
            </w:r>
          </w:p>
        </w:tc>
      </w:tr>
      <w:tr w14:paraId="443A7CF8">
        <w:tblPrEx>
          <w:tblCellMar>
            <w:top w:w="0" w:type="dxa"/>
            <w:left w:w="57" w:type="dxa"/>
            <w:bottom w:w="0" w:type="dxa"/>
            <w:right w:w="57" w:type="dxa"/>
          </w:tblCellMar>
        </w:tblPrEx>
        <w:trPr>
          <w:trHeight w:val="850" w:hRule="atLeast"/>
        </w:trPr>
        <w:tc>
          <w:tcPr>
            <w:tcW w:w="515" w:type="pct"/>
            <w:tcBorders>
              <w:top w:val="single" w:color="000000" w:sz="4" w:space="0"/>
              <w:left w:val="single" w:color="000000" w:sz="4" w:space="0"/>
              <w:bottom w:val="single" w:color="000000" w:sz="4" w:space="0"/>
              <w:right w:val="single" w:color="000000" w:sz="4" w:space="0"/>
            </w:tcBorders>
            <w:noWrap/>
            <w:vAlign w:val="center"/>
          </w:tcPr>
          <w:p w14:paraId="5836BDFB">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美丽乡村</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4FB11D54">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将乐县、建宁县、明溪县</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63DDC2C5">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泰宁县</w:t>
            </w:r>
          </w:p>
        </w:tc>
        <w:tc>
          <w:tcPr>
            <w:tcW w:w="879" w:type="pct"/>
            <w:tcBorders>
              <w:top w:val="single" w:color="000000" w:sz="4" w:space="0"/>
              <w:left w:val="single" w:color="000000" w:sz="4" w:space="0"/>
              <w:bottom w:val="single" w:color="000000" w:sz="4" w:space="0"/>
              <w:right w:val="single" w:color="000000" w:sz="4" w:space="0"/>
            </w:tcBorders>
            <w:noWrap/>
            <w:vAlign w:val="center"/>
          </w:tcPr>
          <w:p w14:paraId="66BCB625">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宁化县</w:t>
            </w:r>
          </w:p>
        </w:tc>
        <w:tc>
          <w:tcPr>
            <w:tcW w:w="1602" w:type="pct"/>
            <w:gridSpan w:val="3"/>
            <w:tcBorders>
              <w:top w:val="single" w:color="000000" w:sz="4" w:space="0"/>
              <w:left w:val="single" w:color="000000" w:sz="4" w:space="0"/>
              <w:bottom w:val="single" w:color="000000" w:sz="4" w:space="0"/>
              <w:right w:val="single" w:color="000000" w:sz="4" w:space="0"/>
            </w:tcBorders>
            <w:noWrap/>
            <w:vAlign w:val="center"/>
          </w:tcPr>
          <w:p w14:paraId="7E16EA3B">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清流县、永安市、沙县区、三元区、大田县、尤溪县</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2E7B3DA2">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11</w:t>
            </w:r>
          </w:p>
        </w:tc>
      </w:tr>
      <w:tr w14:paraId="41CC10C2">
        <w:tblPrEx>
          <w:tblCellMar>
            <w:top w:w="0" w:type="dxa"/>
            <w:left w:w="57" w:type="dxa"/>
            <w:bottom w:w="0" w:type="dxa"/>
            <w:right w:w="57" w:type="dxa"/>
          </w:tblCellMar>
        </w:tblPrEx>
        <w:trPr>
          <w:trHeight w:val="1463" w:hRule="atLeast"/>
        </w:trPr>
        <w:tc>
          <w:tcPr>
            <w:tcW w:w="515" w:type="pct"/>
            <w:tcBorders>
              <w:top w:val="single" w:color="000000" w:sz="4" w:space="0"/>
              <w:left w:val="single" w:color="000000" w:sz="4" w:space="0"/>
              <w:bottom w:val="single" w:color="000000" w:sz="4" w:space="0"/>
              <w:right w:val="single" w:color="000000" w:sz="4" w:space="0"/>
            </w:tcBorders>
            <w:noWrap/>
            <w:vAlign w:val="center"/>
          </w:tcPr>
          <w:p w14:paraId="1DEECE74">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美丽河湖</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49253C32">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olor w:val="000000" w:themeColor="text1"/>
                <w:kern w:val="0"/>
                <w:sz w:val="24"/>
                <w:highlight w:val="none"/>
                <w:lang w:eastAsia="zh-CN"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翠江、角溪、金溪（泰宁段）、金溪（建宁段）、金溪（将乐段）</w:t>
            </w:r>
            <w:r>
              <w:rPr>
                <w:rFonts w:hint="eastAsia" w:ascii="Times New Roman" w:hAnsi="Times New Roman" w:eastAsia="仿宋_GB2312"/>
                <w:color w:val="000000" w:themeColor="text1"/>
                <w:kern w:val="0"/>
                <w:sz w:val="24"/>
                <w:highlight w:val="none"/>
                <w:lang w:eastAsia="zh-CN" w:bidi="ar"/>
                <w14:textFill>
                  <w14:solidFill>
                    <w14:schemeClr w14:val="tx1"/>
                  </w14:solidFill>
                </w14:textFill>
              </w:rPr>
              <w:t>、闽湖(尤溪)</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0AB1D7E7">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olor w:val="000000" w:themeColor="text1"/>
                <w:kern w:val="0"/>
                <w:sz w:val="24"/>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t>/</w:t>
            </w:r>
          </w:p>
        </w:tc>
        <w:tc>
          <w:tcPr>
            <w:tcW w:w="879" w:type="pct"/>
            <w:tcBorders>
              <w:top w:val="single" w:color="000000" w:sz="4" w:space="0"/>
              <w:left w:val="single" w:color="000000" w:sz="4" w:space="0"/>
              <w:bottom w:val="single" w:color="000000" w:sz="4" w:space="0"/>
              <w:right w:val="single" w:color="000000" w:sz="4" w:space="0"/>
            </w:tcBorders>
            <w:noWrap/>
            <w:vAlign w:val="center"/>
          </w:tcPr>
          <w:p w14:paraId="628F9A59">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hint="eastAsia" w:ascii="Times New Roman" w:hAnsi="Times New Roman" w:eastAsia="仿宋_GB2312"/>
                <w:color w:val="000000" w:themeColor="text1"/>
                <w:kern w:val="0"/>
                <w:sz w:val="24"/>
                <w:highlight w:val="none"/>
                <w:lang w:bidi="ar"/>
                <w14:textFill>
                  <w14:solidFill>
                    <w14:schemeClr w14:val="tx1"/>
                  </w14:solidFill>
                </w14:textFill>
              </w:rPr>
              <w:t>沙溪（三明市）、文川溪、文江溪、新桥溪、九龙溪、汀江（三明市）、长潭溪、尤溪</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54F54E92">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t>/</w:t>
            </w: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203398D8">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t>/</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3A0944AA">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t>/</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4CBB9059">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olor w:val="000000" w:themeColor="text1"/>
                <w:kern w:val="0"/>
                <w:sz w:val="24"/>
                <w:highlight w:val="none"/>
                <w:lang w:eastAsia="zh-CN"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1</w:t>
            </w:r>
            <w: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t>4</w:t>
            </w:r>
          </w:p>
        </w:tc>
      </w:tr>
      <w:tr w14:paraId="0C102204">
        <w:tblPrEx>
          <w:tblCellMar>
            <w:top w:w="0" w:type="dxa"/>
            <w:left w:w="57" w:type="dxa"/>
            <w:bottom w:w="0" w:type="dxa"/>
            <w:right w:w="57" w:type="dxa"/>
          </w:tblCellMar>
        </w:tblPrEx>
        <w:trPr>
          <w:trHeight w:val="1488" w:hRule="atLeast"/>
        </w:trPr>
        <w:tc>
          <w:tcPr>
            <w:tcW w:w="515" w:type="pct"/>
            <w:tcBorders>
              <w:top w:val="single" w:color="000000" w:sz="4" w:space="0"/>
              <w:left w:val="single" w:color="000000" w:sz="4" w:space="0"/>
              <w:bottom w:val="single" w:color="000000" w:sz="4" w:space="0"/>
              <w:right w:val="single" w:color="000000" w:sz="4" w:space="0"/>
            </w:tcBorders>
            <w:noWrap/>
            <w:vAlign w:val="center"/>
          </w:tcPr>
          <w:p w14:paraId="39D1B223">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美丽园区</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3824E6D2">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pPr>
            <w:r>
              <w:rPr>
                <w:rFonts w:hint="eastAsia" w:ascii="Times New Roman" w:hAnsi="Times New Roman" w:eastAsia="仿宋_GB2312"/>
                <w:color w:val="000000" w:themeColor="text1"/>
                <w:kern w:val="0"/>
                <w:sz w:val="24"/>
                <w:highlight w:val="none"/>
                <w:lang w:val="en-US" w:eastAsia="zh-CN" w:bidi="ar"/>
                <w14:textFill>
                  <w14:solidFill>
                    <w14:schemeClr w14:val="tx1"/>
                  </w14:solidFill>
                </w14:textFill>
              </w:rPr>
              <w:t>/</w:t>
            </w:r>
          </w:p>
        </w:tc>
        <w:tc>
          <w:tcPr>
            <w:tcW w:w="775" w:type="pct"/>
            <w:tcBorders>
              <w:top w:val="single" w:color="000000" w:sz="4" w:space="0"/>
              <w:left w:val="single" w:color="000000" w:sz="4" w:space="0"/>
              <w:bottom w:val="single" w:color="000000" w:sz="4" w:space="0"/>
              <w:right w:val="single" w:color="000000" w:sz="4" w:space="0"/>
            </w:tcBorders>
            <w:noWrap/>
            <w:vAlign w:val="center"/>
          </w:tcPr>
          <w:p w14:paraId="7EE5E499">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三明高新技术开发区尼葛园、福建将乐经济开发区</w:t>
            </w:r>
          </w:p>
        </w:tc>
        <w:tc>
          <w:tcPr>
            <w:tcW w:w="879" w:type="pct"/>
            <w:tcBorders>
              <w:top w:val="single" w:color="000000" w:sz="4" w:space="0"/>
              <w:left w:val="single" w:color="000000" w:sz="4" w:space="0"/>
              <w:bottom w:val="single" w:color="000000" w:sz="4" w:space="0"/>
              <w:right w:val="single" w:color="000000" w:sz="4" w:space="0"/>
            </w:tcBorders>
            <w:noWrap/>
            <w:vAlign w:val="center"/>
          </w:tcPr>
          <w:p w14:paraId="59D9D190">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明溪县工业集中区、清流经济开发区、大田经济开发区、</w:t>
            </w:r>
            <w:r>
              <w:rPr>
                <w:rFonts w:hint="eastAsia" w:ascii="Times New Roman" w:hAnsi="Times New Roman" w:eastAsia="仿宋_GB2312"/>
                <w:color w:val="000000" w:themeColor="text1"/>
                <w:kern w:val="0"/>
                <w:sz w:val="24"/>
                <w:highlight w:val="none"/>
                <w:lang w:bidi="ar"/>
                <w14:textFill>
                  <w14:solidFill>
                    <w14:schemeClr w14:val="tx1"/>
                  </w14:solidFill>
                </w14:textFill>
              </w:rPr>
              <w:t>三明经济开发区吉口新兴产业园</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6CC6919C">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w:t>
            </w:r>
          </w:p>
        </w:tc>
        <w:tc>
          <w:tcPr>
            <w:tcW w:w="447" w:type="pct"/>
            <w:tcBorders>
              <w:top w:val="single" w:color="000000" w:sz="4" w:space="0"/>
              <w:left w:val="single" w:color="000000" w:sz="4" w:space="0"/>
              <w:bottom w:val="single" w:color="000000" w:sz="4" w:space="0"/>
              <w:right w:val="single" w:color="000000" w:sz="4" w:space="0"/>
            </w:tcBorders>
            <w:noWrap/>
            <w:vAlign w:val="center"/>
          </w:tcPr>
          <w:p w14:paraId="30B20A3B">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12697529">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三明高新技术产业开发区金沙园、建宁经济开发区</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5F9C05D9">
            <w:pPr>
              <w:keepNext w:val="0"/>
              <w:keepLines w:val="0"/>
              <w:pageBreakBefore w:val="0"/>
              <w:widowControl/>
              <w:suppressAutoHyphens/>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仿宋_GB2312"/>
                <w:color w:val="000000" w:themeColor="text1"/>
                <w:kern w:val="0"/>
                <w:sz w:val="24"/>
                <w:highlight w:val="none"/>
                <w:lang w:bidi="ar"/>
                <w14:textFill>
                  <w14:solidFill>
                    <w14:schemeClr w14:val="tx1"/>
                  </w14:solidFill>
                </w14:textFill>
              </w:rPr>
            </w:pPr>
            <w:r>
              <w:rPr>
                <w:rFonts w:ascii="Times New Roman" w:hAnsi="Times New Roman" w:eastAsia="仿宋_GB2312"/>
                <w:color w:val="000000" w:themeColor="text1"/>
                <w:kern w:val="0"/>
                <w:sz w:val="24"/>
                <w:highlight w:val="none"/>
                <w:lang w:bidi="ar"/>
                <w14:textFill>
                  <w14:solidFill>
                    <w14:schemeClr w14:val="tx1"/>
                  </w14:solidFill>
                </w14:textFill>
              </w:rPr>
              <w:t>60%</w:t>
            </w:r>
          </w:p>
        </w:tc>
      </w:tr>
    </w:tbl>
    <w:p w14:paraId="5F531F49">
      <w:pPr>
        <w:suppressAutoHyphens/>
        <w:adjustRightInd w:val="0"/>
        <w:snapToGrid w:val="0"/>
        <w:spacing w:line="360" w:lineRule="auto"/>
        <w:rPr>
          <w:rFonts w:hint="eastAsia" w:ascii="Times New Roman" w:hAnsi="Times New Roman" w:eastAsia="仿宋_GB2312"/>
          <w:bCs/>
          <w:color w:val="000000" w:themeColor="text1"/>
          <w:sz w:val="32"/>
          <w:szCs w:val="31"/>
          <w:highlight w:val="none"/>
          <w:lang w:val="en-US" w:eastAsia="zh-CN"/>
          <w14:textFill>
            <w14:solidFill>
              <w14:schemeClr w14:val="tx1"/>
            </w14:solidFill>
          </w14:textFill>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Noto Sans Symbols2">
    <w:panose1 w:val="020B0502040504020204"/>
    <w:charset w:val="00"/>
    <w:family w:val="auto"/>
    <w:pitch w:val="default"/>
    <w:sig w:usb0="80000003" w:usb1="0200E3E4" w:usb2="00040020" w:usb3="0580A048" w:csb0="0000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04F3A">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398FC">
                          <w:pPr>
                            <w:pStyle w:val="8"/>
                            <w:ind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  \* MERGEFORMAT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D6398FC">
                    <w:pPr>
                      <w:pStyle w:val="8"/>
                      <w:ind w:firstLine="0" w:firstLineChars="0"/>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  \* MERGEFORMAT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EF38F"/>
    <w:multiLevelType w:val="singleLevel"/>
    <w:tmpl w:val="8BDEF38F"/>
    <w:lvl w:ilvl="0" w:tentative="0">
      <w:start w:val="1"/>
      <w:numFmt w:val="chineseCounting"/>
      <w:suff w:val="nothing"/>
      <w:lvlText w:val="%1、"/>
      <w:lvlJc w:val="left"/>
      <w:rPr>
        <w:rFonts w:hint="eastAsia"/>
      </w:rPr>
    </w:lvl>
  </w:abstractNum>
  <w:abstractNum w:abstractNumId="1">
    <w:nsid w:val="6FECF9B7"/>
    <w:multiLevelType w:val="multilevel"/>
    <w:tmpl w:val="6FECF9B7"/>
    <w:lvl w:ilvl="0" w:tentative="0">
      <w:start w:val="1"/>
      <w:numFmt w:val="decimal"/>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BF2F5"/>
    <w:rsid w:val="021547EE"/>
    <w:rsid w:val="02A2764A"/>
    <w:rsid w:val="03AA5DB1"/>
    <w:rsid w:val="0517146B"/>
    <w:rsid w:val="052F194C"/>
    <w:rsid w:val="074A1304"/>
    <w:rsid w:val="07FDF975"/>
    <w:rsid w:val="08751B32"/>
    <w:rsid w:val="08793FA4"/>
    <w:rsid w:val="08C96CD9"/>
    <w:rsid w:val="09C3197A"/>
    <w:rsid w:val="0A59408D"/>
    <w:rsid w:val="0EC95C85"/>
    <w:rsid w:val="0FA97864"/>
    <w:rsid w:val="0FB649E7"/>
    <w:rsid w:val="102D240F"/>
    <w:rsid w:val="11D27F4A"/>
    <w:rsid w:val="125F5BF6"/>
    <w:rsid w:val="15621579"/>
    <w:rsid w:val="16407F5A"/>
    <w:rsid w:val="17051824"/>
    <w:rsid w:val="19A03A86"/>
    <w:rsid w:val="1A6B14B4"/>
    <w:rsid w:val="1AC859A8"/>
    <w:rsid w:val="1CEB20A6"/>
    <w:rsid w:val="1EBC777C"/>
    <w:rsid w:val="1F0C34AE"/>
    <w:rsid w:val="1FA86FA3"/>
    <w:rsid w:val="1FCF9BE0"/>
    <w:rsid w:val="20CE156E"/>
    <w:rsid w:val="21AA36F4"/>
    <w:rsid w:val="22066450"/>
    <w:rsid w:val="236C6787"/>
    <w:rsid w:val="23D9702E"/>
    <w:rsid w:val="250A26FB"/>
    <w:rsid w:val="26C54F67"/>
    <w:rsid w:val="26CF1507"/>
    <w:rsid w:val="27127645"/>
    <w:rsid w:val="27A02EA3"/>
    <w:rsid w:val="28E9791D"/>
    <w:rsid w:val="2C680433"/>
    <w:rsid w:val="2D091FDE"/>
    <w:rsid w:val="2DFDD597"/>
    <w:rsid w:val="2E884DBD"/>
    <w:rsid w:val="2F652887"/>
    <w:rsid w:val="2FB70AA4"/>
    <w:rsid w:val="2FDEF3E7"/>
    <w:rsid w:val="311E57A3"/>
    <w:rsid w:val="329A50BF"/>
    <w:rsid w:val="344E4F9B"/>
    <w:rsid w:val="35011425"/>
    <w:rsid w:val="35647C06"/>
    <w:rsid w:val="359E78BC"/>
    <w:rsid w:val="35A65B28"/>
    <w:rsid w:val="37752C3A"/>
    <w:rsid w:val="385D6C13"/>
    <w:rsid w:val="393D0552"/>
    <w:rsid w:val="39F442D0"/>
    <w:rsid w:val="3A544B2E"/>
    <w:rsid w:val="3B70C532"/>
    <w:rsid w:val="3EFF7869"/>
    <w:rsid w:val="3F406FEE"/>
    <w:rsid w:val="3F422D66"/>
    <w:rsid w:val="3FFF0DCA"/>
    <w:rsid w:val="414601C0"/>
    <w:rsid w:val="41BF1073"/>
    <w:rsid w:val="41F66FF3"/>
    <w:rsid w:val="43AD6CAC"/>
    <w:rsid w:val="44D0671E"/>
    <w:rsid w:val="4541761C"/>
    <w:rsid w:val="49382AE4"/>
    <w:rsid w:val="4A3D1A90"/>
    <w:rsid w:val="4A691E14"/>
    <w:rsid w:val="4A7E185D"/>
    <w:rsid w:val="4B3668D3"/>
    <w:rsid w:val="4C1944DF"/>
    <w:rsid w:val="4CD40D75"/>
    <w:rsid w:val="4DF416CF"/>
    <w:rsid w:val="4EC97B4E"/>
    <w:rsid w:val="4F4C1097"/>
    <w:rsid w:val="4FC7B977"/>
    <w:rsid w:val="4FFB2130"/>
    <w:rsid w:val="507E611B"/>
    <w:rsid w:val="522602C5"/>
    <w:rsid w:val="5377B42D"/>
    <w:rsid w:val="56101070"/>
    <w:rsid w:val="5657079D"/>
    <w:rsid w:val="56A43CF8"/>
    <w:rsid w:val="5727779E"/>
    <w:rsid w:val="575256B8"/>
    <w:rsid w:val="57843511"/>
    <w:rsid w:val="57EBF2F5"/>
    <w:rsid w:val="57FB1DAC"/>
    <w:rsid w:val="58C46142"/>
    <w:rsid w:val="595C8844"/>
    <w:rsid w:val="5A7F23A0"/>
    <w:rsid w:val="5AA32CE2"/>
    <w:rsid w:val="5B6F4A8B"/>
    <w:rsid w:val="602F1F75"/>
    <w:rsid w:val="61DE2022"/>
    <w:rsid w:val="628D3A49"/>
    <w:rsid w:val="632C3910"/>
    <w:rsid w:val="65E70226"/>
    <w:rsid w:val="67E265E5"/>
    <w:rsid w:val="68646FFA"/>
    <w:rsid w:val="686951A9"/>
    <w:rsid w:val="69FA5E67"/>
    <w:rsid w:val="6AFBF464"/>
    <w:rsid w:val="6C9A123C"/>
    <w:rsid w:val="6CC85DA9"/>
    <w:rsid w:val="6DEC505A"/>
    <w:rsid w:val="6E361438"/>
    <w:rsid w:val="6F3E27F7"/>
    <w:rsid w:val="6F5E47A3"/>
    <w:rsid w:val="6FF7D44D"/>
    <w:rsid w:val="722F0678"/>
    <w:rsid w:val="74B44E65"/>
    <w:rsid w:val="74B80DF9"/>
    <w:rsid w:val="76B70BF3"/>
    <w:rsid w:val="77CF2C76"/>
    <w:rsid w:val="77DDEFCB"/>
    <w:rsid w:val="78C57641"/>
    <w:rsid w:val="794C1207"/>
    <w:rsid w:val="7A0C74F9"/>
    <w:rsid w:val="7AE77B2E"/>
    <w:rsid w:val="7BBA981A"/>
    <w:rsid w:val="7BFF6B6C"/>
    <w:rsid w:val="7CEA10D1"/>
    <w:rsid w:val="7CEB0AB6"/>
    <w:rsid w:val="7DF7C6AF"/>
    <w:rsid w:val="7EF91199"/>
    <w:rsid w:val="7F7D02E4"/>
    <w:rsid w:val="7F7F33A5"/>
    <w:rsid w:val="7FDAE4B5"/>
    <w:rsid w:val="8B6E872F"/>
    <w:rsid w:val="AFF6A830"/>
    <w:rsid w:val="B5FFF7AC"/>
    <w:rsid w:val="BDFE42E6"/>
    <w:rsid w:val="BF8F4A0D"/>
    <w:rsid w:val="DC96DD10"/>
    <w:rsid w:val="DEEF280B"/>
    <w:rsid w:val="DF97CC2A"/>
    <w:rsid w:val="E69F5E48"/>
    <w:rsid w:val="E6F9527B"/>
    <w:rsid w:val="F1F41505"/>
    <w:rsid w:val="FDDFCDA9"/>
    <w:rsid w:val="FEDF83B0"/>
    <w:rsid w:val="FF4FD5EE"/>
    <w:rsid w:val="FFB76B79"/>
    <w:rsid w:val="FFEBB515"/>
    <w:rsid w:val="FFF7D527"/>
    <w:rsid w:val="FFFD67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150" w:beforeLines="150" w:after="150" w:afterLines="150"/>
      <w:ind w:firstLine="0" w:firstLineChars="0"/>
      <w:jc w:val="center"/>
      <w:outlineLvl w:val="0"/>
    </w:pPr>
    <w:rPr>
      <w:rFonts w:eastAsia="黑体"/>
      <w:kern w:val="44"/>
      <w:sz w:val="36"/>
      <w:lang w:val="en"/>
    </w:rPr>
  </w:style>
  <w:style w:type="paragraph" w:styleId="5">
    <w:name w:val="heading 2"/>
    <w:basedOn w:val="1"/>
    <w:next w:val="1"/>
    <w:unhideWhenUsed/>
    <w:qFormat/>
    <w:uiPriority w:val="0"/>
    <w:pPr>
      <w:keepNext/>
      <w:keepLines/>
      <w:spacing w:before="150" w:beforeLines="150" w:after="150" w:afterLines="150" w:line="240" w:lineRule="auto"/>
      <w:ind w:firstLine="0" w:firstLineChars="0"/>
      <w:jc w:val="center"/>
      <w:outlineLvl w:val="1"/>
    </w:pPr>
    <w:rPr>
      <w:rFonts w:eastAsia="楷体_GB2312"/>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neirong"/>
    <w:basedOn w:val="1"/>
    <w:next w:val="1"/>
    <w:qFormat/>
    <w:uiPriority w:val="0"/>
    <w:pPr>
      <w:widowControl/>
      <w:spacing w:before="100" w:beforeAutospacing="1" w:after="100" w:afterAutospacing="1" w:line="360" w:lineRule="auto"/>
      <w:jc w:val="left"/>
    </w:pPr>
    <w:rPr>
      <w:rFonts w:ascii="宋体" w:hAnsi="宋体" w:eastAsia="仿宋_GB2312" w:cs="Times New Roman"/>
      <w:bCs/>
      <w:color w:val="000000"/>
      <w:kern w:val="0"/>
      <w:sz w:val="24"/>
    </w:r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leftChars="200"/>
    </w:pPr>
  </w:style>
  <w:style w:type="paragraph" w:styleId="8">
    <w:name w:val="footer"/>
    <w:basedOn w:val="1"/>
    <w:qFormat/>
    <w:uiPriority w:val="99"/>
    <w:pPr>
      <w:tabs>
        <w:tab w:val="center" w:pos="4153"/>
        <w:tab w:val="right" w:pos="8306"/>
      </w:tabs>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pPr>
      <w:ind w:firstLine="0" w:firstLineChars="0"/>
      <w:jc w:val="left"/>
    </w:pPr>
    <w:rPr>
      <w:rFonts w:eastAsia="黑体"/>
      <w:sz w:val="30"/>
    </w:rPr>
  </w:style>
  <w:style w:type="paragraph" w:styleId="11">
    <w:name w:val="Body Text First Indent 2"/>
    <w:basedOn w:val="7"/>
    <w:qFormat/>
    <w:uiPriority w:val="99"/>
  </w:style>
  <w:style w:type="character" w:styleId="14">
    <w:name w:val="annotation reference"/>
    <w:basedOn w:val="13"/>
    <w:qFormat/>
    <w:uiPriority w:val="0"/>
    <w:rPr>
      <w:sz w:val="21"/>
      <w:szCs w:val="21"/>
    </w:rPr>
  </w:style>
  <w:style w:type="paragraph" w:styleId="15">
    <w:name w:val="List Paragraph"/>
    <w:basedOn w:val="1"/>
    <w:qFormat/>
    <w:uiPriority w:val="34"/>
  </w:style>
  <w:style w:type="character" w:customStyle="1" w:styleId="16">
    <w:name w:val="style042"/>
    <w:basedOn w:val="13"/>
    <w:qFormat/>
    <w:uiPriority w:val="0"/>
    <w:rPr>
      <w:rFonts w:hint="default" w:ascii="ˎ̥" w:hAnsi="ˎ̥"/>
      <w:color w:val="000000"/>
      <w:sz w:val="21"/>
      <w:szCs w:val="21"/>
      <w:u w:val="none"/>
    </w:rPr>
  </w:style>
  <w:style w:type="paragraph" w:customStyle="1" w:styleId="17">
    <w:name w:val="无间隔1"/>
    <w:basedOn w:val="1"/>
    <w:qFormat/>
    <w:uiPriority w:val="0"/>
    <w:pPr>
      <w:ind w:firstLine="0" w:firstLineChars="0"/>
      <w:jc w:val="center"/>
    </w:pPr>
    <w:rPr>
      <w:rFonts w:eastAsia="方正小标宋简体"/>
      <w:sz w:val="43"/>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7451</Words>
  <Characters>7549</Characters>
  <Lines>0</Lines>
  <Paragraphs>0</Paragraphs>
  <TotalTime>6</TotalTime>
  <ScaleCrop>false</ScaleCrop>
  <LinksUpToDate>false</LinksUpToDate>
  <CharactersWithSpaces>7604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2026-05-25T09:06:00Z</dcterms:created>
  <dc:creator>user</dc:creator>
  <cp:lastModifiedBy>user</cp:lastModifiedBy>
  <dcterms:modified xsi:type="dcterms:W3CDTF">2026-07-09T15:07:59Z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02E05F97DCE94644906E423768A5CB61_13</vt:lpwstr>
  </property>
  <property fmtid="{D5CDD505-2E9C-101B-9397-08002B2CF9AE}" pid="4" name="KSOTemplateDocerSaveRecord">
    <vt:lpwstr>eyJoZGlkIjoiMGYzZGM1NGYwMTI4ZDI2OWFjNDAzYzc3ODc3YTlhOGYiLCJ1c2VySWQiOiI1MzI3NDAxMDIifQ==</vt:lpwstr>
  </property>
</Properties>
</file>