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00C" w14:textId="77777777" w:rsidR="00281591" w:rsidRDefault="00281591" w:rsidP="00281591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</w:p>
    <w:p w14:paraId="5946E5FA" w14:textId="77777777" w:rsidR="00281591" w:rsidRDefault="00281591" w:rsidP="00281591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FF19BD0" w14:textId="77777777" w:rsidR="00281591" w:rsidRDefault="00281591" w:rsidP="002815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三明市空气质量持续改善实施方案</w:t>
      </w:r>
    </w:p>
    <w:p w14:paraId="42F334EF" w14:textId="77777777" w:rsidR="00281591" w:rsidRDefault="00281591" w:rsidP="002815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</w:p>
    <w:p w14:paraId="07427B69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20"/>
        <w:textAlignment w:val="top"/>
      </w:pPr>
    </w:p>
    <w:p w14:paraId="1C8522AB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40"/>
        <w:textAlignment w:val="top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为贯彻落实《国务院关于印发&lt;空气质量持续改善行动计划&gt;的通知》（国发〔2023〕24号）、《福建省人民政府关于印发&lt;福建省空气质量持续改善实施方案&gt;的通知》（闽政文〔2024〕361号）文件精神，结合我市实际，制定本实施方案。</w:t>
      </w:r>
    </w:p>
    <w:p w14:paraId="3A8FC473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40"/>
        <w:textAlignment w:val="top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一、总体</w:t>
      </w:r>
      <w:r>
        <w:rPr>
          <w:rFonts w:ascii="黑体" w:eastAsia="黑体" w:cs="黑体" w:hint="eastAsia"/>
          <w:bCs/>
          <w:sz w:val="32"/>
          <w:szCs w:val="32"/>
        </w:rPr>
        <w:t>目标</w:t>
      </w:r>
    </w:p>
    <w:p w14:paraId="387050CF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40"/>
        <w:textAlignment w:val="top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到2025年，市区（三元区）PM</w:t>
      </w:r>
      <w:r>
        <w:rPr>
          <w:rFonts w:ascii="仿宋_GB2312" w:hint="eastAsia"/>
          <w:sz w:val="32"/>
          <w:szCs w:val="32"/>
          <w:vertAlign w:val="subscript"/>
        </w:rPr>
        <w:t>2.5</w:t>
      </w:r>
      <w:r>
        <w:rPr>
          <w:rFonts w:ascii="仿宋_GB2312" w:hint="eastAsia"/>
          <w:sz w:val="32"/>
          <w:szCs w:val="32"/>
        </w:rPr>
        <w:t>年均浓度不高于19.8μg/m</w:t>
      </w:r>
      <w:r>
        <w:rPr>
          <w:rFonts w:ascii="仿宋_GB2312" w:hint="eastAsia"/>
          <w:sz w:val="32"/>
          <w:szCs w:val="32"/>
          <w:vertAlign w:val="superscript"/>
        </w:rPr>
        <w:t>3</w:t>
      </w:r>
      <w:r>
        <w:rPr>
          <w:rFonts w:ascii="仿宋_GB2312" w:hint="eastAsia"/>
          <w:sz w:val="32"/>
          <w:szCs w:val="32"/>
        </w:rPr>
        <w:t>，县（市、区）级城市PM</w:t>
      </w:r>
      <w:r>
        <w:rPr>
          <w:rFonts w:ascii="仿宋_GB2312" w:hint="eastAsia"/>
          <w:sz w:val="32"/>
          <w:szCs w:val="32"/>
          <w:vertAlign w:val="subscript"/>
        </w:rPr>
        <w:t>2.5</w:t>
      </w:r>
      <w:r>
        <w:rPr>
          <w:rFonts w:ascii="仿宋_GB2312" w:hint="eastAsia"/>
          <w:sz w:val="32"/>
          <w:szCs w:val="32"/>
        </w:rPr>
        <w:t>平均浓度不高于18μg/m</w:t>
      </w:r>
      <w:r>
        <w:rPr>
          <w:rFonts w:ascii="仿宋_GB2312" w:hint="eastAsia"/>
          <w:sz w:val="32"/>
          <w:szCs w:val="32"/>
          <w:vertAlign w:val="superscript"/>
        </w:rPr>
        <w:t>3</w:t>
      </w:r>
      <w:r>
        <w:rPr>
          <w:rFonts w:ascii="仿宋_GB2312" w:hint="eastAsia"/>
          <w:sz w:val="32"/>
          <w:szCs w:val="32"/>
        </w:rPr>
        <w:t>（详见附件1），臭氧污染加剧的趋势得到有效遏制，不出现重度及以上污染天气，完成省上下达的挥发性有机物（VOCs）和氮氧化物减排目标。</w:t>
      </w:r>
    </w:p>
    <w:p w14:paraId="47D8F7A8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40"/>
        <w:textAlignment w:val="top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二、重点工作任务</w:t>
      </w:r>
    </w:p>
    <w:p w14:paraId="69A1B56E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43"/>
        <w:textAlignment w:val="top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推进产业绿色升级转型</w:t>
      </w:r>
      <w:r>
        <w:rPr>
          <w:rFonts w:ascii="仿宋_GB2312" w:hint="eastAsia"/>
          <w:sz w:val="32"/>
          <w:szCs w:val="32"/>
        </w:rPr>
        <w:t>，坚决遏制高耗能、高排放、低水平项目盲目上马，严控新增钢铁产能，有序调整优化重点行业产能结构，推进产业集群升级改造，优化含VOCs原辅材料和产品结构。</w:t>
      </w:r>
      <w:r>
        <w:rPr>
          <w:rFonts w:ascii="仿宋_GB2312" w:hint="eastAsia"/>
          <w:b/>
          <w:bCs/>
          <w:sz w:val="32"/>
          <w:szCs w:val="32"/>
        </w:rPr>
        <w:t>加快能源清洁低碳高效发展</w:t>
      </w:r>
      <w:r>
        <w:rPr>
          <w:rFonts w:ascii="仿宋_GB2312" w:hint="eastAsia"/>
          <w:sz w:val="32"/>
          <w:szCs w:val="32"/>
        </w:rPr>
        <w:t>，大力发展新能源和清洁能源，</w:t>
      </w:r>
      <w:r>
        <w:rPr>
          <w:rFonts w:ascii="仿宋_GB2312" w:cs="楷体_GB2312" w:hint="eastAsia"/>
          <w:bCs/>
          <w:sz w:val="32"/>
          <w:szCs w:val="32"/>
        </w:rPr>
        <w:t>严格合理控制化石能源消费，推进燃煤锅炉转型，实施工业炉窑清洁能源替代。</w:t>
      </w:r>
      <w:r>
        <w:rPr>
          <w:rFonts w:ascii="仿宋_GB2312" w:hint="eastAsia"/>
          <w:b/>
          <w:bCs/>
          <w:sz w:val="32"/>
          <w:szCs w:val="32"/>
        </w:rPr>
        <w:t>大力发展绿色运输体系</w:t>
      </w:r>
      <w:r>
        <w:rPr>
          <w:rFonts w:ascii="仿宋_GB2312" w:hint="eastAsia"/>
          <w:sz w:val="32"/>
          <w:szCs w:val="32"/>
        </w:rPr>
        <w:t>，</w:t>
      </w:r>
      <w:r>
        <w:rPr>
          <w:rFonts w:ascii="仿宋_GB2312" w:cs="楷体_GB2312" w:hint="eastAsia"/>
          <w:bCs/>
          <w:sz w:val="32"/>
          <w:szCs w:val="32"/>
        </w:rPr>
        <w:lastRenderedPageBreak/>
        <w:t>持续优化调整货物运输结构，加快提升机动车清洁化水平，强化非道路移动源综合治理，全面保障成品油质量。</w:t>
      </w:r>
      <w:r>
        <w:rPr>
          <w:rFonts w:ascii="仿宋_GB2312" w:hint="eastAsia"/>
          <w:b/>
          <w:bCs/>
          <w:sz w:val="32"/>
          <w:szCs w:val="32"/>
        </w:rPr>
        <w:t>强化面源污染治理</w:t>
      </w:r>
      <w:r>
        <w:rPr>
          <w:rFonts w:ascii="仿宋_GB2312" w:hint="eastAsia"/>
          <w:sz w:val="32"/>
          <w:szCs w:val="32"/>
        </w:rPr>
        <w:t>，</w:t>
      </w:r>
      <w:r>
        <w:rPr>
          <w:rFonts w:ascii="仿宋_GB2312" w:cs="楷体_GB2312" w:hint="eastAsia"/>
          <w:bCs/>
          <w:sz w:val="32"/>
          <w:szCs w:val="32"/>
        </w:rPr>
        <w:t>推进扬尘污染精细化治理，推进矿山生态环境综合整治，加强秸秆综合利用和禁烧</w:t>
      </w:r>
      <w:r>
        <w:rPr>
          <w:rFonts w:ascii="仿宋_GB2312" w:hint="eastAsia"/>
          <w:sz w:val="32"/>
          <w:szCs w:val="32"/>
        </w:rPr>
        <w:t>。</w:t>
      </w:r>
      <w:r>
        <w:rPr>
          <w:rFonts w:ascii="仿宋_GB2312" w:cs="楷体_GB2312" w:hint="eastAsia"/>
          <w:b/>
          <w:sz w:val="32"/>
          <w:szCs w:val="32"/>
        </w:rPr>
        <w:t>强化多污染物减排</w:t>
      </w:r>
      <w:r>
        <w:rPr>
          <w:rFonts w:ascii="仿宋_GB2312" w:cs="楷体_GB2312" w:hint="eastAsia"/>
          <w:bCs/>
          <w:sz w:val="32"/>
          <w:szCs w:val="32"/>
        </w:rPr>
        <w:t>，切实降低排放强度，</w:t>
      </w:r>
      <w:r>
        <w:rPr>
          <w:rFonts w:ascii="仿宋_GB2312" w:hint="eastAsia"/>
          <w:sz w:val="32"/>
          <w:szCs w:val="32"/>
        </w:rPr>
        <w:t>加强VOCs全过程综合治理，</w:t>
      </w:r>
      <w:r>
        <w:rPr>
          <w:rFonts w:ascii="仿宋_GB2312" w:cs="楷体_GB2312" w:hint="eastAsia"/>
          <w:bCs/>
          <w:sz w:val="32"/>
          <w:szCs w:val="32"/>
        </w:rPr>
        <w:t>推进重点行业污染深度治理，开展餐饮油烟、恶臭异味专项治理，推进大气氨排放控制。</w:t>
      </w:r>
      <w:r>
        <w:rPr>
          <w:rFonts w:ascii="仿宋_GB2312" w:cs="黑体" w:hint="eastAsia"/>
          <w:b/>
          <w:bCs/>
          <w:sz w:val="32"/>
          <w:szCs w:val="32"/>
        </w:rPr>
        <w:t>强化机制建设，</w:t>
      </w:r>
      <w:r>
        <w:rPr>
          <w:rFonts w:ascii="仿宋_GB2312" w:cs="黑体" w:hint="eastAsia"/>
          <w:sz w:val="32"/>
          <w:szCs w:val="32"/>
        </w:rPr>
        <w:t>完善大气环境管理体系，</w:t>
      </w:r>
      <w:r>
        <w:rPr>
          <w:rFonts w:ascii="仿宋_GB2312" w:cs="楷体_GB2312" w:hint="eastAsia"/>
          <w:bCs/>
          <w:sz w:val="32"/>
          <w:szCs w:val="32"/>
        </w:rPr>
        <w:t>深化区域联防联动机制，健全污染过程预警应急响应机制，强化能力建设，严格执法监督。</w:t>
      </w:r>
      <w:r>
        <w:rPr>
          <w:rFonts w:ascii="仿宋_GB2312" w:cs="黑体" w:hint="eastAsia"/>
          <w:b/>
          <w:bCs/>
          <w:sz w:val="32"/>
          <w:szCs w:val="32"/>
        </w:rPr>
        <w:t>完善环境经济政策</w:t>
      </w:r>
      <w:r>
        <w:rPr>
          <w:rFonts w:ascii="仿宋_GB2312" w:cs="黑体" w:hint="eastAsia"/>
          <w:sz w:val="32"/>
          <w:szCs w:val="32"/>
        </w:rPr>
        <w:t>，发挥财政金融引导作用。</w:t>
      </w:r>
    </w:p>
    <w:p w14:paraId="7BBA2F26" w14:textId="77777777" w:rsidR="00281591" w:rsidRDefault="00281591" w:rsidP="00281591">
      <w:pPr>
        <w:adjustRightInd w:val="0"/>
        <w:snapToGrid w:val="0"/>
        <w:spacing w:line="600" w:lineRule="exact"/>
        <w:ind w:firstLineChars="200" w:firstLine="640"/>
        <w:textAlignment w:val="top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三、保障措施</w:t>
      </w:r>
    </w:p>
    <w:p w14:paraId="30AFBE1D" w14:textId="1422C555" w:rsidR="00281591" w:rsidRDefault="00281591" w:rsidP="00281591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textAlignment w:val="top"/>
        <w:outlineLvl w:val="1"/>
        <w:rPr>
          <w:rFonts w:ascii="仿宋_GB2312" w:hAnsi="仿宋_GB2312"/>
          <w:bCs/>
          <w:sz w:val="32"/>
          <w:szCs w:val="32"/>
        </w:rPr>
      </w:pPr>
      <w:r>
        <w:rPr>
          <w:rFonts w:ascii="仿宋_GB2312" w:hint="eastAsia"/>
          <w:sz w:val="32"/>
          <w:szCs w:val="32"/>
        </w:rPr>
        <w:t>各县（市、区）政府对本行政区域内空气质量负总责。市</w:t>
      </w:r>
      <w:r w:rsidR="002F1B0B">
        <w:rPr>
          <w:rFonts w:ascii="仿宋_GB2312" w:hint="eastAsia"/>
          <w:sz w:val="32"/>
          <w:szCs w:val="32"/>
        </w:rPr>
        <w:t>生</w:t>
      </w:r>
      <w:r>
        <w:rPr>
          <w:rFonts w:ascii="仿宋_GB2312" w:hint="eastAsia"/>
          <w:sz w:val="32"/>
          <w:szCs w:val="32"/>
        </w:rPr>
        <w:t>态环境局统筹协调。市直各有关部门要按职责推进各项工作。加强环境空气质量信息公开力度，重点排污单位及时公布自行监测和污染排放数据、环保违法处罚及整改等信息。</w:t>
      </w:r>
      <w:r>
        <w:rPr>
          <w:rFonts w:ascii="仿宋_GB2312" w:hAnsi="仿宋_GB2312" w:hint="eastAsia"/>
          <w:bCs/>
          <w:sz w:val="32"/>
          <w:szCs w:val="32"/>
        </w:rPr>
        <w:t>利用环境日、生态日等重要节点，广泛宣传解读相关政策。政府带头开展绿色采购，全面使用低（无）VOCs含量产品。完善环境违法举报奖励机制。国有企业带头引导绿色生产。推动公民生活方式绿色低碳。</w:t>
      </w:r>
    </w:p>
    <w:p w14:paraId="611D3B5F" w14:textId="77777777" w:rsidR="00281591" w:rsidRDefault="00281591" w:rsidP="00281591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textAlignment w:val="top"/>
        <w:outlineLvl w:val="1"/>
        <w:rPr>
          <w:rFonts w:ascii="楷体_GB2312" w:eastAsia="楷体_GB2312" w:hAnsi="楷体_GB2312" w:cs="楷体_GB2312"/>
          <w:bCs/>
          <w:sz w:val="32"/>
          <w:szCs w:val="32"/>
        </w:rPr>
      </w:pPr>
    </w:p>
    <w:p w14:paraId="397B8760" w14:textId="77777777" w:rsidR="00281591" w:rsidRDefault="00281591" w:rsidP="00281591">
      <w:pPr>
        <w:widowControl/>
        <w:spacing w:line="600" w:lineRule="exact"/>
        <w:ind w:firstLineChars="200" w:firstLine="64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附件：1.各县（市、区）空气质量改善目标</w:t>
      </w:r>
    </w:p>
    <w:p w14:paraId="53053BE0" w14:textId="77777777" w:rsidR="00281591" w:rsidRDefault="00281591" w:rsidP="00281591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hint="eastAsia"/>
          <w:sz w:val="32"/>
          <w:szCs w:val="32"/>
        </w:rPr>
        <w:t xml:space="preserve">          2.</w:t>
      </w:r>
      <w:r>
        <w:rPr>
          <w:rFonts w:ascii="仿宋_GB2312" w:hAnsi="仿宋_GB2312" w:hint="eastAsia"/>
          <w:bCs/>
          <w:sz w:val="32"/>
          <w:szCs w:val="32"/>
        </w:rPr>
        <w:t>三明市空气质量持续改善重点任务表</w:t>
      </w:r>
    </w:p>
    <w:p w14:paraId="0AD6DD97" w14:textId="77777777" w:rsidR="00281591" w:rsidRDefault="00281591" w:rsidP="00281591">
      <w:pPr>
        <w:widowControl/>
        <w:spacing w:line="600" w:lineRule="exact"/>
        <w:ind w:firstLineChars="200" w:firstLine="640"/>
        <w:jc w:val="left"/>
        <w:rPr>
          <w:sz w:val="32"/>
          <w:szCs w:val="32"/>
        </w:rPr>
      </w:pPr>
    </w:p>
    <w:p w14:paraId="6FFF9BD4" w14:textId="77777777" w:rsidR="00281591" w:rsidRDefault="00281591" w:rsidP="00281591">
      <w:pPr>
        <w:spacing w:line="600" w:lineRule="exact"/>
        <w:rPr>
          <w:rFonts w:ascii="黑体" w:eastAsia="黑体" w:cs="黑体"/>
        </w:rPr>
      </w:pPr>
      <w:r>
        <w:rPr>
          <w:rFonts w:ascii="仿宋_GB2312" w:hAnsi="仿宋_GB2312"/>
          <w:bCs/>
        </w:rPr>
        <w:br w:type="page"/>
      </w:r>
      <w:r>
        <w:rPr>
          <w:rFonts w:ascii="黑体" w:eastAsia="黑体" w:cs="黑体" w:hint="eastAsia"/>
        </w:rPr>
        <w:lastRenderedPageBreak/>
        <w:t>附件1</w:t>
      </w:r>
    </w:p>
    <w:p w14:paraId="3C0A1A23" w14:textId="77777777" w:rsidR="00281591" w:rsidRDefault="00281591" w:rsidP="00281591">
      <w:pPr>
        <w:spacing w:line="600" w:lineRule="exact"/>
        <w:rPr>
          <w:rFonts w:ascii="黑体" w:eastAsia="黑体" w:cs="黑体"/>
        </w:rPr>
      </w:pPr>
    </w:p>
    <w:p w14:paraId="6A998FF2" w14:textId="77777777" w:rsidR="00281591" w:rsidRDefault="00281591" w:rsidP="00281591">
      <w:pPr>
        <w:adjustRightInd w:val="0"/>
        <w:snapToGrid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napToGrid w:val="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  <w:t>各县（市、区）空气质量改善目标</w:t>
      </w:r>
    </w:p>
    <w:p w14:paraId="203431F3" w14:textId="77777777" w:rsidR="00281591" w:rsidRDefault="00281591" w:rsidP="00281591">
      <w:pPr>
        <w:adjustRightInd w:val="0"/>
        <w:snapToGrid w:val="0"/>
        <w:spacing w:line="600" w:lineRule="exact"/>
        <w:jc w:val="center"/>
        <w:textAlignment w:val="center"/>
        <w:rPr>
          <w:rFonts w:ascii="Calibri" w:eastAsia="仿宋" w:hAnsi="Calibri" w:cs="Arial"/>
          <w:sz w:val="18"/>
          <w:szCs w:val="18"/>
        </w:rPr>
      </w:pPr>
    </w:p>
    <w:tbl>
      <w:tblPr>
        <w:tblW w:w="5021" w:type="pct"/>
        <w:jc w:val="center"/>
        <w:tblLook w:val="04A0" w:firstRow="1" w:lastRow="0" w:firstColumn="1" w:lastColumn="0" w:noHBand="0" w:noVBand="1"/>
      </w:tblPr>
      <w:tblGrid>
        <w:gridCol w:w="1222"/>
        <w:gridCol w:w="1559"/>
        <w:gridCol w:w="5550"/>
      </w:tblGrid>
      <w:tr w:rsidR="00281591" w14:paraId="668853BA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CF47F" w14:textId="77777777" w:rsidR="00281591" w:rsidRDefault="00281591" w:rsidP="00F71EE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C6EF9" w14:textId="77777777" w:rsidR="00281591" w:rsidRDefault="00281591" w:rsidP="00F71EE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设区市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A2132" w14:textId="77777777" w:rsidR="00281591" w:rsidRDefault="00281591" w:rsidP="00F71EE6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2025年PM</w:t>
            </w:r>
            <w:r>
              <w:rPr>
                <w:rFonts w:ascii="黑体" w:eastAsia="黑体" w:cs="黑体" w:hint="eastAsia"/>
                <w:sz w:val="30"/>
                <w:szCs w:val="30"/>
                <w:vertAlign w:val="subscript"/>
              </w:rPr>
              <w:t>2.5</w:t>
            </w:r>
            <w:r>
              <w:rPr>
                <w:rFonts w:ascii="黑体" w:eastAsia="黑体" w:cs="黑体" w:hint="eastAsia"/>
                <w:sz w:val="30"/>
                <w:szCs w:val="30"/>
              </w:rPr>
              <w:t>浓度(微克/立方米)</w:t>
            </w:r>
          </w:p>
        </w:tc>
      </w:tr>
      <w:tr w:rsidR="00281591" w14:paraId="77C6CE3D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0FB3D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2FF85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三元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1592C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19.8</w:t>
            </w:r>
          </w:p>
        </w:tc>
      </w:tr>
      <w:tr w:rsidR="00281591" w14:paraId="6DF53961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2F186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862CB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沙县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2D9AB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15</w:t>
            </w:r>
          </w:p>
        </w:tc>
      </w:tr>
      <w:tr w:rsidR="00281591" w14:paraId="39E6BB89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72A49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E2096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永安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51441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20</w:t>
            </w:r>
          </w:p>
        </w:tc>
      </w:tr>
      <w:tr w:rsidR="00281591" w14:paraId="48F2C135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539E7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B4988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明溪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0AE7D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13</w:t>
            </w:r>
          </w:p>
        </w:tc>
      </w:tr>
      <w:tr w:rsidR="00281591" w14:paraId="6E224280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AF941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8F4C7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清流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338AE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14</w:t>
            </w:r>
          </w:p>
        </w:tc>
      </w:tr>
      <w:tr w:rsidR="00281591" w14:paraId="52DA4EC4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E19CB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04CCD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宁化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F15F5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15</w:t>
            </w:r>
          </w:p>
        </w:tc>
      </w:tr>
      <w:tr w:rsidR="00281591" w14:paraId="7409A479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C8B39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5D144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建宁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9E317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14</w:t>
            </w:r>
          </w:p>
        </w:tc>
      </w:tr>
      <w:tr w:rsidR="00281591" w14:paraId="5B7CDB3B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79BDC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321F6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泰宁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AA872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13</w:t>
            </w:r>
          </w:p>
        </w:tc>
      </w:tr>
      <w:tr w:rsidR="00281591" w14:paraId="0A7AADC3" w14:textId="77777777" w:rsidTr="00F71EE6">
        <w:trPr>
          <w:trHeight w:val="811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33AA7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DF8CE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将乐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EAC09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13</w:t>
            </w:r>
          </w:p>
        </w:tc>
      </w:tr>
      <w:tr w:rsidR="00281591" w14:paraId="252263EB" w14:textId="77777777" w:rsidTr="00F71EE6">
        <w:trPr>
          <w:trHeight w:val="82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8D92D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043D4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尤溪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6E37F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15</w:t>
            </w:r>
          </w:p>
        </w:tc>
      </w:tr>
      <w:tr w:rsidR="00281591" w14:paraId="17265CAE" w14:textId="77777777" w:rsidTr="00F71EE6">
        <w:trPr>
          <w:trHeight w:val="82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FED9D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B5F34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大田</w:t>
            </w:r>
          </w:p>
        </w:tc>
        <w:tc>
          <w:tcPr>
            <w:tcW w:w="3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00616" w14:textId="77777777" w:rsidR="00281591" w:rsidRDefault="00281591" w:rsidP="00F71EE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  <w:t>14</w:t>
            </w:r>
          </w:p>
        </w:tc>
      </w:tr>
    </w:tbl>
    <w:p w14:paraId="35BE2BCB" w14:textId="77777777" w:rsidR="00281591" w:rsidRDefault="00281591" w:rsidP="00281591">
      <w:pPr>
        <w:adjustRightInd w:val="0"/>
        <w:snapToGrid w:val="0"/>
        <w:spacing w:line="360" w:lineRule="auto"/>
        <w:ind w:firstLineChars="200" w:firstLine="620"/>
      </w:pPr>
    </w:p>
    <w:p w14:paraId="5BA2E782" w14:textId="77777777" w:rsidR="00281591" w:rsidRDefault="00281591" w:rsidP="00281591">
      <w:pPr>
        <w:widowControl/>
        <w:spacing w:line="240" w:lineRule="auto"/>
        <w:jc w:val="left"/>
      </w:pPr>
    </w:p>
    <w:p w14:paraId="13983B20" w14:textId="77777777" w:rsidR="00281591" w:rsidRDefault="00281591" w:rsidP="00281591">
      <w:pPr>
        <w:rPr>
          <w:rFonts w:ascii="黑体" w:eastAsia="黑体" w:cs="黑体"/>
        </w:rPr>
        <w:sectPr w:rsidR="002815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20E662" w14:textId="77777777" w:rsidR="00281591" w:rsidRDefault="00281591" w:rsidP="00281591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lastRenderedPageBreak/>
        <w:t>附件2</w:t>
      </w:r>
    </w:p>
    <w:p w14:paraId="53331A70" w14:textId="77777777" w:rsidR="00281591" w:rsidRDefault="00281591" w:rsidP="0028159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三明市空气质量持续改善重点任务表</w:t>
      </w: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999"/>
        <w:gridCol w:w="1615"/>
        <w:gridCol w:w="8374"/>
        <w:gridCol w:w="2931"/>
      </w:tblGrid>
      <w:tr w:rsidR="00281591" w14:paraId="58A818E0" w14:textId="77777777" w:rsidTr="00F71EE6">
        <w:trPr>
          <w:tblHeader/>
        </w:trPr>
        <w:tc>
          <w:tcPr>
            <w:tcW w:w="359" w:type="pct"/>
          </w:tcPr>
          <w:p w14:paraId="6A8A168C" w14:textId="77777777" w:rsidR="00281591" w:rsidRDefault="00281591" w:rsidP="00F71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0" w:type="pct"/>
          </w:tcPr>
          <w:p w14:paraId="4E8FED39" w14:textId="77777777" w:rsidR="00281591" w:rsidRDefault="00281591" w:rsidP="00F71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重点任务</w:t>
            </w:r>
          </w:p>
        </w:tc>
        <w:tc>
          <w:tcPr>
            <w:tcW w:w="3007" w:type="pct"/>
          </w:tcPr>
          <w:p w14:paraId="028C80EC" w14:textId="77777777" w:rsidR="00281591" w:rsidRDefault="00281591" w:rsidP="00F71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工作措施</w:t>
            </w:r>
          </w:p>
        </w:tc>
        <w:tc>
          <w:tcPr>
            <w:tcW w:w="1053" w:type="pct"/>
          </w:tcPr>
          <w:p w14:paraId="633A8FB6" w14:textId="77777777" w:rsidR="00281591" w:rsidRDefault="00281591" w:rsidP="00F71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责任单位</w:t>
            </w:r>
          </w:p>
        </w:tc>
      </w:tr>
      <w:tr w:rsidR="00281591" w14:paraId="40D8652D" w14:textId="77777777" w:rsidTr="00F71EE6">
        <w:tc>
          <w:tcPr>
            <w:tcW w:w="359" w:type="pct"/>
            <w:vAlign w:val="center"/>
          </w:tcPr>
          <w:p w14:paraId="43CF3F76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580" w:type="pct"/>
            <w:vMerge w:val="restart"/>
            <w:vAlign w:val="center"/>
          </w:tcPr>
          <w:p w14:paraId="00C275E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推进产业绿色低碳转型升级</w:t>
            </w:r>
          </w:p>
        </w:tc>
        <w:tc>
          <w:tcPr>
            <w:tcW w:w="3007" w:type="pct"/>
            <w:vAlign w:val="center"/>
          </w:tcPr>
          <w:p w14:paraId="3F31BED6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坚决遏制高耗能、高排放、低水平项目盲目上马。新改扩建项目严格落实国家、省、市产业规划、产业政策、生态环境分区管控方案、碳排放达峰目标等相关要求，原则上采用清洁运输方式。涉及产能置换的项目，被置换产能及其配套设施关停后，新建项目方可投产。对能耗较高的新兴产业项目引导应用绿色低碳技术。</w:t>
            </w:r>
          </w:p>
        </w:tc>
        <w:tc>
          <w:tcPr>
            <w:tcW w:w="1053" w:type="pct"/>
            <w:vAlign w:val="center"/>
          </w:tcPr>
          <w:p w14:paraId="7273001E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市发改委、工信局、生态环境局等按职责分工负责，</w:t>
            </w:r>
            <w:r>
              <w:rPr>
                <w:rFonts w:ascii="仿宋_GB2312" w:hAnsi="Calibri" w:cs="Arial" w:hint="eastAsia"/>
                <w:sz w:val="28"/>
                <w:szCs w:val="28"/>
              </w:rPr>
              <w:t>各县（市、区）人民政府落实。以下均需各县（市、区）人民政府落实，不再列出。</w:t>
            </w:r>
          </w:p>
        </w:tc>
      </w:tr>
      <w:tr w:rsidR="00281591" w14:paraId="0D3721D2" w14:textId="77777777" w:rsidTr="00F71EE6">
        <w:trPr>
          <w:trHeight w:val="1479"/>
        </w:trPr>
        <w:tc>
          <w:tcPr>
            <w:tcW w:w="359" w:type="pct"/>
            <w:vAlign w:val="center"/>
          </w:tcPr>
          <w:p w14:paraId="48AE46F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580" w:type="pct"/>
            <w:vMerge/>
            <w:vAlign w:val="center"/>
          </w:tcPr>
          <w:p w14:paraId="60E44BFD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31440AD8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严控新增钢铁产能。推动三钢、天尊新材料、中鼎鑫等企业加快完成超低排放改造。鼓励引导三钢向短流程炼钢转型，落实国家炼钢结构比例调整和废钢利用的要求。淘汰落后煤炭洗选产能。</w:t>
            </w:r>
          </w:p>
        </w:tc>
        <w:tc>
          <w:tcPr>
            <w:tcW w:w="1053" w:type="pct"/>
            <w:vAlign w:val="center"/>
          </w:tcPr>
          <w:p w14:paraId="1A60C37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市工信局、发改委、生态环境局等按职责分工负责</w:t>
            </w:r>
          </w:p>
        </w:tc>
      </w:tr>
      <w:tr w:rsidR="00281591" w14:paraId="2BFA9ADA" w14:textId="77777777" w:rsidTr="00F71EE6">
        <w:tc>
          <w:tcPr>
            <w:tcW w:w="359" w:type="pct"/>
            <w:vAlign w:val="center"/>
          </w:tcPr>
          <w:p w14:paraId="17191F4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580" w:type="pct"/>
            <w:vMerge/>
            <w:vAlign w:val="center"/>
          </w:tcPr>
          <w:p w14:paraId="39D0A94D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14FBBAA7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序调整优化重点行业产能结构。贯彻实施《产业结构调整指导目录（2024》，依法依规推进落后产能淘汰。严禁承接不符合环保政策、产业政策的落后产能，严防产业转移变为污染转移。加强重点行业产能状况分析预警和窗口指导，加快退出重点行业落后产能。依法依规实施水泥常态化错峰生产和关停退出落后产能。</w:t>
            </w:r>
          </w:p>
        </w:tc>
        <w:tc>
          <w:tcPr>
            <w:tcW w:w="1053" w:type="pct"/>
            <w:vAlign w:val="center"/>
          </w:tcPr>
          <w:p w14:paraId="18345DAE" w14:textId="77777777" w:rsidR="00281591" w:rsidRDefault="00281591" w:rsidP="00F71EE6">
            <w:pPr>
              <w:spacing w:line="400" w:lineRule="exact"/>
              <w:jc w:val="center"/>
              <w:rPr>
                <w:rFonts w:ascii="仿宋_GB2312" w:hAnsi="Calibri" w:cs="Arial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市工信局、发改委、生态环境局等按职责分工负责</w:t>
            </w:r>
          </w:p>
        </w:tc>
      </w:tr>
      <w:tr w:rsidR="00281591" w14:paraId="12FD2C01" w14:textId="77777777" w:rsidTr="00F71EE6">
        <w:trPr>
          <w:trHeight w:val="1763"/>
        </w:trPr>
        <w:tc>
          <w:tcPr>
            <w:tcW w:w="359" w:type="pct"/>
            <w:vAlign w:val="center"/>
          </w:tcPr>
          <w:p w14:paraId="4813715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580" w:type="pct"/>
            <w:vMerge w:val="restart"/>
            <w:vAlign w:val="center"/>
          </w:tcPr>
          <w:p w14:paraId="2CEFEFC6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推进产业绿色低碳转型升级</w:t>
            </w:r>
          </w:p>
        </w:tc>
        <w:tc>
          <w:tcPr>
            <w:tcW w:w="3007" w:type="pct"/>
            <w:vAlign w:val="center"/>
          </w:tcPr>
          <w:p w14:paraId="0BCE3841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进产业集群升级改造。落实园区总体规划及规划环评，严格项目准入。积极推进工业园区集中供热，完善化工园区基础设施建设，强化污染综合整治，提升化工园区规范化环境监督管理水平，持续推动园区绿色高质量发展。</w:t>
            </w:r>
          </w:p>
        </w:tc>
        <w:tc>
          <w:tcPr>
            <w:tcW w:w="1053" w:type="pct"/>
            <w:vAlign w:val="center"/>
          </w:tcPr>
          <w:p w14:paraId="0150C75F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市工信局、发改委、商务局、生态环境局、自然资源局等按职责分工负责</w:t>
            </w:r>
          </w:p>
        </w:tc>
      </w:tr>
      <w:tr w:rsidR="00281591" w14:paraId="68729F12" w14:textId="77777777" w:rsidTr="00F71EE6">
        <w:trPr>
          <w:trHeight w:val="2481"/>
        </w:trPr>
        <w:tc>
          <w:tcPr>
            <w:tcW w:w="359" w:type="pct"/>
            <w:vAlign w:val="center"/>
          </w:tcPr>
          <w:p w14:paraId="158DE774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580" w:type="pct"/>
            <w:vMerge/>
            <w:vAlign w:val="center"/>
          </w:tcPr>
          <w:p w14:paraId="7FF4F7E2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73D69E22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优化含VOCs原辅材料和产品结构。严格控制生产和使用高VOCs含量涂料、油墨、胶粘剂、清洗剂等建设项目，提高低（无)VOCs产品比重。实施源头替代工程,加大工业涂装、包装印刷和电子行业低（无）VOCs含量原辅材料替代力度。鼓励制鞋行业推广使用无溶剂聚氨酯热熔胶、水性聚氨酯等低（无）VOCs含量的胶粘剂。加大室外构筑物防护和城市道路交通标志使用低（无）VOCs含量涂料推广力度。</w:t>
            </w:r>
          </w:p>
        </w:tc>
        <w:tc>
          <w:tcPr>
            <w:tcW w:w="1053" w:type="pct"/>
            <w:vAlign w:val="center"/>
          </w:tcPr>
          <w:p w14:paraId="0B7D7EB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市工信局、生态环境局、城管局、市场监管局等按职责分工负责</w:t>
            </w:r>
          </w:p>
        </w:tc>
      </w:tr>
      <w:tr w:rsidR="00281591" w14:paraId="683D8767" w14:textId="77777777" w:rsidTr="00F71EE6">
        <w:trPr>
          <w:trHeight w:val="1391"/>
        </w:trPr>
        <w:tc>
          <w:tcPr>
            <w:tcW w:w="359" w:type="pct"/>
            <w:vAlign w:val="center"/>
          </w:tcPr>
          <w:p w14:paraId="104D740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580" w:type="pct"/>
            <w:vMerge w:val="restart"/>
            <w:vAlign w:val="center"/>
          </w:tcPr>
          <w:p w14:paraId="0668AEAC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加快能源清洁低碳高效发展</w:t>
            </w:r>
          </w:p>
        </w:tc>
        <w:tc>
          <w:tcPr>
            <w:tcW w:w="3007" w:type="pct"/>
            <w:vAlign w:val="center"/>
          </w:tcPr>
          <w:p w14:paraId="7901C191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大力发展新能源和清洁能源。加快发展新能源及清洁能源，持续提高非化石能源消费占比。加快推进永安抽水蓄能建设；有序发展太阳能发电；加快推进天然气供应。</w:t>
            </w:r>
          </w:p>
        </w:tc>
        <w:tc>
          <w:tcPr>
            <w:tcW w:w="1053" w:type="pct"/>
            <w:vAlign w:val="center"/>
          </w:tcPr>
          <w:p w14:paraId="536BC3A6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市发改委、工信局等按职责分工负责</w:t>
            </w:r>
          </w:p>
        </w:tc>
      </w:tr>
      <w:tr w:rsidR="00281591" w14:paraId="5D2A866B" w14:textId="77777777" w:rsidTr="00F71EE6">
        <w:trPr>
          <w:trHeight w:val="1845"/>
        </w:trPr>
        <w:tc>
          <w:tcPr>
            <w:tcW w:w="359" w:type="pct"/>
            <w:vAlign w:val="center"/>
          </w:tcPr>
          <w:p w14:paraId="1B805AEE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580" w:type="pct"/>
            <w:vMerge/>
            <w:vAlign w:val="center"/>
          </w:tcPr>
          <w:p w14:paraId="262D0E24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29843EF7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严格合理控制化石能源消费</w:t>
            </w:r>
            <w:r>
              <w:rPr>
                <w:rFonts w:ascii="仿宋_GB2312" w:hint="eastAsia"/>
                <w:sz w:val="28"/>
                <w:szCs w:val="28"/>
              </w:rPr>
              <w:t>。严格合理控制煤炭消费增长。稳妥有序推广煤改气、煤改电工程。原则上不再新增自备燃煤机组，支持自备燃煤机组实施清洁能源替代。对支撑电力稳定供应、电网安全运行、清洁能源大规模并网消纳的煤电项目及其用煤量予以合理保障。</w:t>
            </w:r>
          </w:p>
        </w:tc>
        <w:tc>
          <w:tcPr>
            <w:tcW w:w="1053" w:type="pct"/>
            <w:vAlign w:val="center"/>
          </w:tcPr>
          <w:p w14:paraId="517052EF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市工信局、发改委、生态环境局等按职责分工负责</w:t>
            </w:r>
          </w:p>
        </w:tc>
      </w:tr>
      <w:tr w:rsidR="00281591" w14:paraId="478EBF37" w14:textId="77777777" w:rsidTr="00F71EE6">
        <w:tc>
          <w:tcPr>
            <w:tcW w:w="359" w:type="pct"/>
            <w:vAlign w:val="center"/>
          </w:tcPr>
          <w:p w14:paraId="4373B0C8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580" w:type="pct"/>
            <w:vMerge w:val="restart"/>
            <w:vAlign w:val="center"/>
          </w:tcPr>
          <w:p w14:paraId="4851B07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加快能源清洁低碳高效发展</w:t>
            </w:r>
          </w:p>
        </w:tc>
        <w:tc>
          <w:tcPr>
            <w:tcW w:w="3007" w:type="pct"/>
            <w:vAlign w:val="center"/>
          </w:tcPr>
          <w:p w14:paraId="00EA92FB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推进燃煤锅炉转型</w:t>
            </w:r>
            <w:r>
              <w:rPr>
                <w:rFonts w:ascii="仿宋_GB2312" w:hint="eastAsia"/>
                <w:sz w:val="28"/>
                <w:szCs w:val="28"/>
              </w:rPr>
              <w:t>。县级及以上城市建成区原则上不再新建35蒸吨/小时及以下燃煤锅炉。依托电厂、大型工业企业开展远距离供热示范，淘汰管网覆盖范围内的燃煤锅炉和散煤。在集中供热管网覆盖地区，禁止新建、扩建分散燃煤、燃油供热锅炉；限期拆除集中供热管网覆盖地区内的燃煤、燃油供热锅炉。加快推进2蒸吨及以下生物质锅炉淘汰。到2024年底，全市范围内每小时10蒸吨及以下燃煤锅炉全面转型，实现气、电等清洁能源替代。</w:t>
            </w:r>
          </w:p>
        </w:tc>
        <w:tc>
          <w:tcPr>
            <w:tcW w:w="1053" w:type="pct"/>
            <w:vAlign w:val="center"/>
          </w:tcPr>
          <w:p w14:paraId="421555F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市生态环境局、发改委、工信局、市场监管局等按职责分工负责</w:t>
            </w:r>
          </w:p>
        </w:tc>
      </w:tr>
      <w:tr w:rsidR="00281591" w14:paraId="6B64A079" w14:textId="77777777" w:rsidTr="00F71EE6">
        <w:tc>
          <w:tcPr>
            <w:tcW w:w="359" w:type="pct"/>
            <w:vAlign w:val="center"/>
          </w:tcPr>
          <w:p w14:paraId="4A4A7CEB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580" w:type="pct"/>
            <w:vMerge/>
            <w:vAlign w:val="center"/>
          </w:tcPr>
          <w:p w14:paraId="26A7185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735D9AB1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实施工业炉窑清洁能源替代</w:t>
            </w:r>
            <w:r>
              <w:rPr>
                <w:rFonts w:ascii="仿宋_GB2312" w:hint="eastAsia"/>
                <w:sz w:val="28"/>
                <w:szCs w:val="28"/>
              </w:rPr>
              <w:t>。稳妥推进使用高污染燃料的工业炉窑改用工业余热、电能、天然气等；燃料类煤气发生炉实行清洁能源替代，或因地制宜采取园区（集群）集中供气、分散使用方式；逐步淘汰固定床间歇式煤气发生炉。</w:t>
            </w:r>
          </w:p>
        </w:tc>
        <w:tc>
          <w:tcPr>
            <w:tcW w:w="1053" w:type="pct"/>
            <w:vAlign w:val="center"/>
          </w:tcPr>
          <w:p w14:paraId="69047761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市</w:t>
            </w:r>
            <w:r>
              <w:rPr>
                <w:rFonts w:ascii="仿宋_GB2312" w:hint="eastAsia"/>
                <w:sz w:val="28"/>
                <w:szCs w:val="28"/>
              </w:rPr>
              <w:t>生态环境局、工信局等按职责分工负责</w:t>
            </w:r>
          </w:p>
        </w:tc>
      </w:tr>
      <w:tr w:rsidR="00281591" w14:paraId="4691FAEF" w14:textId="77777777" w:rsidTr="00F71EE6">
        <w:tc>
          <w:tcPr>
            <w:tcW w:w="359" w:type="pct"/>
            <w:vAlign w:val="center"/>
          </w:tcPr>
          <w:p w14:paraId="0E6D32CD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580" w:type="pct"/>
            <w:vAlign w:val="center"/>
          </w:tcPr>
          <w:p w14:paraId="0E42AB3B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大力发展绿色运输体系</w:t>
            </w:r>
          </w:p>
        </w:tc>
        <w:tc>
          <w:tcPr>
            <w:tcW w:w="3007" w:type="pct"/>
            <w:vAlign w:val="center"/>
          </w:tcPr>
          <w:p w14:paraId="2EAFB839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持续优化调整货物运输结构。大宗货物中长距离运输优先采用铁路、水路运输，短距离运输优先采用封闭式皮带廊道或新能源车船。推动货运，“公转铁”和“多式联运”发展，逐步推进沙溪河航运发</w:t>
            </w:r>
            <w:r>
              <w:rPr>
                <w:rFonts w:ascii="仿宋_GB2312" w:cs="楷体_GB2312" w:hint="eastAsia"/>
                <w:bCs/>
                <w:sz w:val="28"/>
                <w:szCs w:val="28"/>
              </w:rPr>
              <w:lastRenderedPageBreak/>
              <w:t>展。新建及迁建大宗货物年运量150万吨以上的物流园区、工矿企业和储煤基地，原则上接入铁路专用线或管道。</w:t>
            </w:r>
          </w:p>
        </w:tc>
        <w:tc>
          <w:tcPr>
            <w:tcW w:w="1053" w:type="pct"/>
            <w:vAlign w:val="center"/>
          </w:tcPr>
          <w:p w14:paraId="263B289E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lastRenderedPageBreak/>
              <w:t>市交通运输局、工信局等按职责分工负责</w:t>
            </w:r>
          </w:p>
        </w:tc>
      </w:tr>
      <w:tr w:rsidR="00281591" w14:paraId="29FA08D5" w14:textId="77777777" w:rsidTr="00F71EE6">
        <w:trPr>
          <w:trHeight w:val="3228"/>
        </w:trPr>
        <w:tc>
          <w:tcPr>
            <w:tcW w:w="359" w:type="pct"/>
            <w:vAlign w:val="center"/>
          </w:tcPr>
          <w:p w14:paraId="69546BE1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580" w:type="pct"/>
            <w:vMerge w:val="restart"/>
            <w:vAlign w:val="center"/>
          </w:tcPr>
          <w:p w14:paraId="66BB7466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大力发展绿色运输体系</w:t>
            </w:r>
          </w:p>
        </w:tc>
        <w:tc>
          <w:tcPr>
            <w:tcW w:w="3007" w:type="pct"/>
            <w:vAlign w:val="center"/>
          </w:tcPr>
          <w:p w14:paraId="406D48D8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加快提升机动车清洁化水平。</w:t>
            </w:r>
            <w:r>
              <w:rPr>
                <w:rFonts w:ascii="仿宋_GB2312" w:hint="eastAsia"/>
                <w:sz w:val="28"/>
                <w:szCs w:val="28"/>
              </w:rPr>
              <w:t>全市新增或更新公交、出租、城市物流配送、轻型环卫等车辆中，新能源汽车比例不低于90%；加快淘汰采用稀薄燃烧技术的燃气货车。在涉气重点行业和物流园区推广新能源中重型货车。力争到2025年，高速公路服务区快充站覆盖率不低于90%。加快 LNG、CNG 加气站和电动汽车充电桩等配套节能基础设施建设。加强重型货车路检路查和入户检查。全面实施汽车排放检验与维护制度和机动车排放召回制度，强化对年检机构的监管执法。</w:t>
            </w:r>
          </w:p>
        </w:tc>
        <w:tc>
          <w:tcPr>
            <w:tcW w:w="1053" w:type="pct"/>
            <w:vAlign w:val="center"/>
          </w:tcPr>
          <w:p w14:paraId="3B904D80" w14:textId="77777777" w:rsidR="00281591" w:rsidRDefault="00281591" w:rsidP="00F71EE6">
            <w:pPr>
              <w:spacing w:line="400" w:lineRule="exact"/>
              <w:jc w:val="center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市交通运输局、市场监管局、生态环境局、公安局等按职责分工负责</w:t>
            </w:r>
          </w:p>
        </w:tc>
      </w:tr>
      <w:tr w:rsidR="00281591" w14:paraId="0925A316" w14:textId="77777777" w:rsidTr="00F71EE6">
        <w:trPr>
          <w:trHeight w:val="2358"/>
        </w:trPr>
        <w:tc>
          <w:tcPr>
            <w:tcW w:w="359" w:type="pct"/>
            <w:vAlign w:val="center"/>
          </w:tcPr>
          <w:p w14:paraId="7831AB5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580" w:type="pct"/>
            <w:vMerge/>
            <w:vAlign w:val="center"/>
          </w:tcPr>
          <w:p w14:paraId="2487324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719F8EA6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强化非道路移动源综合治理。</w:t>
            </w:r>
            <w:r>
              <w:rPr>
                <w:rFonts w:ascii="仿宋_GB2312" w:hint="eastAsia"/>
                <w:sz w:val="28"/>
                <w:szCs w:val="28"/>
              </w:rPr>
              <w:t>加快推进铁路货场、物流园区、机场、工矿企业内部作业车辆和机械新能源更新改造。鼓励新增或更新的3吨及以下叉车基本实现新能源化。推动发展新能源和清洁能源船舶。到2025年，基本消除非道路移动机械、船舶“冒黑烟”现象，基本淘汰第一阶段及以下排放标准的非道路移动机械。</w:t>
            </w:r>
          </w:p>
        </w:tc>
        <w:tc>
          <w:tcPr>
            <w:tcW w:w="1053" w:type="pct"/>
            <w:vAlign w:val="center"/>
          </w:tcPr>
          <w:p w14:paraId="11306880" w14:textId="77777777" w:rsidR="00281591" w:rsidRDefault="00281591" w:rsidP="00F71EE6">
            <w:pPr>
              <w:spacing w:line="400" w:lineRule="exact"/>
              <w:jc w:val="center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市生态环境局、交通运输局、市场监管局等按职责分工负责</w:t>
            </w:r>
          </w:p>
        </w:tc>
      </w:tr>
      <w:tr w:rsidR="00281591" w14:paraId="7B39DE0E" w14:textId="77777777" w:rsidTr="00F71EE6">
        <w:trPr>
          <w:trHeight w:val="1719"/>
        </w:trPr>
        <w:tc>
          <w:tcPr>
            <w:tcW w:w="359" w:type="pct"/>
            <w:vAlign w:val="center"/>
          </w:tcPr>
          <w:p w14:paraId="03EE396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0" w:type="pct"/>
            <w:vMerge/>
            <w:vAlign w:val="center"/>
          </w:tcPr>
          <w:p w14:paraId="651C8638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12560AD5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全面保障成品油质量</w:t>
            </w:r>
            <w:r>
              <w:rPr>
                <w:rFonts w:ascii="仿宋_GB2312" w:hint="eastAsia"/>
                <w:sz w:val="28"/>
                <w:szCs w:val="28"/>
              </w:rPr>
              <w:t>。加强油品进口、生产、仓储、销售、运输、使用全环节监管，全面清理整顿自建油罐、流动加油车（船）和黑加油站点，坚决打击将非标油品作为发动机燃料销售。提升货车、非道路移动机械、船舶油箱中柴油抽测频次。</w:t>
            </w:r>
          </w:p>
        </w:tc>
        <w:tc>
          <w:tcPr>
            <w:tcW w:w="1053" w:type="pct"/>
            <w:vAlign w:val="center"/>
          </w:tcPr>
          <w:p w14:paraId="09EA43DB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市发改委、商务局、市场监管局、交通运输局、生态环境局、公安局等按职责分工负责</w:t>
            </w:r>
          </w:p>
        </w:tc>
      </w:tr>
      <w:tr w:rsidR="00281591" w14:paraId="5AFD0DE7" w14:textId="77777777" w:rsidTr="00F71EE6">
        <w:trPr>
          <w:trHeight w:val="2822"/>
        </w:trPr>
        <w:tc>
          <w:tcPr>
            <w:tcW w:w="359" w:type="pct"/>
            <w:vAlign w:val="center"/>
          </w:tcPr>
          <w:p w14:paraId="7608B372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14</w:t>
            </w:r>
          </w:p>
        </w:tc>
        <w:tc>
          <w:tcPr>
            <w:tcW w:w="580" w:type="pct"/>
            <w:vMerge w:val="restart"/>
            <w:vAlign w:val="center"/>
          </w:tcPr>
          <w:p w14:paraId="46D92010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强化面源污染治理</w:t>
            </w:r>
          </w:p>
        </w:tc>
        <w:tc>
          <w:tcPr>
            <w:tcW w:w="3007" w:type="pct"/>
            <w:vAlign w:val="center"/>
          </w:tcPr>
          <w:p w14:paraId="12AFE533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推进扬尘污染精细化治理</w:t>
            </w:r>
            <w:r>
              <w:rPr>
                <w:rFonts w:ascii="仿宋_GB2312" w:hint="eastAsia"/>
                <w:sz w:val="28"/>
                <w:szCs w:val="28"/>
              </w:rPr>
              <w:t>。鼓励建筑工地安装视频监控并接入“智慧工地”。到2025年，新建装配式建筑占当年新建建筑面积比例达35%以上；城市建成区道路机械化清扫率达80%左右，县城达70%左右。对城市公共裸地进行排查建档并采取防尘措施。</w:t>
            </w:r>
          </w:p>
        </w:tc>
        <w:tc>
          <w:tcPr>
            <w:tcW w:w="1053" w:type="pct"/>
            <w:vAlign w:val="center"/>
          </w:tcPr>
          <w:p w14:paraId="00F891C6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市住建局、城管局等按职责分工负责</w:t>
            </w:r>
          </w:p>
        </w:tc>
      </w:tr>
      <w:tr w:rsidR="00281591" w14:paraId="6608DA4E" w14:textId="77777777" w:rsidTr="00F71EE6">
        <w:trPr>
          <w:trHeight w:val="2492"/>
        </w:trPr>
        <w:tc>
          <w:tcPr>
            <w:tcW w:w="359" w:type="pct"/>
            <w:vAlign w:val="center"/>
          </w:tcPr>
          <w:p w14:paraId="390B40DE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15</w:t>
            </w:r>
          </w:p>
        </w:tc>
        <w:tc>
          <w:tcPr>
            <w:tcW w:w="580" w:type="pct"/>
            <w:vMerge/>
            <w:vAlign w:val="center"/>
          </w:tcPr>
          <w:p w14:paraId="7FC463CE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2C35C9E7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推进矿山生态环境综合整治</w:t>
            </w:r>
            <w:r>
              <w:rPr>
                <w:rFonts w:ascii="仿宋_GB2312" w:hint="eastAsia"/>
                <w:sz w:val="28"/>
                <w:szCs w:val="28"/>
              </w:rPr>
              <w:t>。新建矿山原则上要同步建设铁路专用线或采用其他清洁运输方式。对限期整改仍不达标的矿山，根据安全生产、水土保持、生态环境等要求依法关闭。</w:t>
            </w:r>
          </w:p>
        </w:tc>
        <w:tc>
          <w:tcPr>
            <w:tcW w:w="1053" w:type="pct"/>
            <w:vAlign w:val="center"/>
          </w:tcPr>
          <w:p w14:paraId="268F645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市自然资源局、交通运输局、应急管理局、水利局、生态环境局等按职责分工负责</w:t>
            </w:r>
          </w:p>
        </w:tc>
      </w:tr>
      <w:tr w:rsidR="00281591" w14:paraId="0E1DF89F" w14:textId="77777777" w:rsidTr="00F71EE6">
        <w:tc>
          <w:tcPr>
            <w:tcW w:w="359" w:type="pct"/>
            <w:vAlign w:val="center"/>
          </w:tcPr>
          <w:p w14:paraId="7CABE2D6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16</w:t>
            </w:r>
          </w:p>
        </w:tc>
        <w:tc>
          <w:tcPr>
            <w:tcW w:w="580" w:type="pct"/>
            <w:vMerge/>
            <w:vAlign w:val="center"/>
          </w:tcPr>
          <w:p w14:paraId="692A1949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0F18F4F1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加强秸秆综合利用和禁烧</w:t>
            </w:r>
            <w:r>
              <w:rPr>
                <w:rFonts w:ascii="仿宋_GB2312" w:hint="eastAsia"/>
                <w:sz w:val="28"/>
                <w:szCs w:val="28"/>
              </w:rPr>
              <w:t>。提高秸秆还田标准化、规范化水平。到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>2025年主要农作物秸秆综合利用率达90%以上，各地结合实际规定秸秆禁烧范围。鼓励各地运用高清视频监控、无人机等，加强秸秆焚烧火点监测。</w:t>
            </w:r>
          </w:p>
        </w:tc>
        <w:tc>
          <w:tcPr>
            <w:tcW w:w="1053" w:type="pct"/>
            <w:vAlign w:val="center"/>
          </w:tcPr>
          <w:p w14:paraId="4B7978D9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市农业农村局、生态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>环境局、城管局等按职责分工负责</w:t>
            </w:r>
          </w:p>
        </w:tc>
      </w:tr>
      <w:tr w:rsidR="00281591" w14:paraId="1F8A6DCF" w14:textId="77777777" w:rsidTr="00F71EE6">
        <w:trPr>
          <w:trHeight w:val="913"/>
        </w:trPr>
        <w:tc>
          <w:tcPr>
            <w:tcW w:w="359" w:type="pct"/>
            <w:vAlign w:val="center"/>
          </w:tcPr>
          <w:p w14:paraId="2ED7B2CC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0" w:type="pct"/>
            <w:vMerge w:val="restart"/>
            <w:vAlign w:val="center"/>
          </w:tcPr>
          <w:p w14:paraId="23F2F714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强化多污染物减排，切实降低排放强度</w:t>
            </w:r>
          </w:p>
        </w:tc>
        <w:tc>
          <w:tcPr>
            <w:tcW w:w="3007" w:type="pct"/>
            <w:vAlign w:val="center"/>
          </w:tcPr>
          <w:p w14:paraId="3AFD923B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加强VOCs全过程综合治理。鼓励储罐使用低泄漏的呼吸阀、紧急泄压阀。汽车罐车推广使用密封式快速接头。存储汽油、石脑油以及苯、甲苯、二甲苯的浮顶罐，鼓励配备新型高效浮盘与配件。污水处理场所高浓度有机废气要单独收集处理；含VOCs有机废水储罐、装置区集水井（池）有机废气要密闭收集处理。鼓励化工园区建立统一的泄漏检测与修复信息管理平台。强化对企业挥发性有机物物料储存、转移和输送、工艺过程等无组织排放的精细化管控。企业开停工、检维修期间，及时收集处理退料、清洗、吹扫等作业产生的VOCs废气。企业不得将火炬燃烧装置作为日常大气污染处理设施。</w:t>
            </w:r>
          </w:p>
        </w:tc>
        <w:tc>
          <w:tcPr>
            <w:tcW w:w="1053" w:type="pct"/>
            <w:vAlign w:val="center"/>
          </w:tcPr>
          <w:p w14:paraId="2CDFC4B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市生态环境局、市场监管局等按职责分工负责</w:t>
            </w:r>
          </w:p>
        </w:tc>
      </w:tr>
      <w:tr w:rsidR="00281591" w14:paraId="7D69C58A" w14:textId="77777777" w:rsidTr="00F71EE6">
        <w:trPr>
          <w:trHeight w:val="3960"/>
        </w:trPr>
        <w:tc>
          <w:tcPr>
            <w:tcW w:w="359" w:type="pct"/>
            <w:vAlign w:val="center"/>
          </w:tcPr>
          <w:p w14:paraId="1CA3631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0" w:type="pct"/>
            <w:vMerge/>
            <w:vAlign w:val="center"/>
          </w:tcPr>
          <w:p w14:paraId="431C0D84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楷体_GB2312"/>
                <w:bCs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263F5D57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推进重点行业污染深度治理。</w:t>
            </w:r>
            <w:r>
              <w:rPr>
                <w:rFonts w:ascii="仿宋_GB2312" w:hint="eastAsia"/>
                <w:sz w:val="28"/>
                <w:szCs w:val="28"/>
              </w:rPr>
              <w:t>高质量推进钢铁、水泥等重点行业及燃煤锅炉超低排放改造。到2025年，全市钢铁、水泥、焦化企业基本完成超低排放改造任务；每小时35（含）-65蒸吨燃煤锅炉和县级及以上城市建成区内保留的燃煤、燃油、燃生物质锅炉原则上必须超低排放。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全面开展锅炉和工业炉窑简易低效污染治理设施排查，实现转型、升级、退出。</w:t>
            </w:r>
            <w:r>
              <w:rPr>
                <w:rFonts w:ascii="仿宋_GB2312" w:hint="eastAsia"/>
                <w:sz w:val="28"/>
                <w:szCs w:val="28"/>
              </w:rPr>
              <w:t>推进燃气锅炉低氮燃烧改造。采用专用生物质锅炉，禁止掺烧煤炭、生活垃圾等其他物料。整合小型生物质锅炉。重点涉气企业逐步取消烟气和含VOCs废气旁路，因安全生产需要无法取消的，安装在线监控系统及备用处置设施。</w:t>
            </w:r>
          </w:p>
        </w:tc>
        <w:tc>
          <w:tcPr>
            <w:tcW w:w="1053" w:type="pct"/>
            <w:vAlign w:val="center"/>
          </w:tcPr>
          <w:p w14:paraId="67ECAB0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市生态环境局、发改委、工信局、市场监管局等按职责分工负责</w:t>
            </w:r>
          </w:p>
        </w:tc>
      </w:tr>
      <w:tr w:rsidR="00281591" w14:paraId="715A9C96" w14:textId="77777777" w:rsidTr="00F71EE6">
        <w:trPr>
          <w:trHeight w:val="2118"/>
        </w:trPr>
        <w:tc>
          <w:tcPr>
            <w:tcW w:w="359" w:type="pct"/>
            <w:vAlign w:val="center"/>
          </w:tcPr>
          <w:p w14:paraId="5DCC4075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580" w:type="pct"/>
            <w:vMerge w:val="restart"/>
            <w:vAlign w:val="center"/>
          </w:tcPr>
          <w:p w14:paraId="7FD1B61F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强化多污染物减排，切实降低排放强度</w:t>
            </w:r>
          </w:p>
        </w:tc>
        <w:tc>
          <w:tcPr>
            <w:tcW w:w="3007" w:type="pct"/>
            <w:vAlign w:val="center"/>
          </w:tcPr>
          <w:p w14:paraId="2B44B980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开展餐饮油烟、恶臭异味专项治理。</w:t>
            </w:r>
            <w:r>
              <w:rPr>
                <w:rFonts w:ascii="仿宋_GB2312" w:hint="eastAsia"/>
                <w:sz w:val="28"/>
                <w:szCs w:val="28"/>
              </w:rPr>
              <w:t>强化城市餐饮油烟专项整治，拟开设餐饮服务单位的建筑应设计建设专用烟道。对群众反映强烈的恶臭异味扰民问题加强排查整治，投诉集中的工业园区、重点企业要安装运行在线监测系统，巩固永安尼葛开发区、小蕉工业园区等工业园区恶臭异味整治成效。</w:t>
            </w:r>
          </w:p>
        </w:tc>
        <w:tc>
          <w:tcPr>
            <w:tcW w:w="1053" w:type="pct"/>
            <w:vAlign w:val="center"/>
          </w:tcPr>
          <w:p w14:paraId="068D2F42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市生态环境局、城管局、自然资源局、住建局等按职责分工负责</w:t>
            </w:r>
          </w:p>
        </w:tc>
      </w:tr>
      <w:tr w:rsidR="00281591" w14:paraId="63B6E8FB" w14:textId="77777777" w:rsidTr="00F71EE6">
        <w:trPr>
          <w:trHeight w:val="2118"/>
        </w:trPr>
        <w:tc>
          <w:tcPr>
            <w:tcW w:w="359" w:type="pct"/>
            <w:vAlign w:val="center"/>
          </w:tcPr>
          <w:p w14:paraId="3C362DBD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0" w:type="pct"/>
            <w:vMerge/>
            <w:vAlign w:val="center"/>
          </w:tcPr>
          <w:p w14:paraId="05858042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楷体_GB2312"/>
                <w:bCs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6D961A39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推进大气氨排放控制。</w:t>
            </w:r>
            <w:r>
              <w:rPr>
                <w:rFonts w:ascii="仿宋_GB2312" w:hint="eastAsia"/>
                <w:sz w:val="28"/>
                <w:szCs w:val="28"/>
              </w:rPr>
              <w:t>推广氮肥机械深施和低蛋白日粮技术，鼓励生猪、鸡等圈舍封闭管理，支持粪污输送、存储及处理设施封闭。加强氮肥、纯碱等行业大气氨排放治理；强化工业源烟气脱硫脱硝氨逃逸防控。</w:t>
            </w:r>
          </w:p>
        </w:tc>
        <w:tc>
          <w:tcPr>
            <w:tcW w:w="1053" w:type="pct"/>
            <w:vAlign w:val="center"/>
          </w:tcPr>
          <w:p w14:paraId="3278EA0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市农业农村局、生态环境局等按职责分工负责</w:t>
            </w:r>
          </w:p>
        </w:tc>
      </w:tr>
      <w:tr w:rsidR="00281591" w14:paraId="066D90E1" w14:textId="77777777" w:rsidTr="00F71EE6">
        <w:trPr>
          <w:trHeight w:val="1400"/>
        </w:trPr>
        <w:tc>
          <w:tcPr>
            <w:tcW w:w="359" w:type="pct"/>
            <w:vAlign w:val="center"/>
          </w:tcPr>
          <w:p w14:paraId="7B14C83C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21</w:t>
            </w:r>
          </w:p>
        </w:tc>
        <w:tc>
          <w:tcPr>
            <w:tcW w:w="580" w:type="pct"/>
            <w:vMerge w:val="restart"/>
            <w:vAlign w:val="center"/>
          </w:tcPr>
          <w:p w14:paraId="6752AAF1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黑体" w:hint="eastAsia"/>
                <w:sz w:val="28"/>
                <w:szCs w:val="28"/>
              </w:rPr>
              <w:t>强化机制建设，完善大气环境管理体系</w:t>
            </w:r>
          </w:p>
        </w:tc>
        <w:tc>
          <w:tcPr>
            <w:tcW w:w="3007" w:type="pct"/>
            <w:vAlign w:val="center"/>
          </w:tcPr>
          <w:p w14:paraId="6974D736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深化区域联防联动机制。</w:t>
            </w:r>
            <w:r>
              <w:rPr>
                <w:rFonts w:ascii="仿宋_GB2312" w:hint="eastAsia"/>
                <w:sz w:val="28"/>
                <w:szCs w:val="28"/>
              </w:rPr>
              <w:t>在臭氧污染易发时段，以三元、永安、沙县等为重点，会同气象局结合气象条件进行研判分析，进行污染溯源分析，开展污染天气联合应对。</w:t>
            </w:r>
          </w:p>
        </w:tc>
        <w:tc>
          <w:tcPr>
            <w:tcW w:w="1053" w:type="pct"/>
            <w:vAlign w:val="center"/>
          </w:tcPr>
          <w:p w14:paraId="42710F8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市生态环境局、气象局按职责分工负责</w:t>
            </w:r>
          </w:p>
        </w:tc>
      </w:tr>
      <w:tr w:rsidR="00281591" w14:paraId="6E181600" w14:textId="77777777" w:rsidTr="00F71EE6">
        <w:trPr>
          <w:trHeight w:val="1832"/>
        </w:trPr>
        <w:tc>
          <w:tcPr>
            <w:tcW w:w="359" w:type="pct"/>
            <w:vAlign w:val="center"/>
          </w:tcPr>
          <w:p w14:paraId="345BAB41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22</w:t>
            </w:r>
          </w:p>
        </w:tc>
        <w:tc>
          <w:tcPr>
            <w:tcW w:w="580" w:type="pct"/>
            <w:vMerge/>
            <w:vAlign w:val="center"/>
          </w:tcPr>
          <w:p w14:paraId="3BC5BA33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黑体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2B850B59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健全污染过程预警应急响应机制。</w:t>
            </w:r>
            <w:r>
              <w:rPr>
                <w:rFonts w:ascii="仿宋_GB2312" w:hint="eastAsia"/>
                <w:sz w:val="28"/>
                <w:szCs w:val="28"/>
              </w:rPr>
              <w:t>进一步修订完善重污染天气应急预案，规范重污染天气预警启动、响应、解除工作流程。完善钢铁、水泥等重点行业企业及锅炉领域绩效分级。位于同一区域的城市按照区域预警提示信息，依法依规同步采取应急响应措施。</w:t>
            </w:r>
          </w:p>
        </w:tc>
        <w:tc>
          <w:tcPr>
            <w:tcW w:w="1053" w:type="pct"/>
            <w:vAlign w:val="center"/>
          </w:tcPr>
          <w:p w14:paraId="2A11207D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市生态环境局负责</w:t>
            </w:r>
          </w:p>
        </w:tc>
      </w:tr>
      <w:tr w:rsidR="00281591" w14:paraId="1719A3DC" w14:textId="77777777" w:rsidTr="00F71EE6">
        <w:trPr>
          <w:trHeight w:val="2254"/>
        </w:trPr>
        <w:tc>
          <w:tcPr>
            <w:tcW w:w="359" w:type="pct"/>
            <w:vAlign w:val="center"/>
          </w:tcPr>
          <w:p w14:paraId="2D10FFDA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23</w:t>
            </w:r>
          </w:p>
        </w:tc>
        <w:tc>
          <w:tcPr>
            <w:tcW w:w="580" w:type="pct"/>
            <w:vMerge w:val="restart"/>
            <w:vAlign w:val="center"/>
          </w:tcPr>
          <w:p w14:paraId="00341FCC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黑体"/>
                <w:sz w:val="28"/>
                <w:szCs w:val="28"/>
              </w:rPr>
            </w:pPr>
            <w:r>
              <w:rPr>
                <w:rFonts w:ascii="仿宋_GB2312" w:cs="黑体" w:hint="eastAsia"/>
                <w:sz w:val="28"/>
                <w:szCs w:val="28"/>
              </w:rPr>
              <w:t>强化机制建设，完善大气环境管理体系</w:t>
            </w:r>
          </w:p>
        </w:tc>
        <w:tc>
          <w:tcPr>
            <w:tcW w:w="3007" w:type="pct"/>
            <w:vAlign w:val="center"/>
          </w:tcPr>
          <w:p w14:paraId="6AB4812A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强化能力建设，严格执法监督。</w:t>
            </w:r>
            <w:r>
              <w:rPr>
                <w:rFonts w:ascii="仿宋_GB2312" w:hint="eastAsia"/>
                <w:sz w:val="28"/>
                <w:szCs w:val="28"/>
              </w:rPr>
              <w:t>推进开展非甲烷总烃监测；持续开展城市环境空气降尘监测与分析。充分利用颗粒物雷达溯源分析，提升监管理能力。各县（市、区）要定期更新大气环境重点排污单位名录。推动企业安装工况监控、用电（用能）监控、视频监控等。加强移动源环境监管能力建设。</w:t>
            </w:r>
          </w:p>
        </w:tc>
        <w:tc>
          <w:tcPr>
            <w:tcW w:w="1053" w:type="pct"/>
            <w:vAlign w:val="center"/>
          </w:tcPr>
          <w:p w14:paraId="29CC20F8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市生态环境局负责</w:t>
            </w:r>
          </w:p>
        </w:tc>
      </w:tr>
      <w:tr w:rsidR="00281591" w14:paraId="678ADA3A" w14:textId="77777777" w:rsidTr="00F71EE6">
        <w:tc>
          <w:tcPr>
            <w:tcW w:w="359" w:type="pct"/>
            <w:vAlign w:val="center"/>
          </w:tcPr>
          <w:p w14:paraId="4DAFF9A0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580" w:type="pct"/>
            <w:vMerge/>
            <w:vAlign w:val="center"/>
          </w:tcPr>
          <w:p w14:paraId="73084CA2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黑体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2070D711" w14:textId="77777777" w:rsidR="00281591" w:rsidRDefault="00281591" w:rsidP="00F71EE6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加强大气环境监管执法。</w:t>
            </w:r>
            <w:r>
              <w:rPr>
                <w:rFonts w:ascii="仿宋_GB2312" w:hint="eastAsia"/>
                <w:sz w:val="28"/>
                <w:szCs w:val="28"/>
              </w:rPr>
              <w:t>加强污染源自动监测设备运行监管。市、县两级生态环境部门配备便携式VOCs检测仪、微风风速仪、油气回收三项检测仪等，化工企业集中的市、县两级生态环境部门配备红外热成像仪。强化对重点园区、重点道路重型柴油货车的检查。依法追究参与弄虚作假的排污单位和第三方机构、人员责任。</w:t>
            </w:r>
          </w:p>
        </w:tc>
        <w:tc>
          <w:tcPr>
            <w:tcW w:w="1053" w:type="pct"/>
            <w:vAlign w:val="center"/>
          </w:tcPr>
          <w:p w14:paraId="23F77687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市生态环境局负责</w:t>
            </w:r>
          </w:p>
        </w:tc>
      </w:tr>
      <w:tr w:rsidR="00281591" w14:paraId="2F8CCC2A" w14:textId="77777777" w:rsidTr="00F71EE6">
        <w:trPr>
          <w:trHeight w:val="1825"/>
        </w:trPr>
        <w:tc>
          <w:tcPr>
            <w:tcW w:w="359" w:type="pct"/>
            <w:vAlign w:val="center"/>
          </w:tcPr>
          <w:p w14:paraId="54E2E452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25</w:t>
            </w:r>
          </w:p>
        </w:tc>
        <w:tc>
          <w:tcPr>
            <w:tcW w:w="580" w:type="pct"/>
            <w:vMerge/>
            <w:vAlign w:val="center"/>
          </w:tcPr>
          <w:p w14:paraId="1F5E044B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黑体"/>
                <w:sz w:val="28"/>
                <w:szCs w:val="28"/>
              </w:rPr>
            </w:pPr>
          </w:p>
        </w:tc>
        <w:tc>
          <w:tcPr>
            <w:tcW w:w="3007" w:type="pct"/>
            <w:vAlign w:val="center"/>
          </w:tcPr>
          <w:p w14:paraId="74D7774D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cs="楷体_GB2312" w:hint="eastAsia"/>
                <w:bCs/>
                <w:sz w:val="28"/>
                <w:szCs w:val="28"/>
              </w:rPr>
              <w:t>加强决策科技支撑。</w:t>
            </w:r>
            <w:r>
              <w:rPr>
                <w:rFonts w:ascii="仿宋_GB2312" w:hint="eastAsia"/>
                <w:sz w:val="28"/>
                <w:szCs w:val="28"/>
              </w:rPr>
              <w:t>加快中小型企业低浓度、大风量废气高效治理技术，以及低温脱硝、氨逃逸精准调控等技术装备的研发和推广应用。研究分类型工业炉窑清洁能源替代和末端治理路径。到2025年，完成三明市排放清单编制。</w:t>
            </w:r>
          </w:p>
        </w:tc>
        <w:tc>
          <w:tcPr>
            <w:tcW w:w="1053" w:type="pct"/>
            <w:vAlign w:val="center"/>
          </w:tcPr>
          <w:p w14:paraId="0908BECF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市生态环境局负责</w:t>
            </w:r>
          </w:p>
        </w:tc>
      </w:tr>
      <w:tr w:rsidR="00281591" w14:paraId="2D2C9253" w14:textId="77777777" w:rsidTr="00F71EE6">
        <w:trPr>
          <w:trHeight w:val="1933"/>
        </w:trPr>
        <w:tc>
          <w:tcPr>
            <w:tcW w:w="359" w:type="pct"/>
            <w:vAlign w:val="center"/>
          </w:tcPr>
          <w:p w14:paraId="47812D3E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26</w:t>
            </w:r>
          </w:p>
        </w:tc>
        <w:tc>
          <w:tcPr>
            <w:tcW w:w="580" w:type="pct"/>
            <w:vAlign w:val="center"/>
          </w:tcPr>
          <w:p w14:paraId="41B17007" w14:textId="77777777" w:rsidR="00281591" w:rsidRDefault="00281591" w:rsidP="00F71EE6">
            <w:pPr>
              <w:adjustRightInd w:val="0"/>
              <w:snapToGrid w:val="0"/>
              <w:spacing w:line="400" w:lineRule="exact"/>
              <w:jc w:val="center"/>
              <w:textAlignment w:val="top"/>
              <w:outlineLvl w:val="0"/>
              <w:rPr>
                <w:rFonts w:ascii="仿宋_GB2312" w:cs="黑体"/>
                <w:sz w:val="28"/>
                <w:szCs w:val="28"/>
              </w:rPr>
            </w:pPr>
            <w:r>
              <w:rPr>
                <w:rFonts w:ascii="仿宋_GB2312" w:cs="黑体" w:hint="eastAsia"/>
                <w:sz w:val="28"/>
                <w:szCs w:val="28"/>
              </w:rPr>
              <w:t>完善环境经济政策</w:t>
            </w:r>
          </w:p>
        </w:tc>
        <w:tc>
          <w:tcPr>
            <w:tcW w:w="3007" w:type="pct"/>
            <w:vAlign w:val="center"/>
          </w:tcPr>
          <w:p w14:paraId="4F23817A" w14:textId="77777777" w:rsidR="00281591" w:rsidRDefault="00281591" w:rsidP="00F71EE6">
            <w:pPr>
              <w:spacing w:line="400" w:lineRule="exact"/>
              <w:rPr>
                <w:rFonts w:ascii="仿宋_GB2312" w:cs="楷体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加大传统产业及集群升级、工业污染治理、铁路专用线建设、新能源铁路装备推广等领域融资支持力度。完善环境信用评价与绿色金融联动机制，支持符合条件的企业、金融机构发行绿色债券。</w:t>
            </w:r>
          </w:p>
        </w:tc>
        <w:tc>
          <w:tcPr>
            <w:tcW w:w="1053" w:type="pct"/>
            <w:vAlign w:val="center"/>
          </w:tcPr>
          <w:p w14:paraId="202B035C" w14:textId="77777777" w:rsidR="00281591" w:rsidRDefault="00281591" w:rsidP="00F71EE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市政府办，市财政局、生态环境局、工信局按职责分工负责</w:t>
            </w:r>
          </w:p>
        </w:tc>
      </w:tr>
    </w:tbl>
    <w:p w14:paraId="21F652F2" w14:textId="77777777" w:rsidR="00281591" w:rsidRDefault="00281591" w:rsidP="00281591">
      <w:pPr>
        <w:rPr>
          <w:rFonts w:ascii="仿宋_GB2312" w:hAnsi="仿宋_GB2312" w:cs="仿宋_GB2312"/>
          <w:sz w:val="32"/>
          <w:szCs w:val="32"/>
        </w:rPr>
      </w:pPr>
    </w:p>
    <w:p w14:paraId="0DC60440" w14:textId="77777777" w:rsidR="00281591" w:rsidRPr="00281591" w:rsidRDefault="00281591"/>
    <w:sectPr w:rsidR="00281591" w:rsidRPr="00281591">
      <w:pgSz w:w="16840" w:h="11850" w:orient="landscape"/>
      <w:pgMar w:top="1803" w:right="1440" w:bottom="1803" w:left="1440" w:header="851" w:footer="992" w:gutter="0"/>
      <w:cols w:space="0"/>
      <w:docGrid w:type="linesAndChar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91"/>
    <w:rsid w:val="00281591"/>
    <w:rsid w:val="002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5E5DB"/>
  <w15:chartTrackingRefBased/>
  <w15:docId w15:val="{AFF78D79-47DF-2E48-AB78-7CB71AFA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9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1591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2025-01-15T09:10:00Z</dcterms:created>
  <dcterms:modified xsi:type="dcterms:W3CDTF">2025-01-17T07:36:00Z</dcterms:modified>
</cp:coreProperties>
</file>