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C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  <w:lang w:eastAsia="zh-CN"/>
        </w:rPr>
        <w:t>附件</w:t>
      </w:r>
    </w:p>
    <w:p w14:paraId="0096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bookmarkStart w:id="0" w:name="_Toc142890354"/>
    </w:p>
    <w:p w14:paraId="2757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三明市大田县丰华矿业有限公司</w:t>
      </w:r>
    </w:p>
    <w:p w14:paraId="65E67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入河排污口的决定书</w:t>
      </w:r>
    </w:p>
    <w:p w14:paraId="30E43653">
      <w:pPr>
        <w:adjustRightInd w:val="0"/>
        <w:spacing w:line="360" w:lineRule="exact"/>
        <w:ind w:right="808"/>
        <w:jc w:val="both"/>
        <w:rPr>
          <w:rFonts w:ascii="宋体" w:hAnsi="宋体"/>
          <w:color w:val="auto"/>
          <w:spacing w:val="-4"/>
          <w:szCs w:val="21"/>
        </w:rPr>
      </w:pPr>
    </w:p>
    <w:p w14:paraId="7E65A91F">
      <w:pPr>
        <w:adjustRightInd w:val="0"/>
        <w:spacing w:line="3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 w:eastAsia="zh-TW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 w:eastAsia="zh-TW"/>
        </w:rPr>
        <w:t>三明市大田县丰华矿业有限公司（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/>
        </w:rPr>
        <w:t>设置申请单位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 w:eastAsia="zh-TW"/>
        </w:rPr>
        <w:t>）：</w:t>
      </w:r>
    </w:p>
    <w:p w14:paraId="63AB09EE">
      <w:pPr>
        <w:pStyle w:val="4"/>
        <w:adjustRightInd w:val="0"/>
        <w:spacing w:before="0" w:line="360" w:lineRule="exact"/>
        <w:ind w:right="107" w:firstLine="600"/>
        <w:jc w:val="both"/>
        <w:rPr>
          <w:rFonts w:hint="eastAsia" w:ascii="宋体" w:hAnsi="宋体" w:eastAsia="宋体" w:cs="宋体"/>
          <w:color w:val="auto"/>
          <w:spacing w:val="-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日向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eastAsia="zh-CN"/>
        </w:rPr>
        <w:t>我局提出了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val="zh-TW" w:eastAsia="zh-CN"/>
        </w:rPr>
        <w:t>三明市大田县丰华矿业有限公司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eastAsia="zh-CN"/>
        </w:rPr>
        <w:t>入河排污口设置申请。经审查，根据《中华人民共和国行政许可法》《入河排污口监督管理办法》（生态环境部令第35号）的规定，同意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val="en-US" w:eastAsia="zh-CN"/>
        </w:rPr>
        <w:t>三明市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val="zh-TW" w:eastAsia="zh-CN"/>
        </w:rPr>
        <w:t>大田县丰华矿业有限公司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eastAsia="zh-CN"/>
        </w:rPr>
        <w:t>入河排污口设置决定如下：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154"/>
      </w:tblGrid>
      <w:tr w14:paraId="7381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noWrap w:val="0"/>
            <w:vAlign w:val="center"/>
          </w:tcPr>
          <w:p w14:paraId="223F53F3">
            <w:pPr>
              <w:pStyle w:val="4"/>
              <w:spacing w:before="0" w:line="360" w:lineRule="exact"/>
              <w:ind w:lef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5590D965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工矿企业入河排污口</w:t>
            </w:r>
          </w:p>
          <w:p w14:paraId="77497720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工业及其他各类园区污水处理厂入河排污口</w:t>
            </w:r>
          </w:p>
          <w:p w14:paraId="06372DE2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城镇污水处理厂入河排污口</w:t>
            </w:r>
          </w:p>
          <w:p w14:paraId="61CB17D7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其他参照上述管理的入河排污口_______________</w:t>
            </w:r>
          </w:p>
        </w:tc>
      </w:tr>
      <w:tr w14:paraId="7CAA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noWrap w:val="0"/>
            <w:vAlign w:val="center"/>
          </w:tcPr>
          <w:p w14:paraId="54EEC59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入河排污口名称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246A3C00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三明市大田县丰华矿业有限公司选厂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eastAsia="zh-CN"/>
              </w:rPr>
              <w:t>入河排污口</w:t>
            </w:r>
          </w:p>
        </w:tc>
      </w:tr>
      <w:tr w14:paraId="2EF9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noWrap w:val="0"/>
            <w:vAlign w:val="center"/>
          </w:tcPr>
          <w:p w14:paraId="342B045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入河排污口编码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6A056E7F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GC-350425-0080-GY-00</w:t>
            </w:r>
          </w:p>
        </w:tc>
      </w:tr>
      <w:tr w14:paraId="06D9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noWrap w:val="0"/>
            <w:vAlign w:val="center"/>
          </w:tcPr>
          <w:p w14:paraId="1DF8930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设置类型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2EAA4DDD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新设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改设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扩大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</w:tr>
      <w:tr w14:paraId="7D3A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6" w:type="dxa"/>
            <w:gridSpan w:val="7"/>
            <w:noWrap w:val="0"/>
            <w:vAlign w:val="center"/>
          </w:tcPr>
          <w:p w14:paraId="1C718D0E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责任主体基本情况</w:t>
            </w:r>
          </w:p>
        </w:tc>
      </w:tr>
      <w:tr w14:paraId="744D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46" w:type="dxa"/>
            <w:gridSpan w:val="7"/>
            <w:noWrap w:val="0"/>
            <w:vAlign w:val="center"/>
          </w:tcPr>
          <w:p w14:paraId="66BC12C8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责任主体名称：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大田县丰华矿业有限公司</w:t>
            </w:r>
          </w:p>
        </w:tc>
      </w:tr>
      <w:tr w14:paraId="2DF4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noWrap w:val="0"/>
            <w:vAlign w:val="center"/>
          </w:tcPr>
          <w:p w14:paraId="2B660BF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76E06997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福建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均溪镇上华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</w:t>
            </w:r>
          </w:p>
        </w:tc>
      </w:tr>
      <w:tr w14:paraId="41B8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noWrap w:val="0"/>
            <w:vAlign w:val="center"/>
          </w:tcPr>
          <w:p w14:paraId="4C7BFBA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02D3A6B0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913504255934552610</w:t>
            </w:r>
          </w:p>
        </w:tc>
      </w:tr>
      <w:tr w14:paraId="4157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noWrap w:val="0"/>
            <w:vAlign w:val="center"/>
          </w:tcPr>
          <w:p w14:paraId="2075689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法定代表人及联系电话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4619BDF0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郑肇茁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联系电话：18650327920</w:t>
            </w:r>
          </w:p>
        </w:tc>
      </w:tr>
      <w:tr w14:paraId="1476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noWrap w:val="0"/>
            <w:vAlign w:val="center"/>
          </w:tcPr>
          <w:p w14:paraId="39FC391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行业类别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2EE59D1B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1020化学矿开采</w:t>
            </w:r>
          </w:p>
        </w:tc>
      </w:tr>
      <w:tr w14:paraId="5908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noWrap w:val="0"/>
            <w:vAlign w:val="center"/>
          </w:tcPr>
          <w:p w14:paraId="5941730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排污许可证或排污登记编号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7A1A6473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975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30" w:type="dxa"/>
            <w:vMerge w:val="restart"/>
            <w:noWrap w:val="0"/>
            <w:vAlign w:val="center"/>
          </w:tcPr>
          <w:p w14:paraId="564FD9E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</w:t>
            </w:r>
          </w:p>
          <w:p w14:paraId="3C9D70F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设置地点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4A4A630E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所在行政区域：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福建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大田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均溪镇上华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</w:t>
            </w:r>
          </w:p>
        </w:tc>
      </w:tr>
      <w:tr w14:paraId="7E3D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noWrap w:val="0"/>
            <w:vAlign w:val="center"/>
          </w:tcPr>
          <w:p w14:paraId="344882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16" w:type="dxa"/>
            <w:gridSpan w:val="6"/>
            <w:noWrap w:val="0"/>
            <w:vAlign w:val="center"/>
          </w:tcPr>
          <w:p w14:paraId="40603099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排入水体名称：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周田溪</w:t>
            </w:r>
          </w:p>
        </w:tc>
      </w:tr>
      <w:tr w14:paraId="61A1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noWrap w:val="0"/>
            <w:vAlign w:val="center"/>
          </w:tcPr>
          <w:p w14:paraId="3BB7D41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16" w:type="dxa"/>
            <w:gridSpan w:val="6"/>
            <w:noWrap w:val="0"/>
            <w:vAlign w:val="center"/>
          </w:tcPr>
          <w:p w14:paraId="47CD637D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所在流域：东南诸河</w:t>
            </w:r>
          </w:p>
        </w:tc>
      </w:tr>
      <w:tr w14:paraId="605E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noWrap w:val="0"/>
            <w:vAlign w:val="center"/>
          </w:tcPr>
          <w:p w14:paraId="07DBC28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16" w:type="dxa"/>
            <w:gridSpan w:val="6"/>
            <w:noWrap w:val="0"/>
            <w:vAlign w:val="center"/>
          </w:tcPr>
          <w:p w14:paraId="0BE64847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经度（十进制精确到小数点后六位，CGCS2000坐标系）：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117.815637°</w:t>
            </w:r>
          </w:p>
          <w:p w14:paraId="38DC4FB7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纬度（十进制精确到小数点后六位，CGCS2000坐标系）：25.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803489°</w:t>
            </w:r>
          </w:p>
        </w:tc>
      </w:tr>
      <w:tr w14:paraId="6475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noWrap w:val="0"/>
            <w:vAlign w:val="center"/>
          </w:tcPr>
          <w:p w14:paraId="2A8A6D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污水排放方式</w:t>
            </w:r>
          </w:p>
        </w:tc>
        <w:tc>
          <w:tcPr>
            <w:tcW w:w="1133" w:type="dxa"/>
            <w:noWrap w:val="0"/>
            <w:vAlign w:val="center"/>
          </w:tcPr>
          <w:p w14:paraId="73EA767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连续</w:t>
            </w:r>
          </w:p>
          <w:p w14:paraId="54591DC8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☑间歇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120BFC55">
            <w:pPr>
              <w:widowControl/>
              <w:spacing w:line="360" w:lineRule="exact"/>
              <w:ind w:right="-160" w:rightChars="-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</w:t>
            </w:r>
          </w:p>
          <w:p w14:paraId="3A3BD509">
            <w:pPr>
              <w:widowControl/>
              <w:spacing w:line="360" w:lineRule="exact"/>
              <w:ind w:right="-160" w:rightChars="-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方式</w:t>
            </w:r>
          </w:p>
        </w:tc>
        <w:tc>
          <w:tcPr>
            <w:tcW w:w="4132" w:type="dxa"/>
            <w:gridSpan w:val="4"/>
            <w:vMerge w:val="restart"/>
            <w:noWrap w:val="0"/>
            <w:vAlign w:val="center"/>
          </w:tcPr>
          <w:p w14:paraId="0A54C63B">
            <w:pPr>
              <w:spacing w:line="36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明渠  ☑管道</w:t>
            </w:r>
          </w:p>
          <w:p w14:paraId="4F199559">
            <w:pPr>
              <w:spacing w:line="36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泵站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涵闸</w:t>
            </w:r>
          </w:p>
          <w:p w14:paraId="7CB3E4CE">
            <w:pPr>
              <w:widowControl/>
              <w:spacing w:line="36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箱涵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其他：_______</w:t>
            </w:r>
          </w:p>
        </w:tc>
      </w:tr>
      <w:tr w14:paraId="2DF2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noWrap w:val="0"/>
            <w:vAlign w:val="center"/>
          </w:tcPr>
          <w:p w14:paraId="67361E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是否共用</w:t>
            </w:r>
          </w:p>
        </w:tc>
        <w:tc>
          <w:tcPr>
            <w:tcW w:w="1133" w:type="dxa"/>
            <w:noWrap w:val="0"/>
            <w:vAlign w:val="center"/>
          </w:tcPr>
          <w:p w14:paraId="4C86C82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</w:t>
            </w:r>
          </w:p>
          <w:p w14:paraId="09E93237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☑否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61E8C530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32" w:type="dxa"/>
            <w:gridSpan w:val="4"/>
            <w:vMerge w:val="continue"/>
            <w:noWrap w:val="0"/>
            <w:vAlign w:val="center"/>
          </w:tcPr>
          <w:p w14:paraId="7C65F592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C94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noWrap w:val="0"/>
            <w:vAlign w:val="center"/>
          </w:tcPr>
          <w:p w14:paraId="40EC32C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入河排污口截面信息</w:t>
            </w:r>
          </w:p>
        </w:tc>
        <w:tc>
          <w:tcPr>
            <w:tcW w:w="6116" w:type="dxa"/>
            <w:gridSpan w:val="6"/>
            <w:noWrap w:val="0"/>
            <w:vAlign w:val="center"/>
          </w:tcPr>
          <w:p w14:paraId="45CDF508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☑圆形截面：d=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m，S=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0.2826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</w:tr>
      <w:tr w14:paraId="6AC6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noWrap w:val="0"/>
            <w:vAlign w:val="center"/>
          </w:tcPr>
          <w:p w14:paraId="091CD51D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16" w:type="dxa"/>
            <w:gridSpan w:val="6"/>
            <w:noWrap w:val="0"/>
            <w:vAlign w:val="center"/>
          </w:tcPr>
          <w:p w14:paraId="2175D374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方形截面：L×B=   m×  m，S=   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</w:tr>
      <w:tr w14:paraId="3F4A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noWrap w:val="0"/>
            <w:vAlign w:val="center"/>
          </w:tcPr>
          <w:p w14:paraId="0646AAB2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16" w:type="dxa"/>
            <w:gridSpan w:val="6"/>
            <w:noWrap w:val="0"/>
            <w:vAlign w:val="center"/>
          </w:tcPr>
          <w:p w14:paraId="12A08BD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其他形状截面：S=    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</w:tr>
      <w:tr w14:paraId="439D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6" w:type="dxa"/>
            <w:gridSpan w:val="7"/>
            <w:noWrap w:val="0"/>
            <w:vAlign w:val="center"/>
          </w:tcPr>
          <w:p w14:paraId="738077A0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入河排污口污水排放量，入河排污口重点污染物排放种类、排放浓度和排放量</w:t>
            </w:r>
          </w:p>
        </w:tc>
      </w:tr>
      <w:tr w14:paraId="3245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noWrap w:val="0"/>
            <w:vAlign w:val="center"/>
          </w:tcPr>
          <w:p w14:paraId="1B5EF01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污染物种类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 w14:paraId="3D89D8B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排放浓度（mg/L）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 w14:paraId="7CEFB11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全年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 w14:paraId="725AB1F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特殊时段（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月）</w:t>
            </w:r>
          </w:p>
        </w:tc>
      </w:tr>
      <w:tr w14:paraId="524B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830" w:type="dxa"/>
            <w:vMerge w:val="continue"/>
            <w:noWrap w:val="0"/>
            <w:vAlign w:val="center"/>
          </w:tcPr>
          <w:p w14:paraId="67DE235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 w14:paraId="0B8367B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D433DF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污水排放量（万t/a）</w:t>
            </w:r>
          </w:p>
        </w:tc>
        <w:tc>
          <w:tcPr>
            <w:tcW w:w="1134" w:type="dxa"/>
            <w:noWrap w:val="0"/>
            <w:vAlign w:val="center"/>
          </w:tcPr>
          <w:p w14:paraId="229D186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污染物排放量（t/a）</w:t>
            </w:r>
          </w:p>
        </w:tc>
        <w:tc>
          <w:tcPr>
            <w:tcW w:w="1418" w:type="dxa"/>
            <w:noWrap w:val="0"/>
            <w:vAlign w:val="center"/>
          </w:tcPr>
          <w:p w14:paraId="782BE6C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污水日排放量（t/d）</w:t>
            </w:r>
          </w:p>
        </w:tc>
        <w:tc>
          <w:tcPr>
            <w:tcW w:w="1154" w:type="dxa"/>
            <w:noWrap w:val="0"/>
            <w:vAlign w:val="center"/>
          </w:tcPr>
          <w:p w14:paraId="6B64CED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污染物日排放量（t/d）</w:t>
            </w:r>
          </w:p>
        </w:tc>
      </w:tr>
      <w:tr w14:paraId="4589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6" w:type="dxa"/>
            <w:gridSpan w:val="7"/>
            <w:noWrap w:val="0"/>
            <w:vAlign w:val="center"/>
          </w:tcPr>
          <w:p w14:paraId="598A71A5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入河排污口合计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（单一责任主体只需记载此项）</w:t>
            </w:r>
          </w:p>
        </w:tc>
      </w:tr>
      <w:tr w14:paraId="70C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7D317DC6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SS</w:t>
            </w:r>
          </w:p>
        </w:tc>
        <w:tc>
          <w:tcPr>
            <w:tcW w:w="1133" w:type="dxa"/>
            <w:noWrap w:val="0"/>
            <w:vAlign w:val="center"/>
          </w:tcPr>
          <w:p w14:paraId="3325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7" w:type="dxa"/>
            <w:gridSpan w:val="2"/>
            <w:vMerge w:val="restart"/>
            <w:noWrap w:val="0"/>
            <w:vAlign w:val="center"/>
          </w:tcPr>
          <w:p w14:paraId="4579D8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6.159</w:t>
            </w:r>
          </w:p>
        </w:tc>
        <w:tc>
          <w:tcPr>
            <w:tcW w:w="1134" w:type="dxa"/>
            <w:noWrap w:val="0"/>
            <w:vAlign w:val="center"/>
          </w:tcPr>
          <w:p w14:paraId="5CD2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4.311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7BF609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3599.724</w:t>
            </w:r>
          </w:p>
        </w:tc>
        <w:tc>
          <w:tcPr>
            <w:tcW w:w="1154" w:type="dxa"/>
            <w:noWrap w:val="0"/>
            <w:vAlign w:val="center"/>
          </w:tcPr>
          <w:p w14:paraId="5521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0.252 </w:t>
            </w:r>
          </w:p>
        </w:tc>
      </w:tr>
      <w:tr w14:paraId="2C22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2FD8AF73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COD</w:t>
            </w:r>
          </w:p>
        </w:tc>
        <w:tc>
          <w:tcPr>
            <w:tcW w:w="1133" w:type="dxa"/>
            <w:noWrap w:val="0"/>
            <w:vAlign w:val="center"/>
          </w:tcPr>
          <w:p w14:paraId="7A47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1BD3DC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23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6.159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7ECDD9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1AE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0.360 </w:t>
            </w:r>
          </w:p>
        </w:tc>
      </w:tr>
      <w:tr w14:paraId="5FA4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359E7BC3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氨氮</w:t>
            </w:r>
          </w:p>
        </w:tc>
        <w:tc>
          <w:tcPr>
            <w:tcW w:w="1133" w:type="dxa"/>
            <w:noWrap w:val="0"/>
            <w:vAlign w:val="center"/>
          </w:tcPr>
          <w:p w14:paraId="3318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42573C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BC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777D0F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9C2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0.007 </w:t>
            </w:r>
          </w:p>
        </w:tc>
      </w:tr>
      <w:tr w14:paraId="4032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701BE4C8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总氮</w:t>
            </w:r>
          </w:p>
        </w:tc>
        <w:tc>
          <w:tcPr>
            <w:tcW w:w="1133" w:type="dxa"/>
            <w:noWrap w:val="0"/>
            <w:vAlign w:val="center"/>
          </w:tcPr>
          <w:p w14:paraId="7F9B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1C767B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74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0.924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11CD7C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526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0.054 </w:t>
            </w:r>
          </w:p>
        </w:tc>
      </w:tr>
      <w:tr w14:paraId="3207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22946728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总磷</w:t>
            </w:r>
          </w:p>
        </w:tc>
        <w:tc>
          <w:tcPr>
            <w:tcW w:w="1133" w:type="dxa"/>
            <w:noWrap w:val="0"/>
            <w:vAlign w:val="center"/>
          </w:tcPr>
          <w:p w14:paraId="20B8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507AF8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79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5074D6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0A6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0.002 </w:t>
            </w:r>
          </w:p>
        </w:tc>
      </w:tr>
      <w:tr w14:paraId="6735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29670E25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石油类</w:t>
            </w:r>
          </w:p>
        </w:tc>
        <w:tc>
          <w:tcPr>
            <w:tcW w:w="1133" w:type="dxa"/>
            <w:noWrap w:val="0"/>
            <w:vAlign w:val="center"/>
          </w:tcPr>
          <w:p w14:paraId="7CA4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571232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87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2C353F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28A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0.0002 </w:t>
            </w:r>
          </w:p>
        </w:tc>
      </w:tr>
      <w:tr w14:paraId="04A4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173337F0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总锌</w:t>
            </w:r>
          </w:p>
        </w:tc>
        <w:tc>
          <w:tcPr>
            <w:tcW w:w="1133" w:type="dxa"/>
            <w:noWrap w:val="0"/>
            <w:vAlign w:val="center"/>
          </w:tcPr>
          <w:p w14:paraId="38DB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509C48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F3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57B157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3A4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0.007 </w:t>
            </w:r>
          </w:p>
        </w:tc>
      </w:tr>
      <w:tr w14:paraId="2522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1D5ECF74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总铜</w:t>
            </w:r>
          </w:p>
        </w:tc>
        <w:tc>
          <w:tcPr>
            <w:tcW w:w="1133" w:type="dxa"/>
            <w:noWrap w:val="0"/>
            <w:vAlign w:val="center"/>
          </w:tcPr>
          <w:p w14:paraId="6675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373436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89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E3C41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A87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0.002 </w:t>
            </w:r>
          </w:p>
        </w:tc>
      </w:tr>
      <w:tr w14:paraId="0F98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6ACA50A4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总锰</w:t>
            </w:r>
          </w:p>
        </w:tc>
        <w:tc>
          <w:tcPr>
            <w:tcW w:w="1133" w:type="dxa"/>
            <w:noWrap w:val="0"/>
            <w:vAlign w:val="center"/>
          </w:tcPr>
          <w:p w14:paraId="4DC6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69B14A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C4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7C3401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E18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0.007 </w:t>
            </w:r>
          </w:p>
        </w:tc>
      </w:tr>
      <w:tr w14:paraId="4AC5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7EBB1D38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总硒</w:t>
            </w:r>
          </w:p>
        </w:tc>
        <w:tc>
          <w:tcPr>
            <w:tcW w:w="1133" w:type="dxa"/>
            <w:noWrap w:val="0"/>
            <w:vAlign w:val="center"/>
          </w:tcPr>
          <w:p w14:paraId="1802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53898C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26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121C2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47A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0.0001 </w:t>
            </w:r>
          </w:p>
        </w:tc>
      </w:tr>
      <w:tr w14:paraId="0E38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021F1CFC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总铁</w:t>
            </w:r>
          </w:p>
        </w:tc>
        <w:tc>
          <w:tcPr>
            <w:tcW w:w="1133" w:type="dxa"/>
            <w:noWrap w:val="0"/>
            <w:vAlign w:val="center"/>
          </w:tcPr>
          <w:p w14:paraId="406C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424B74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0B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0.308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104FD8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7D0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0.018 </w:t>
            </w:r>
          </w:p>
        </w:tc>
      </w:tr>
      <w:tr w14:paraId="480A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4F489B40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硫化物</w:t>
            </w:r>
          </w:p>
        </w:tc>
        <w:tc>
          <w:tcPr>
            <w:tcW w:w="1133" w:type="dxa"/>
            <w:noWrap w:val="0"/>
            <w:vAlign w:val="center"/>
          </w:tcPr>
          <w:p w14:paraId="446A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63E35A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BB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0F2168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ACB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0.002 </w:t>
            </w:r>
          </w:p>
        </w:tc>
      </w:tr>
      <w:tr w14:paraId="7B34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2381FD19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氟化物</w:t>
            </w:r>
          </w:p>
        </w:tc>
        <w:tc>
          <w:tcPr>
            <w:tcW w:w="1133" w:type="dxa"/>
            <w:noWrap w:val="0"/>
            <w:vAlign w:val="center"/>
          </w:tcPr>
          <w:p w14:paraId="4023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55D516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71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286469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F80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0.005 </w:t>
            </w:r>
          </w:p>
        </w:tc>
      </w:tr>
      <w:tr w14:paraId="5BAC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0A80D696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总汞</w:t>
            </w:r>
          </w:p>
        </w:tc>
        <w:tc>
          <w:tcPr>
            <w:tcW w:w="1133" w:type="dxa"/>
            <w:noWrap w:val="0"/>
            <w:vAlign w:val="center"/>
          </w:tcPr>
          <w:p w14:paraId="5EFB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0.0001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58CC29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17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0.00001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C3216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635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0.0000004 </w:t>
            </w:r>
          </w:p>
        </w:tc>
      </w:tr>
      <w:tr w14:paraId="5AB4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45A82517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总镉</w:t>
            </w:r>
          </w:p>
        </w:tc>
        <w:tc>
          <w:tcPr>
            <w:tcW w:w="1133" w:type="dxa"/>
            <w:noWrap w:val="0"/>
            <w:vAlign w:val="center"/>
          </w:tcPr>
          <w:p w14:paraId="1470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738D12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A5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54049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FB8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0.00002 </w:t>
            </w:r>
          </w:p>
        </w:tc>
      </w:tr>
      <w:tr w14:paraId="368C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02D6991C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总铬</w:t>
            </w:r>
          </w:p>
        </w:tc>
        <w:tc>
          <w:tcPr>
            <w:tcW w:w="1133" w:type="dxa"/>
            <w:noWrap w:val="0"/>
            <w:vAlign w:val="center"/>
          </w:tcPr>
          <w:p w14:paraId="491F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583093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3B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274DF9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E5C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0.0002 </w:t>
            </w:r>
          </w:p>
        </w:tc>
      </w:tr>
      <w:tr w14:paraId="2DBB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26D4C913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六价铬</w:t>
            </w:r>
          </w:p>
        </w:tc>
        <w:tc>
          <w:tcPr>
            <w:tcW w:w="1133" w:type="dxa"/>
            <w:noWrap w:val="0"/>
            <w:vAlign w:val="center"/>
          </w:tcPr>
          <w:p w14:paraId="4CD3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407E02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50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09DCBE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FD2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0.0002 </w:t>
            </w:r>
          </w:p>
        </w:tc>
      </w:tr>
      <w:tr w14:paraId="4AAC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1E7B574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总砷</w:t>
            </w:r>
          </w:p>
        </w:tc>
        <w:tc>
          <w:tcPr>
            <w:tcW w:w="1133" w:type="dxa"/>
            <w:noWrap w:val="0"/>
            <w:vAlign w:val="center"/>
          </w:tcPr>
          <w:p w14:paraId="5641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03DBFC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CB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C3C43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04C0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0.0002 </w:t>
            </w:r>
          </w:p>
        </w:tc>
      </w:tr>
      <w:tr w14:paraId="37DA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08298047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总铅</w:t>
            </w:r>
          </w:p>
        </w:tc>
        <w:tc>
          <w:tcPr>
            <w:tcW w:w="1133" w:type="dxa"/>
            <w:noWrap w:val="0"/>
            <w:vAlign w:val="center"/>
          </w:tcPr>
          <w:p w14:paraId="486F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1895F1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FE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77E2EF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2B0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0.0002 </w:t>
            </w:r>
          </w:p>
        </w:tc>
      </w:tr>
      <w:tr w14:paraId="19AC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0301B2C7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总镍</w:t>
            </w:r>
          </w:p>
        </w:tc>
        <w:tc>
          <w:tcPr>
            <w:tcW w:w="1133" w:type="dxa"/>
            <w:noWrap w:val="0"/>
            <w:vAlign w:val="center"/>
          </w:tcPr>
          <w:p w14:paraId="1487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4B99D7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FE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4869F0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7F4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0.0001 </w:t>
            </w:r>
          </w:p>
        </w:tc>
      </w:tr>
      <w:tr w14:paraId="69BD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5859AAE5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总铍</w:t>
            </w:r>
          </w:p>
        </w:tc>
        <w:tc>
          <w:tcPr>
            <w:tcW w:w="1133" w:type="dxa"/>
            <w:noWrap w:val="0"/>
            <w:vAlign w:val="center"/>
          </w:tcPr>
          <w:p w14:paraId="096A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157D5C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AE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0.0001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29AC13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D2B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0.00001 </w:t>
            </w:r>
          </w:p>
        </w:tc>
      </w:tr>
      <w:tr w14:paraId="6874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noWrap w:val="0"/>
            <w:vAlign w:val="center"/>
          </w:tcPr>
          <w:p w14:paraId="63A788B9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总银</w:t>
            </w:r>
          </w:p>
        </w:tc>
        <w:tc>
          <w:tcPr>
            <w:tcW w:w="1133" w:type="dxa"/>
            <w:noWrap w:val="0"/>
            <w:vAlign w:val="center"/>
          </w:tcPr>
          <w:p w14:paraId="05CF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277" w:type="dxa"/>
            <w:gridSpan w:val="2"/>
            <w:vMerge w:val="continue"/>
            <w:noWrap w:val="0"/>
            <w:vAlign w:val="center"/>
          </w:tcPr>
          <w:p w14:paraId="74DD25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B5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31E11D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7D6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0.0002 </w:t>
            </w:r>
          </w:p>
        </w:tc>
      </w:tr>
      <w:tr w14:paraId="07BC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946" w:type="dxa"/>
            <w:gridSpan w:val="7"/>
            <w:noWrap w:val="0"/>
            <w:vAlign w:val="top"/>
          </w:tcPr>
          <w:p w14:paraId="2055E564">
            <w:pPr>
              <w:widowControl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信息公开要求：</w:t>
            </w:r>
          </w:p>
          <w:p w14:paraId="44D67622">
            <w:pPr>
              <w:pStyle w:val="4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根据《入河排污口监督管理办法》以及HJ1386标准要求，该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入河排污口的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等信息应以标识牌等方式在入河排污口处信息公开。</w:t>
            </w:r>
          </w:p>
        </w:tc>
      </w:tr>
      <w:tr w14:paraId="5917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46" w:type="dxa"/>
            <w:gridSpan w:val="7"/>
            <w:noWrap w:val="0"/>
            <w:vAlign w:val="center"/>
          </w:tcPr>
          <w:p w14:paraId="435E0834">
            <w:pPr>
              <w:widowControl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水污染事故应急处理预案以及环境风险防范措施：</w:t>
            </w:r>
          </w:p>
          <w:p w14:paraId="193E819D">
            <w:pPr>
              <w:snapToGrid w:val="0"/>
              <w:spacing w:line="360" w:lineRule="exact"/>
              <w:ind w:firstLine="396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zh-TW" w:eastAsia="zh-CN"/>
              </w:rPr>
              <w:t>三明市大田县丰华矿业有限公司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应当按照排污单位有关要求，做好污染事故应急处理预案、环境风险防范及应急处置措施，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 w14:paraId="19AE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946" w:type="dxa"/>
            <w:gridSpan w:val="7"/>
            <w:noWrap w:val="0"/>
            <w:vAlign w:val="top"/>
          </w:tcPr>
          <w:p w14:paraId="1E7A0426">
            <w:pPr>
              <w:pStyle w:val="4"/>
              <w:widowControl/>
              <w:snapToGrid w:val="0"/>
              <w:spacing w:line="360" w:lineRule="exact"/>
              <w:ind w:lef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水生态环境保护措施：</w:t>
            </w:r>
          </w:p>
          <w:p w14:paraId="4A220B3C">
            <w:pPr>
              <w:pStyle w:val="4"/>
              <w:snapToGrid w:val="0"/>
              <w:spacing w:line="360" w:lineRule="exact"/>
              <w:ind w:lef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为减免该入河排污口设置带来的不利影响，入河排污口设置/使用过程中应当采取监测、巡查、预警等水生态环境保护措施。你公司应按照《入河入海排污口监督管理技术指南 监测》（HJ 1387-2024）要求开展自行监测，每半年监测一次，监测因子包括流量、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pH值、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化学需氧量、氨氮、总氮、氟化物、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auto"/>
                <w:spacing w:val="0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石油类、总铁、总锰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78F2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noWrap w:val="0"/>
            <w:vAlign w:val="top"/>
          </w:tcPr>
          <w:p w14:paraId="134D5957">
            <w:pPr>
              <w:pStyle w:val="4"/>
              <w:snapToGrid w:val="0"/>
              <w:spacing w:before="0" w:line="360" w:lineRule="exact"/>
              <w:ind w:lef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放射性物质管控措施（仅排放放射性物质的入河排污口需要记载）：</w:t>
            </w:r>
          </w:p>
          <w:p w14:paraId="674961AC">
            <w:pPr>
              <w:widowControl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无</w:t>
            </w:r>
          </w:p>
        </w:tc>
      </w:tr>
      <w:tr w14:paraId="70E2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8946" w:type="dxa"/>
            <w:gridSpan w:val="7"/>
            <w:noWrap w:val="0"/>
            <w:vAlign w:val="top"/>
          </w:tcPr>
          <w:p w14:paraId="7D62ED80">
            <w:pPr>
              <w:widowControl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其他需要注意的事项：</w:t>
            </w:r>
          </w:p>
          <w:p w14:paraId="6475351B">
            <w:pPr>
              <w:pStyle w:val="4"/>
              <w:widowControl/>
              <w:snapToGrid w:val="0"/>
              <w:spacing w:line="360" w:lineRule="exact"/>
              <w:ind w:lef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 w14:paraId="2E8487EB"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加强入河排污口规范化管理，在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排污口处设置标志牌，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并注明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排污口编号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、主要污染物名称、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地理位置及经纬度坐标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等信息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排污口须按规范设置监测点和安装视频监控系统。</w:t>
            </w:r>
          </w:p>
          <w:p w14:paraId="2015DFB0"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bookmarkEnd w:id="0"/>
    </w:tbl>
    <w:p w14:paraId="5B8F2538">
      <w:bookmarkStart w:id="1" w:name="_GoBack"/>
      <w:bookmarkEnd w:id="1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362D"/>
    <w:rsid w:val="08B65C4C"/>
    <w:rsid w:val="0E5A4EC8"/>
    <w:rsid w:val="164C2821"/>
    <w:rsid w:val="198F1B0F"/>
    <w:rsid w:val="34C64772"/>
    <w:rsid w:val="3E08362D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jc w:val="center"/>
    </w:pPr>
    <w:rPr>
      <w:rFonts w:ascii="Calibri" w:hAnsi="Calibri" w:eastAsia="宋体"/>
      <w:b/>
      <w:sz w:val="21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customStyle="1" w:styleId="7">
    <w:name w:val="0cyx第5标题"/>
    <w:basedOn w:val="8"/>
    <w:next w:val="1"/>
    <w:qFormat/>
    <w:uiPriority w:val="0"/>
    <w:pPr>
      <w:outlineLvl w:val="4"/>
    </w:pPr>
    <w:rPr>
      <w:sz w:val="24"/>
      <w:szCs w:val="24"/>
    </w:rPr>
  </w:style>
  <w:style w:type="paragraph" w:customStyle="1" w:styleId="8">
    <w:name w:val="0cyx第2标题"/>
    <w:basedOn w:val="3"/>
    <w:qFormat/>
    <w:uiPriority w:val="0"/>
    <w:pPr>
      <w:widowControl w:val="0"/>
      <w:adjustRightInd w:val="0"/>
      <w:snapToGrid w:val="0"/>
      <w:spacing w:before="0" w:after="0" w:line="360" w:lineRule="auto"/>
      <w:ind w:firstLine="0" w:firstLineChars="0"/>
      <w:jc w:val="left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2026-04-27T10:11:00Z</dcterms:created>
  <dc:creator>WPS</dc:creator>
  <cp:lastModifiedBy>WPS</cp:lastModifiedBy>
  <dcterms:modified xsi:type="dcterms:W3CDTF">2026-04-27T10:11:58Z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2F8EB6F642F04CC5A63537B64CEDA999_11</vt:lpwstr>
  </property>
</Properties>
</file>