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黑体" w:hAnsi="黑体" w:eastAsia="黑体" w:cs="黑体"/>
          <w:b w:val="0"/>
          <w:bCs w:val="0"/>
          <w:i w:val="0"/>
          <w:iCs w:val="0"/>
          <w:color w:val="000000"/>
          <w:kern w:val="0"/>
          <w:sz w:val="32"/>
          <w:szCs w:val="32"/>
          <w:u w:val="none"/>
          <w:lang w:val="en-US" w:eastAsia="zh-CN" w:bidi="ar"/>
        </w:rPr>
      </w:pPr>
      <w:r>
        <w:rPr>
          <w:rFonts w:hint="eastAsia" w:ascii="黑体" w:hAnsi="黑体" w:eastAsia="黑体" w:cs="黑体"/>
          <w:b w:val="0"/>
          <w:bCs w:val="0"/>
          <w:i w:val="0"/>
          <w:iCs w:val="0"/>
          <w:color w:val="000000"/>
          <w:kern w:val="0"/>
          <w:sz w:val="32"/>
          <w:szCs w:val="32"/>
          <w:u w:val="none"/>
          <w:lang w:val="en-US" w:eastAsia="zh-CN" w:bidi="ar"/>
        </w:rPr>
        <w:t>附件1</w:t>
      </w:r>
    </w:p>
    <w:tbl>
      <w:tblPr>
        <w:tblStyle w:val="7"/>
        <w:tblW w:w="1024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97"/>
        <w:gridCol w:w="3"/>
        <w:gridCol w:w="3340"/>
        <w:gridCol w:w="3368"/>
        <w:gridCol w:w="1422"/>
        <w:gridCol w:w="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619" w:hRule="atLeast"/>
          <w:jc w:val="center"/>
        </w:trPr>
        <w:tc>
          <w:tcPr>
            <w:tcW w:w="10230" w:type="dxa"/>
            <w:gridSpan w:val="5"/>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方正小标宋简体" w:hAnsi="方正小标宋简体" w:eastAsia="方正小标宋简体" w:cs="方正小标宋简体"/>
                <w:b w:val="0"/>
                <w:bCs w:val="0"/>
                <w:i w:val="0"/>
                <w:iCs w:val="0"/>
                <w:color w:val="000000"/>
                <w:kern w:val="0"/>
                <w:sz w:val="36"/>
                <w:szCs w:val="36"/>
                <w:u w:val="none"/>
                <w:lang w:val="en-US" w:eastAsia="zh-CN" w:bidi="ar"/>
              </w:rPr>
              <w:t>福建省生态环境行政处罚自由裁量计算表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375" w:hRule="atLeast"/>
          <w:jc w:val="center"/>
        </w:trPr>
        <w:tc>
          <w:tcPr>
            <w:tcW w:w="10230" w:type="dxa"/>
            <w:gridSpan w:val="5"/>
            <w:tcBorders>
              <w:top w:val="nil"/>
              <w:left w:val="nil"/>
              <w:bottom w:val="nil"/>
              <w:right w:val="nil"/>
            </w:tcBorders>
            <w:shd w:val="clear" w:color="auto" w:fill="auto"/>
            <w:vAlign w:val="center"/>
          </w:tcPr>
          <w:p>
            <w:pPr>
              <w:keepNext w:val="0"/>
              <w:keepLines w:val="0"/>
              <w:widowControl/>
              <w:suppressLineNumbers w:val="0"/>
              <w:ind w:left="8152" w:hanging="8152" w:hangingChars="2900"/>
              <w:jc w:val="both"/>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三明市沙县区豆之源食品有限公司-建设项目</w:t>
            </w:r>
            <w:r>
              <w:rPr>
                <w:rFonts w:hint="eastAsia" w:ascii="宋体" w:hAnsi="宋体" w:cs="宋体"/>
                <w:b/>
                <w:bCs/>
                <w:i w:val="0"/>
                <w:iCs w:val="0"/>
                <w:color w:val="000000"/>
                <w:kern w:val="0"/>
                <w:sz w:val="28"/>
                <w:szCs w:val="28"/>
                <w:u w:val="none"/>
                <w:lang w:val="en-US" w:eastAsia="zh-CN" w:bidi="ar"/>
              </w:rPr>
              <w:t>发生</w:t>
            </w:r>
            <w:r>
              <w:rPr>
                <w:rFonts w:hint="eastAsia" w:ascii="宋体" w:hAnsi="宋体" w:eastAsia="宋体" w:cs="宋体"/>
                <w:b/>
                <w:bCs/>
                <w:i w:val="0"/>
                <w:iCs w:val="0"/>
                <w:color w:val="000000"/>
                <w:kern w:val="0"/>
                <w:sz w:val="28"/>
                <w:szCs w:val="28"/>
                <w:u w:val="none"/>
                <w:lang w:val="en-US" w:eastAsia="zh-CN" w:bidi="ar"/>
              </w:rPr>
              <w:t xml:space="preserve">重大变动，未重新报批环评文件       </w:t>
            </w:r>
            <w:r>
              <w:rPr>
                <w:rFonts w:hint="eastAsia" w:ascii="宋体" w:hAnsi="宋体" w:cs="宋体"/>
                <w:b/>
                <w:bCs/>
                <w:i w:val="0"/>
                <w:iCs w:val="0"/>
                <w:color w:val="000000"/>
                <w:kern w:val="0"/>
                <w:sz w:val="28"/>
                <w:szCs w:val="28"/>
                <w:u w:val="none"/>
                <w:lang w:val="en-US" w:eastAsia="zh-CN" w:bidi="ar"/>
              </w:rPr>
              <w:t xml:space="preserve">                </w:t>
            </w:r>
            <w:r>
              <w:rPr>
                <w:rFonts w:hint="eastAsia" w:ascii="宋体" w:hAnsi="宋体" w:eastAsia="宋体" w:cs="宋体"/>
                <w:b/>
                <w:bCs/>
                <w:i w:val="0"/>
                <w:iCs w:val="0"/>
                <w:color w:val="000000"/>
                <w:kern w:val="0"/>
                <w:sz w:val="28"/>
                <w:szCs w:val="28"/>
                <w:u w:val="none"/>
                <w:lang w:val="en-US" w:eastAsia="zh-CN" w:bidi="ar"/>
              </w:rPr>
              <w:t xml:space="preserve">                    </w:t>
            </w:r>
            <w:r>
              <w:rPr>
                <w:rFonts w:hint="eastAsia" w:ascii="宋体" w:hAnsi="宋体" w:cs="宋体"/>
                <w:b/>
                <w:bCs/>
                <w:i w:val="0"/>
                <w:iCs w:val="0"/>
                <w:color w:val="000000"/>
                <w:kern w:val="0"/>
                <w:sz w:val="28"/>
                <w:szCs w:val="28"/>
                <w:u w:val="none"/>
                <w:lang w:val="en-US" w:eastAsia="zh-CN" w:bidi="ar"/>
              </w:rPr>
              <w:t xml:space="preserve"> </w:t>
            </w:r>
            <w:r>
              <w:rPr>
                <w:rFonts w:hint="eastAsia" w:ascii="宋体" w:hAnsi="宋体" w:eastAsia="宋体" w:cs="宋体"/>
                <w:b/>
                <w:bCs/>
                <w:i w:val="0"/>
                <w:iCs w:val="0"/>
                <w:color w:val="000000"/>
                <w:kern w:val="0"/>
                <w:sz w:val="28"/>
                <w:szCs w:val="28"/>
                <w:u w:val="none"/>
                <w:lang w:val="en-US" w:eastAsia="zh-CN" w:bidi="ar"/>
              </w:rPr>
              <w:t xml:space="preserve">（单位：万元）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3" w:type="dxa"/>
          <w:trHeight w:val="639" w:hRule="atLeast"/>
          <w:jc w:val="center"/>
        </w:trPr>
        <w:tc>
          <w:tcPr>
            <w:tcW w:w="2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法律责任</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法律名称和条款</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法定处罚上限：M</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898" w:hRule="atLeast"/>
          <w:jc w:val="center"/>
        </w:trPr>
        <w:tc>
          <w:tcPr>
            <w:tcW w:w="2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《中华人民共和国环境影响评价法》第三十一条第一款</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法定处罚下限：N</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3" w:type="dxa"/>
          <w:trHeight w:val="507" w:hRule="atLeast"/>
          <w:jc w:val="center"/>
        </w:trPr>
        <w:tc>
          <w:tcPr>
            <w:tcW w:w="10230" w:type="dxa"/>
            <w:gridSpan w:val="5"/>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违法行为共性裁量基准表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3" w:type="dxa"/>
          <w:trHeight w:val="75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裁量因素</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调查情况</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证据</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裁量取值（1～5）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703"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违法行为后果</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违法行为后果小</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134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违法行为持续时间</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6个月以上，不足12个月</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1"/>
              </w:numPr>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3.询问笔录</w:t>
            </w:r>
          </w:p>
          <w:p>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4.情况说明</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99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违法行为发生地</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在生态保护红线区域外</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1.三明市沙县区豆之源食品有限公司豆制品生产加工项目环境影响报告表</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823"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环境违法次数（两年内，含本次）</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2次</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1.福建省环境监察执法系统案件台账</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813"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对周边居民、单位等的影响</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未发现对周边生产经营、生活造成不良影响</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582" w:hRule="atLeast"/>
          <w:jc w:val="center"/>
        </w:trPr>
        <w:tc>
          <w:tcPr>
            <w:tcW w:w="102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违法行为个性裁量基准表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75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裁量因素</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调查情况</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证据</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裁量取值（1～5）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1046"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违法事实</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主体工程已建成并投入生产使用</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3.询问笔录</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1035"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项目建设地点</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符合环境功能区划</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1.三明市沙县区豆之源食品有限公司豆制品生产加工项目环境影响报告表</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799"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项目应报批的环评文件类型</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报告表</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1.三明市沙县区豆之源食品有限公司豆制品生产加工项目环境影响报告表</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530" w:hRule="atLeast"/>
          <w:jc w:val="center"/>
        </w:trPr>
        <w:tc>
          <w:tcPr>
            <w:tcW w:w="102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违法行为修正裁量基准表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116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裁量因素</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调查情况</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证据</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裁量取值（-2～2）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3" w:type="dxa"/>
          <w:trHeight w:val="75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对违法行为的改正态度</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在期限内改正</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3.情况说明</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9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补救措施</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未采取补救措施，环境影响未扩大</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p>
          <w:p>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lang w:val="en-US" w:eastAsia="zh-CN" w:bidi="ar"/>
              </w:rPr>
              <w:t>3</w:t>
            </w:r>
            <w:r>
              <w:rPr>
                <w:rFonts w:hint="eastAsia" w:ascii="宋体" w:hAnsi="宋体" w:eastAsia="宋体" w:cs="宋体"/>
                <w:i w:val="0"/>
                <w:iCs w:val="0"/>
                <w:color w:val="000000"/>
                <w:kern w:val="0"/>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询问笔录</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519"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配合调查情况</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配合调查</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1.询问笔录</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3" w:type="dxa"/>
          <w:trHeight w:val="1117"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主观过错程度</w:t>
            </w:r>
          </w:p>
        </w:tc>
        <w:tc>
          <w:tcPr>
            <w:tcW w:w="33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故意</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3.询问笔录</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640" w:hRule="atLeast"/>
          <w:jc w:val="center"/>
        </w:trPr>
        <w:tc>
          <w:tcPr>
            <w:tcW w:w="88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共性、个性裁量表均值(除“违法行为后果”外)：</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1.86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3" w:type="dxa"/>
          <w:trHeight w:val="750" w:hRule="atLeast"/>
          <w:jc w:val="center"/>
        </w:trPr>
        <w:tc>
          <w:tcPr>
            <w:tcW w:w="88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裁量系数A</w:t>
            </w:r>
            <w:r>
              <w:rPr>
                <w:rFonts w:hint="eastAsia" w:ascii="宋体" w:hAnsi="宋体" w:eastAsia="宋体" w:cs="宋体"/>
                <w:i w:val="0"/>
                <w:iCs w:val="0"/>
                <w:color w:val="000000"/>
                <w:kern w:val="0"/>
                <w:sz w:val="24"/>
                <w:szCs w:val="24"/>
                <w:u w:val="none"/>
                <w:lang w:val="en-US" w:eastAsia="zh-CN" w:bidi="ar"/>
              </w:rPr>
              <w:t>=50%×“违法行为后果”裁量等级数值+50%×其他裁量等级数值的平均数</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1.43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639" w:hRule="atLeast"/>
          <w:jc w:val="center"/>
        </w:trPr>
        <w:tc>
          <w:tcPr>
            <w:tcW w:w="88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修正裁量表取值个数：</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600" w:hRule="atLeast"/>
          <w:jc w:val="center"/>
        </w:trPr>
        <w:tc>
          <w:tcPr>
            <w:tcW w:w="88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修正裁量表取值总和：</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636" w:hRule="atLeast"/>
          <w:jc w:val="center"/>
        </w:trPr>
        <w:tc>
          <w:tcPr>
            <w:tcW w:w="88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裁量系数B</w:t>
            </w:r>
            <w:r>
              <w:rPr>
                <w:rFonts w:hint="eastAsia" w:ascii="宋体" w:hAnsi="宋体" w:eastAsia="宋体" w:cs="宋体"/>
                <w:i w:val="0"/>
                <w:iCs w:val="0"/>
                <w:color w:val="000000"/>
                <w:kern w:val="0"/>
                <w:sz w:val="24"/>
                <w:szCs w:val="24"/>
                <w:u w:val="none"/>
                <w:lang w:val="en-US" w:eastAsia="zh-CN" w:bidi="ar"/>
              </w:rPr>
              <w:t>=［修正因子数值之和/（修正因子个数×2）］×10%×修正因子个数</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-0.05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616" w:hRule="atLeast"/>
          <w:jc w:val="center"/>
        </w:trPr>
        <w:tc>
          <w:tcPr>
            <w:tcW w:w="88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罚款金额　X=N+（M-N）×[（A-1）/4]×（1+B）</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 xml:space="preserve">1.13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3" w:type="dxa"/>
          <w:trHeight w:val="1120" w:hRule="atLeast"/>
          <w:jc w:val="center"/>
        </w:trPr>
        <w:tc>
          <w:tcPr>
            <w:tcW w:w="10230" w:type="dxa"/>
            <w:gridSpan w:val="5"/>
            <w:tcBorders>
              <w:top w:val="nil"/>
              <w:left w:val="nil"/>
              <w:bottom w:val="nil"/>
              <w:right w:val="nil"/>
            </w:tcBorders>
            <w:shd w:val="clear" w:color="auto" w:fill="auto"/>
            <w:vAlign w:val="center"/>
          </w:tcPr>
          <w:p>
            <w:pPr>
              <w:keepNext w:val="0"/>
              <w:keepLines w:val="0"/>
              <w:widowControl/>
              <w:numPr>
                <w:ilvl w:val="0"/>
                <w:numId w:val="0"/>
              </w:numPr>
              <w:suppressLineNumbers w:val="0"/>
              <w:ind w:leftChars="0"/>
              <w:jc w:val="left"/>
              <w:textAlignment w:val="center"/>
              <w:rPr>
                <w:rFonts w:hint="eastAsia" w:ascii="宋体" w:hAnsi="宋体" w:cs="宋体"/>
                <w:b/>
                <w:bCs/>
                <w:i w:val="0"/>
                <w:iCs w:val="0"/>
                <w:color w:val="000000"/>
                <w:kern w:val="0"/>
                <w:sz w:val="28"/>
                <w:szCs w:val="28"/>
                <w:u w:val="none"/>
                <w:lang w:val="en-US" w:eastAsia="zh-CN" w:bidi="ar"/>
              </w:rPr>
            </w:pPr>
            <w:r>
              <w:rPr>
                <w:rFonts w:hint="eastAsia" w:ascii="宋体" w:hAnsi="宋体" w:cs="宋体"/>
                <w:b/>
                <w:bCs/>
                <w:i w:val="0"/>
                <w:iCs w:val="0"/>
                <w:color w:val="000000"/>
                <w:kern w:val="0"/>
                <w:sz w:val="28"/>
                <w:szCs w:val="28"/>
                <w:u w:val="none"/>
                <w:lang w:val="en-US" w:eastAsia="zh-CN" w:bidi="ar"/>
              </w:rPr>
              <w:t>你</w:t>
            </w:r>
            <w:r>
              <w:rPr>
                <w:rFonts w:hint="eastAsia" w:ascii="宋体" w:hAnsi="宋体" w:eastAsia="宋体" w:cs="宋体"/>
                <w:b/>
                <w:bCs/>
                <w:i w:val="0"/>
                <w:iCs w:val="0"/>
                <w:color w:val="000000"/>
                <w:kern w:val="0"/>
                <w:sz w:val="28"/>
                <w:szCs w:val="28"/>
                <w:u w:val="none"/>
                <w:lang w:val="en-US" w:eastAsia="zh-CN" w:bidi="ar"/>
              </w:rPr>
              <w:t>公司新建项目总投资额为80万元，按法定处罚幅度标准</w:t>
            </w:r>
            <w:r>
              <w:rPr>
                <w:rFonts w:hint="eastAsia" w:ascii="宋体" w:hAnsi="宋体" w:cs="宋体"/>
                <w:b/>
                <w:bCs/>
                <w:i w:val="0"/>
                <w:iCs w:val="0"/>
                <w:color w:val="000000"/>
                <w:kern w:val="0"/>
                <w:sz w:val="28"/>
                <w:szCs w:val="28"/>
                <w:u w:val="none"/>
                <w:lang w:val="en-US" w:eastAsia="zh-CN" w:bidi="ar"/>
              </w:rPr>
              <w:t>，</w:t>
            </w:r>
            <w:r>
              <w:rPr>
                <w:rFonts w:hint="eastAsia" w:ascii="宋体" w:hAnsi="宋体" w:eastAsia="宋体" w:cs="宋体"/>
                <w:b/>
                <w:bCs/>
                <w:i w:val="0"/>
                <w:iCs w:val="0"/>
                <w:color w:val="000000"/>
                <w:kern w:val="0"/>
                <w:sz w:val="28"/>
                <w:szCs w:val="28"/>
                <w:u w:val="none"/>
                <w:lang w:val="en-US" w:eastAsia="zh-CN" w:bidi="ar"/>
              </w:rPr>
              <w:t>百分之一为0.8万元，百分之五为4万元，分别作为法定处罚下限和法定处罚上限。针对你公司</w:t>
            </w:r>
            <w:r>
              <w:rPr>
                <w:rFonts w:hint="eastAsia" w:ascii="宋体" w:hAnsi="宋体" w:cs="宋体"/>
                <w:b/>
                <w:bCs/>
                <w:i w:val="0"/>
                <w:iCs w:val="0"/>
                <w:color w:val="000000"/>
                <w:kern w:val="0"/>
                <w:sz w:val="28"/>
                <w:szCs w:val="28"/>
                <w:u w:val="none"/>
                <w:lang w:val="en-US" w:eastAsia="zh-CN" w:bidi="ar"/>
              </w:rPr>
              <w:t>未批先建</w:t>
            </w:r>
            <w:r>
              <w:rPr>
                <w:rFonts w:hint="eastAsia" w:ascii="宋体" w:hAnsi="宋体" w:eastAsia="宋体" w:cs="宋体"/>
                <w:b/>
                <w:bCs/>
                <w:i w:val="0"/>
                <w:iCs w:val="0"/>
                <w:color w:val="000000"/>
                <w:kern w:val="0"/>
                <w:sz w:val="28"/>
                <w:szCs w:val="28"/>
                <w:u w:val="none"/>
                <w:lang w:val="en-US" w:eastAsia="zh-CN" w:bidi="ar"/>
              </w:rPr>
              <w:t>的环境违法行为，裁量处罚款人民币壹万壹仟元整（¥11000.00）</w:t>
            </w:r>
            <w:r>
              <w:rPr>
                <w:rFonts w:hint="eastAsia" w:ascii="宋体" w:hAnsi="宋体" w:cs="宋体"/>
                <w:b/>
                <w:bCs/>
                <w:i w:val="0"/>
                <w:iCs w:val="0"/>
                <w:color w:val="000000"/>
                <w:kern w:val="0"/>
                <w:sz w:val="28"/>
                <w:szCs w:val="28"/>
                <w:u w:val="none"/>
                <w:lang w:val="en-US" w:eastAsia="zh-CN" w:bidi="ar"/>
              </w:rPr>
              <w:t>。</w:t>
            </w:r>
          </w:p>
          <w:p>
            <w:pPr>
              <w:pStyle w:val="2"/>
              <w:rPr>
                <w:rFonts w:hint="eastAsia" w:ascii="宋体" w:hAnsi="宋体" w:cs="宋体"/>
                <w:b/>
                <w:bCs/>
                <w:i w:val="0"/>
                <w:iCs w:val="0"/>
                <w:color w:val="000000"/>
                <w:kern w:val="0"/>
                <w:sz w:val="28"/>
                <w:szCs w:val="28"/>
                <w:u w:val="none"/>
                <w:lang w:val="en-US" w:eastAsia="zh-CN" w:bidi="ar"/>
              </w:rPr>
            </w:pPr>
          </w:p>
          <w:p>
            <w:pPr>
              <w:pStyle w:val="3"/>
              <w:rPr>
                <w:rFonts w:hint="eastAsia" w:ascii="宋体" w:hAnsi="宋体" w:cs="宋体"/>
                <w:b/>
                <w:bCs/>
                <w:i w:val="0"/>
                <w:iCs w:val="0"/>
                <w:color w:val="000000"/>
                <w:kern w:val="0"/>
                <w:sz w:val="28"/>
                <w:szCs w:val="28"/>
                <w:u w:val="none"/>
                <w:lang w:val="en-US" w:eastAsia="zh-CN" w:bidi="ar"/>
              </w:rPr>
            </w:pPr>
          </w:p>
          <w:p>
            <w:pPr>
              <w:pStyle w:val="3"/>
              <w:rPr>
                <w:rFonts w:hint="eastAsia" w:ascii="宋体" w:hAnsi="宋体" w:cs="宋体"/>
                <w:b/>
                <w:bCs/>
                <w:i w:val="0"/>
                <w:iCs w:val="0"/>
                <w:color w:val="000000"/>
                <w:kern w:val="0"/>
                <w:sz w:val="28"/>
                <w:szCs w:val="28"/>
                <w:u w:val="none"/>
                <w:lang w:val="en-US" w:eastAsia="zh-CN" w:bidi="ar"/>
              </w:rPr>
            </w:pPr>
          </w:p>
          <w:p>
            <w:pPr>
              <w:pStyle w:val="3"/>
              <w:rPr>
                <w:rFonts w:hint="eastAsia" w:ascii="宋体" w:hAnsi="宋体" w:cs="宋体"/>
                <w:b/>
                <w:bCs/>
                <w:i w:val="0"/>
                <w:iCs w:val="0"/>
                <w:color w:val="000000"/>
                <w:kern w:val="0"/>
                <w:sz w:val="28"/>
                <w:szCs w:val="28"/>
                <w:u w:val="none"/>
                <w:lang w:val="en-US" w:eastAsia="zh-CN" w:bidi="ar"/>
              </w:rPr>
            </w:pPr>
          </w:p>
          <w:p>
            <w:pPr>
              <w:pStyle w:val="3"/>
              <w:rPr>
                <w:rFonts w:hint="eastAsia" w:ascii="宋体" w:hAnsi="宋体" w:cs="宋体"/>
                <w:b/>
                <w:bCs/>
                <w:i w:val="0"/>
                <w:iCs w:val="0"/>
                <w:color w:val="000000"/>
                <w:kern w:val="0"/>
                <w:sz w:val="28"/>
                <w:szCs w:val="28"/>
                <w:u w:val="none"/>
                <w:lang w:val="en-US" w:eastAsia="zh-CN" w:bidi="ar"/>
              </w:rPr>
            </w:pPr>
          </w:p>
          <w:p>
            <w:pPr>
              <w:pStyle w:val="3"/>
              <w:rPr>
                <w:rFonts w:hint="eastAsia" w:ascii="宋体" w:hAnsi="宋体" w:cs="宋体"/>
                <w:b/>
                <w:bCs/>
                <w:i w:val="0"/>
                <w:iCs w:val="0"/>
                <w:color w:val="000000"/>
                <w:kern w:val="0"/>
                <w:sz w:val="28"/>
                <w:szCs w:val="28"/>
                <w:u w:val="none"/>
                <w:lang w:val="en-US" w:eastAsia="zh-CN" w:bidi="ar"/>
              </w:rPr>
            </w:pPr>
          </w:p>
          <w:p>
            <w:pPr>
              <w:pStyle w:val="3"/>
              <w:rPr>
                <w:rFonts w:hint="eastAsia" w:ascii="宋体" w:hAnsi="宋体" w:cs="宋体"/>
                <w:b/>
                <w:bCs/>
                <w:i w:val="0"/>
                <w:iCs w:val="0"/>
                <w:color w:val="000000"/>
                <w:kern w:val="0"/>
                <w:sz w:val="28"/>
                <w:szCs w:val="28"/>
                <w:u w:val="none"/>
                <w:lang w:val="en-US" w:eastAsia="zh-CN" w:bidi="ar"/>
              </w:rPr>
            </w:pPr>
          </w:p>
          <w:p>
            <w:pPr>
              <w:pStyle w:val="3"/>
              <w:rPr>
                <w:rFonts w:hint="default" w:ascii="宋体" w:hAnsi="宋体" w:cs="宋体"/>
                <w:b/>
                <w:bCs/>
                <w:i w:val="0"/>
                <w:iCs w:val="0"/>
                <w:color w:val="000000"/>
                <w:kern w:val="0"/>
                <w:sz w:val="28"/>
                <w:szCs w:val="2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jc w:val="center"/>
        </w:trPr>
        <w:tc>
          <w:tcPr>
            <w:tcW w:w="10243" w:type="dxa"/>
            <w:gridSpan w:val="6"/>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方正小标宋简体" w:hAnsi="方正小标宋简体" w:eastAsia="方正小标宋简体" w:cs="方正小标宋简体"/>
                <w:b w:val="0"/>
                <w:bCs w:val="0"/>
                <w:i w:val="0"/>
                <w:iCs w:val="0"/>
                <w:color w:val="000000"/>
                <w:kern w:val="0"/>
                <w:sz w:val="36"/>
                <w:szCs w:val="36"/>
                <w:u w:val="none"/>
                <w:lang w:val="en-US" w:eastAsia="zh-CN" w:bidi="ar"/>
              </w:rPr>
              <w:t>福建省生态环境行政处罚自由裁量计算表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10243" w:type="dxa"/>
            <w:gridSpan w:val="6"/>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 xml:space="preserve">三明市沙县区豆之源食品有限公司-环境保护设施未验收，建设项目即投入生产             </w:t>
            </w:r>
            <w:r>
              <w:rPr>
                <w:rFonts w:hint="eastAsia" w:ascii="宋体" w:hAnsi="宋体" w:cs="宋体"/>
                <w:b/>
                <w:bCs/>
                <w:i w:val="0"/>
                <w:iCs w:val="0"/>
                <w:color w:val="000000"/>
                <w:kern w:val="0"/>
                <w:sz w:val="28"/>
                <w:szCs w:val="28"/>
                <w:u w:val="none"/>
                <w:lang w:val="en-US" w:eastAsia="zh-CN" w:bidi="ar"/>
              </w:rPr>
              <w:t xml:space="preserve"> </w:t>
            </w:r>
            <w:r>
              <w:rPr>
                <w:rFonts w:hint="eastAsia" w:ascii="宋体" w:hAnsi="宋体" w:eastAsia="宋体" w:cs="宋体"/>
                <w:b/>
                <w:bCs/>
                <w:i w:val="0"/>
                <w:iCs w:val="0"/>
                <w:color w:val="000000"/>
                <w:kern w:val="0"/>
                <w:sz w:val="28"/>
                <w:szCs w:val="28"/>
                <w:u w:val="none"/>
                <w:lang w:val="en-US" w:eastAsia="zh-CN" w:bidi="ar"/>
              </w:rPr>
              <w:t xml:space="preserve">（单位：万元）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 w:hRule="atLeast"/>
          <w:jc w:val="center"/>
        </w:trPr>
        <w:tc>
          <w:tcPr>
            <w:tcW w:w="21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法律责任</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法律名称和条款</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法定处罚上限：M</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21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《建设项目环境保护管理条例》第二十三条第一款</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法定处罚下限：N</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jc w:val="center"/>
        </w:trPr>
        <w:tc>
          <w:tcPr>
            <w:tcW w:w="10243" w:type="dxa"/>
            <w:gridSpan w:val="6"/>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违法行为共性裁量基准表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裁量因素</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调查情况</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证据</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裁量取值（1～5）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违法行为后果</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违法行为后果小</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违法行为持续时间</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6个月以上，不足12个月</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3.询问笔录</w:t>
            </w:r>
          </w:p>
          <w:p>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4.情况说明</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违法行为发生地</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在生态保护红线区域外</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1.三明市沙县区豆之源食品有限公司豆制品生产加工项目环境影响报告表</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4"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环境违法次数（两年内，含本次）</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2次</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1.福建省环境监察执法系统案件台账</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对周边居民、单位等的影响</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未发现对周边生产经营、生活造成不良影响</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jc w:val="center"/>
        </w:trPr>
        <w:tc>
          <w:tcPr>
            <w:tcW w:w="1024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违法行为个性裁量基准表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裁量因素</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调查情况</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证据</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裁量取值（1～5）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违法事实</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污染防治设施未经验收，主体工程投入生产或者使用的</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3.询问笔录</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项目应报批的环评文件类型</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报告表</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1.三明市沙县区豆之源食品有限公司豆制品生产加工项目环境影响报告表</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9"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项目建设地点</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符合环境功能区划</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1.三明市沙县区豆之源食品有限公司豆制品生产加工项目环境影响报告表</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2"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违法行为改正时间</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限期内改正或逾期3个月之内改正</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3.询问笔录</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24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违法行为修正裁量基准表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裁量因素</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调查情况</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证据</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裁量取值（-2～2）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对违法行为的改正态度</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在期限内改正</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3.情况说明</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补救措施</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未采取补救措施，环境影响未扩大</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p>
          <w:p>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lang w:val="en-US" w:eastAsia="zh-CN" w:bidi="ar"/>
              </w:rPr>
              <w:t>3</w:t>
            </w:r>
            <w:r>
              <w:rPr>
                <w:rFonts w:hint="eastAsia" w:ascii="宋体" w:hAnsi="宋体" w:eastAsia="宋体" w:cs="宋体"/>
                <w:i w:val="0"/>
                <w:iCs w:val="0"/>
                <w:color w:val="000000"/>
                <w:kern w:val="0"/>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询问笔录</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配合调查情况</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配合调查</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1.询问笔录</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5" w:hRule="atLeast"/>
          <w:jc w:val="center"/>
        </w:trPr>
        <w:tc>
          <w:tcPr>
            <w:tcW w:w="21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主观过错程度</w:t>
            </w:r>
          </w:p>
        </w:tc>
        <w:tc>
          <w:tcPr>
            <w:tcW w:w="3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故意</w:t>
            </w: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3.询问笔录</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88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共性、个性裁量表均值(除“违法行为后果”外)：</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1.50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jc w:val="center"/>
        </w:trPr>
        <w:tc>
          <w:tcPr>
            <w:tcW w:w="88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裁量系数A</w:t>
            </w:r>
            <w:r>
              <w:rPr>
                <w:rFonts w:hint="eastAsia" w:ascii="宋体" w:hAnsi="宋体" w:eastAsia="宋体" w:cs="宋体"/>
                <w:i w:val="0"/>
                <w:iCs w:val="0"/>
                <w:color w:val="000000"/>
                <w:kern w:val="0"/>
                <w:sz w:val="24"/>
                <w:szCs w:val="24"/>
                <w:u w:val="none"/>
                <w:lang w:val="en-US" w:eastAsia="zh-CN" w:bidi="ar"/>
              </w:rPr>
              <w:t>=50%×“违法行为后果”裁量等级数值+50%×其他裁量等级数值的平均数</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88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修正裁量表取值个数：</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88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修正裁量表取值总和：</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88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裁量系数B</w:t>
            </w:r>
            <w:r>
              <w:rPr>
                <w:rFonts w:hint="eastAsia" w:ascii="宋体" w:hAnsi="宋体" w:eastAsia="宋体" w:cs="宋体"/>
                <w:i w:val="0"/>
                <w:iCs w:val="0"/>
                <w:color w:val="000000"/>
                <w:kern w:val="0"/>
                <w:sz w:val="24"/>
                <w:szCs w:val="24"/>
                <w:u w:val="none"/>
                <w:lang w:val="en-US" w:eastAsia="zh-CN" w:bidi="ar"/>
              </w:rPr>
              <w:t>=［修正因子数值之和/（修正因子个数×2）］×10%×修正因子个数</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-0.05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88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罚款金额　X=N+（M-N）×[（A-1）/4]×（1+B）</w:t>
            </w:r>
          </w:p>
        </w:tc>
        <w:tc>
          <w:tcPr>
            <w:tcW w:w="1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 xml:space="preserve">24.75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9" w:hRule="atLeast"/>
          <w:jc w:val="center"/>
        </w:trPr>
        <w:tc>
          <w:tcPr>
            <w:tcW w:w="10243" w:type="dxa"/>
            <w:gridSpan w:val="6"/>
            <w:tcBorders>
              <w:top w:val="nil"/>
              <w:left w:val="nil"/>
              <w:bottom w:val="nil"/>
              <w:right w:val="nil"/>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cs="宋体"/>
                <w:b/>
                <w:bCs/>
                <w:i w:val="0"/>
                <w:iCs w:val="0"/>
                <w:color w:val="000000"/>
                <w:kern w:val="0"/>
                <w:sz w:val="28"/>
                <w:szCs w:val="28"/>
                <w:u w:val="none"/>
                <w:lang w:val="en-US" w:eastAsia="zh-CN" w:bidi="ar"/>
              </w:rPr>
              <w:t>针对</w:t>
            </w:r>
            <w:r>
              <w:rPr>
                <w:rFonts w:hint="eastAsia" w:ascii="宋体" w:hAnsi="宋体" w:eastAsia="宋体" w:cs="宋体"/>
                <w:b/>
                <w:bCs/>
                <w:i w:val="0"/>
                <w:iCs w:val="0"/>
                <w:color w:val="000000"/>
                <w:kern w:val="0"/>
                <w:sz w:val="28"/>
                <w:szCs w:val="28"/>
                <w:u w:val="none"/>
                <w:lang w:val="en-US" w:eastAsia="zh-CN" w:bidi="ar"/>
              </w:rPr>
              <w:t>你公司未验已投的环境违法行为，原拟罚款金额24.75万元。鉴于你公司履行</w:t>
            </w:r>
            <w:r>
              <w:rPr>
                <w:rFonts w:hint="eastAsia" w:ascii="宋体" w:hAnsi="宋体" w:cs="宋体"/>
                <w:b/>
                <w:bCs/>
                <w:i w:val="0"/>
                <w:iCs w:val="0"/>
                <w:color w:val="000000"/>
                <w:kern w:val="0"/>
                <w:sz w:val="28"/>
                <w:szCs w:val="28"/>
                <w:u w:val="none"/>
                <w:lang w:val="en-US" w:eastAsia="zh-CN" w:bidi="ar"/>
              </w:rPr>
              <w:t>了</w:t>
            </w:r>
            <w:r>
              <w:rPr>
                <w:rFonts w:hint="eastAsia" w:ascii="宋体" w:hAnsi="宋体" w:eastAsia="宋体" w:cs="宋体"/>
                <w:b/>
                <w:bCs/>
                <w:i w:val="0"/>
                <w:iCs w:val="0"/>
                <w:color w:val="000000"/>
                <w:kern w:val="0"/>
                <w:sz w:val="28"/>
                <w:szCs w:val="28"/>
                <w:u w:val="none"/>
                <w:lang w:val="en-US" w:eastAsia="zh-CN" w:bidi="ar"/>
              </w:rPr>
              <w:t>生态环境损害赔偿义务，符合从轻处罚情形，本机关决定对你公司未验已投的环境违法行为减处罚款2.6026万元，处罚款人民币贰拾贰万壹仟元整（¥221000.00）</w:t>
            </w:r>
            <w:r>
              <w:rPr>
                <w:rFonts w:hint="eastAsia" w:ascii="宋体" w:hAnsi="宋体" w:cs="宋体"/>
                <w:b/>
                <w:bCs/>
                <w:i w:val="0"/>
                <w:iCs w:val="0"/>
                <w:color w:val="000000"/>
                <w:kern w:val="0"/>
                <w:sz w:val="28"/>
                <w:szCs w:val="28"/>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你公司同时存在未批先建、未验已投两项环境违法行为，本</w:t>
            </w:r>
            <w:r>
              <w:rPr>
                <w:rFonts w:hint="eastAsia" w:ascii="宋体" w:hAnsi="宋体" w:cs="宋体"/>
                <w:b/>
                <w:bCs/>
                <w:i w:val="0"/>
                <w:iCs w:val="0"/>
                <w:color w:val="000000"/>
                <w:kern w:val="0"/>
                <w:sz w:val="28"/>
                <w:szCs w:val="28"/>
                <w:u w:val="none"/>
                <w:lang w:val="en-US" w:eastAsia="zh-CN" w:bidi="ar"/>
              </w:rPr>
              <w:t>机关</w:t>
            </w:r>
            <w:r>
              <w:rPr>
                <w:rFonts w:hint="eastAsia" w:ascii="宋体" w:hAnsi="宋体" w:eastAsia="宋体" w:cs="宋体"/>
                <w:b/>
                <w:bCs/>
                <w:i w:val="0"/>
                <w:iCs w:val="0"/>
                <w:color w:val="000000"/>
                <w:kern w:val="0"/>
                <w:sz w:val="28"/>
                <w:szCs w:val="28"/>
                <w:u w:val="none"/>
                <w:lang w:val="en-US" w:eastAsia="zh-CN" w:bidi="ar"/>
              </w:rPr>
              <w:t>对其分别裁量、合并处罚。经分项裁量核算后，共计处罚款人民币贰拾叁万贰仟元整（¥232000.00）。</w:t>
            </w:r>
          </w:p>
        </w:tc>
      </w:tr>
    </w:tbl>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kern w:val="0"/>
          <w:sz w:val="30"/>
          <w:szCs w:val="30"/>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1531" w:right="1531" w:bottom="1531" w:left="1531" w:header="851" w:footer="772" w:gutter="0"/>
      <w:pgBorders>
        <w:top w:val="none" w:sz="0" w:space="0"/>
        <w:left w:val="none" w:sz="0" w:space="0"/>
        <w:bottom w:val="none" w:sz="0" w:space="0"/>
        <w:right w:val="none" w:sz="0" w:space="0"/>
      </w:pgBorders>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serif">
    <w:altName w:val="微软雅黑"/>
    <w:panose1 w:val="00000000000000000000"/>
    <w:charset w:val="00"/>
    <w:family w:val="auto"/>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大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210" w:leftChars="100" w:right="210" w:rightChars="10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ind w:left="210" w:leftChars="100" w:right="210" w:rightChars="100"/>
                            <w:rPr>
                              <w:rFonts w:hint="eastAsia" w:ascii="仿宋_GB2312" w:hAnsi="仿宋_GB2312" w:eastAsia="仿宋_GB2312" w:cs="仿宋_GB2312"/>
                              <w:sz w:val="28"/>
                              <w:szCs w:val="28"/>
                            </w:rPr>
                          </w:pPr>
                          <w:r>
                            <w:rPr>
                              <w:rStyle w:val="10"/>
                              <w:rFonts w:hint="eastAsia" w:ascii="仿宋_GB2312" w:hAnsi="仿宋_GB2312" w:eastAsia="仿宋_GB2312" w:cs="仿宋_GB2312"/>
                              <w:sz w:val="28"/>
                              <w:szCs w:val="28"/>
                            </w:rPr>
                            <w:t xml:space="preserve">— </w:t>
                          </w:r>
                          <w:r>
                            <w:rPr>
                              <w:rStyle w:val="10"/>
                              <w:rFonts w:hint="eastAsia" w:ascii="仿宋_GB2312" w:hAnsi="仿宋_GB2312" w:eastAsia="仿宋_GB2312" w:cs="仿宋_GB2312"/>
                              <w:sz w:val="28"/>
                              <w:szCs w:val="28"/>
                            </w:rPr>
                            <w:fldChar w:fldCharType="begin"/>
                          </w:r>
                          <w:r>
                            <w:rPr>
                              <w:rStyle w:val="10"/>
                              <w:rFonts w:hint="eastAsia" w:ascii="仿宋_GB2312" w:hAnsi="仿宋_GB2312" w:eastAsia="仿宋_GB2312" w:cs="仿宋_GB2312"/>
                              <w:sz w:val="28"/>
                              <w:szCs w:val="28"/>
                            </w:rPr>
                            <w:instrText xml:space="preserve">PAGE  </w:instrText>
                          </w:r>
                          <w:r>
                            <w:rPr>
                              <w:rStyle w:val="10"/>
                              <w:rFonts w:hint="eastAsia" w:ascii="仿宋_GB2312" w:hAnsi="仿宋_GB2312" w:eastAsia="仿宋_GB2312" w:cs="仿宋_GB2312"/>
                              <w:sz w:val="28"/>
                              <w:szCs w:val="28"/>
                            </w:rPr>
                            <w:fldChar w:fldCharType="separate"/>
                          </w:r>
                          <w:r>
                            <w:rPr>
                              <w:rStyle w:val="10"/>
                              <w:rFonts w:hint="eastAsia" w:ascii="仿宋_GB2312" w:hAnsi="仿宋_GB2312" w:eastAsia="仿宋_GB2312" w:cs="仿宋_GB2312"/>
                              <w:sz w:val="28"/>
                              <w:szCs w:val="28"/>
                            </w:rPr>
                            <w:t>1</w:t>
                          </w:r>
                          <w:r>
                            <w:rPr>
                              <w:rStyle w:val="10"/>
                              <w:rFonts w:hint="eastAsia" w:ascii="仿宋_GB2312" w:hAnsi="仿宋_GB2312" w:eastAsia="仿宋_GB2312" w:cs="仿宋_GB2312"/>
                              <w:sz w:val="28"/>
                              <w:szCs w:val="28"/>
                            </w:rPr>
                            <w:fldChar w:fldCharType="end"/>
                          </w:r>
                          <w:r>
                            <w:rPr>
                              <w:rStyle w:val="10"/>
                              <w:rFonts w:hint="eastAsia" w:ascii="仿宋_GB2312" w:hAnsi="仿宋_GB2312" w:eastAsia="仿宋_GB2312" w:cs="仿宋_GB2312"/>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3"/>
                      <w:ind w:left="210" w:leftChars="100" w:right="210" w:rightChars="100"/>
                      <w:rPr>
                        <w:rFonts w:hint="eastAsia" w:ascii="仿宋_GB2312" w:hAnsi="仿宋_GB2312" w:eastAsia="仿宋_GB2312" w:cs="仿宋_GB2312"/>
                        <w:sz w:val="28"/>
                        <w:szCs w:val="28"/>
                      </w:rPr>
                    </w:pPr>
                    <w:r>
                      <w:rPr>
                        <w:rStyle w:val="10"/>
                        <w:rFonts w:hint="eastAsia" w:ascii="仿宋_GB2312" w:hAnsi="仿宋_GB2312" w:eastAsia="仿宋_GB2312" w:cs="仿宋_GB2312"/>
                        <w:sz w:val="28"/>
                        <w:szCs w:val="28"/>
                      </w:rPr>
                      <w:t xml:space="preserve">— </w:t>
                    </w:r>
                    <w:r>
                      <w:rPr>
                        <w:rStyle w:val="10"/>
                        <w:rFonts w:hint="eastAsia" w:ascii="仿宋_GB2312" w:hAnsi="仿宋_GB2312" w:eastAsia="仿宋_GB2312" w:cs="仿宋_GB2312"/>
                        <w:sz w:val="28"/>
                        <w:szCs w:val="28"/>
                      </w:rPr>
                      <w:fldChar w:fldCharType="begin"/>
                    </w:r>
                    <w:r>
                      <w:rPr>
                        <w:rStyle w:val="10"/>
                        <w:rFonts w:hint="eastAsia" w:ascii="仿宋_GB2312" w:hAnsi="仿宋_GB2312" w:eastAsia="仿宋_GB2312" w:cs="仿宋_GB2312"/>
                        <w:sz w:val="28"/>
                        <w:szCs w:val="28"/>
                      </w:rPr>
                      <w:instrText xml:space="preserve">PAGE  </w:instrText>
                    </w:r>
                    <w:r>
                      <w:rPr>
                        <w:rStyle w:val="10"/>
                        <w:rFonts w:hint="eastAsia" w:ascii="仿宋_GB2312" w:hAnsi="仿宋_GB2312" w:eastAsia="仿宋_GB2312" w:cs="仿宋_GB2312"/>
                        <w:sz w:val="28"/>
                        <w:szCs w:val="28"/>
                      </w:rPr>
                      <w:fldChar w:fldCharType="separate"/>
                    </w:r>
                    <w:r>
                      <w:rPr>
                        <w:rStyle w:val="10"/>
                        <w:rFonts w:hint="eastAsia" w:ascii="仿宋_GB2312" w:hAnsi="仿宋_GB2312" w:eastAsia="仿宋_GB2312" w:cs="仿宋_GB2312"/>
                        <w:sz w:val="28"/>
                        <w:szCs w:val="28"/>
                      </w:rPr>
                      <w:t>1</w:t>
                    </w:r>
                    <w:r>
                      <w:rPr>
                        <w:rStyle w:val="10"/>
                        <w:rFonts w:hint="eastAsia" w:ascii="仿宋_GB2312" w:hAnsi="仿宋_GB2312" w:eastAsia="仿宋_GB2312" w:cs="仿宋_GB2312"/>
                        <w:sz w:val="28"/>
                        <w:szCs w:val="28"/>
                      </w:rPr>
                      <w:fldChar w:fldCharType="end"/>
                    </w:r>
                    <w:r>
                      <w:rPr>
                        <w:rStyle w:val="10"/>
                        <w:rFonts w:hint="eastAsia" w:ascii="仿宋_GB2312" w:hAnsi="仿宋_GB2312" w:eastAsia="仿宋_GB2312" w:cs="仿宋_GB2312"/>
                        <w:sz w:val="28"/>
                        <w:szCs w:val="28"/>
                      </w:rPr>
                      <w:t xml:space="preserve"> —</w:t>
                    </w:r>
                  </w:p>
                </w:txbxContent>
              </v:textbox>
            </v:shape>
          </w:pict>
        </mc:Fallback>
      </mc:AlternateContent>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DA4447"/>
    <w:multiLevelType w:val="singleLevel"/>
    <w:tmpl w:val="38DA4447"/>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1MGU4NGM1ZDNkNWJjNGMzMmE3OTlkYjc0ZDRlM2MifQ=="/>
  </w:docVars>
  <w:rsids>
    <w:rsidRoot w:val="00172A27"/>
    <w:rsid w:val="000023AD"/>
    <w:rsid w:val="00007180"/>
    <w:rsid w:val="00016E01"/>
    <w:rsid w:val="00016F72"/>
    <w:rsid w:val="0003207A"/>
    <w:rsid w:val="0005322E"/>
    <w:rsid w:val="00060D57"/>
    <w:rsid w:val="000713BD"/>
    <w:rsid w:val="000735FF"/>
    <w:rsid w:val="0007600D"/>
    <w:rsid w:val="000878B6"/>
    <w:rsid w:val="000C1F6A"/>
    <w:rsid w:val="000C5615"/>
    <w:rsid w:val="000F6D34"/>
    <w:rsid w:val="00105D79"/>
    <w:rsid w:val="00110652"/>
    <w:rsid w:val="00111B5E"/>
    <w:rsid w:val="0012500D"/>
    <w:rsid w:val="001349F7"/>
    <w:rsid w:val="001365B3"/>
    <w:rsid w:val="00137130"/>
    <w:rsid w:val="00140B6F"/>
    <w:rsid w:val="00141F48"/>
    <w:rsid w:val="00153231"/>
    <w:rsid w:val="00164A91"/>
    <w:rsid w:val="00166D6F"/>
    <w:rsid w:val="00173FEB"/>
    <w:rsid w:val="001766F6"/>
    <w:rsid w:val="00191A91"/>
    <w:rsid w:val="001A2B75"/>
    <w:rsid w:val="001B1EA1"/>
    <w:rsid w:val="001E775F"/>
    <w:rsid w:val="00201DC4"/>
    <w:rsid w:val="0021164D"/>
    <w:rsid w:val="00213361"/>
    <w:rsid w:val="00221DD1"/>
    <w:rsid w:val="00235CA9"/>
    <w:rsid w:val="00237597"/>
    <w:rsid w:val="0023780A"/>
    <w:rsid w:val="002529BC"/>
    <w:rsid w:val="0025354A"/>
    <w:rsid w:val="0026084B"/>
    <w:rsid w:val="00286463"/>
    <w:rsid w:val="002E2C82"/>
    <w:rsid w:val="002E48AF"/>
    <w:rsid w:val="002F1423"/>
    <w:rsid w:val="002F5847"/>
    <w:rsid w:val="00321BFF"/>
    <w:rsid w:val="00334650"/>
    <w:rsid w:val="00342522"/>
    <w:rsid w:val="00351BF8"/>
    <w:rsid w:val="00386EF9"/>
    <w:rsid w:val="0039179F"/>
    <w:rsid w:val="003A1549"/>
    <w:rsid w:val="003A70FF"/>
    <w:rsid w:val="003B1A5C"/>
    <w:rsid w:val="003D612C"/>
    <w:rsid w:val="003D7220"/>
    <w:rsid w:val="003F0AE5"/>
    <w:rsid w:val="00431787"/>
    <w:rsid w:val="0044765D"/>
    <w:rsid w:val="004507A8"/>
    <w:rsid w:val="00457565"/>
    <w:rsid w:val="00483093"/>
    <w:rsid w:val="00486E6B"/>
    <w:rsid w:val="0049487B"/>
    <w:rsid w:val="00497BAB"/>
    <w:rsid w:val="004A1337"/>
    <w:rsid w:val="004A60C7"/>
    <w:rsid w:val="004B5CB5"/>
    <w:rsid w:val="004F7F32"/>
    <w:rsid w:val="00504EAD"/>
    <w:rsid w:val="0050568B"/>
    <w:rsid w:val="005219D1"/>
    <w:rsid w:val="00550DDB"/>
    <w:rsid w:val="005518C1"/>
    <w:rsid w:val="00561124"/>
    <w:rsid w:val="00595B97"/>
    <w:rsid w:val="005C0CFC"/>
    <w:rsid w:val="005C6CBD"/>
    <w:rsid w:val="005E142B"/>
    <w:rsid w:val="005E3AC1"/>
    <w:rsid w:val="005F5E41"/>
    <w:rsid w:val="00601E26"/>
    <w:rsid w:val="00610711"/>
    <w:rsid w:val="00641395"/>
    <w:rsid w:val="00646910"/>
    <w:rsid w:val="00661569"/>
    <w:rsid w:val="00663CA0"/>
    <w:rsid w:val="006649DB"/>
    <w:rsid w:val="00664AC3"/>
    <w:rsid w:val="00684BC2"/>
    <w:rsid w:val="006C5D17"/>
    <w:rsid w:val="006F3D5A"/>
    <w:rsid w:val="00706A28"/>
    <w:rsid w:val="00706D1D"/>
    <w:rsid w:val="0071327C"/>
    <w:rsid w:val="0071509F"/>
    <w:rsid w:val="00721714"/>
    <w:rsid w:val="00722D4F"/>
    <w:rsid w:val="007371A1"/>
    <w:rsid w:val="0075255B"/>
    <w:rsid w:val="00756E2E"/>
    <w:rsid w:val="00766239"/>
    <w:rsid w:val="007851F3"/>
    <w:rsid w:val="007901C9"/>
    <w:rsid w:val="00795A43"/>
    <w:rsid w:val="007B3119"/>
    <w:rsid w:val="007C6317"/>
    <w:rsid w:val="007C633E"/>
    <w:rsid w:val="007C6F58"/>
    <w:rsid w:val="007E42EC"/>
    <w:rsid w:val="007E669C"/>
    <w:rsid w:val="00803E46"/>
    <w:rsid w:val="008252EB"/>
    <w:rsid w:val="008253A9"/>
    <w:rsid w:val="00835C88"/>
    <w:rsid w:val="0084640C"/>
    <w:rsid w:val="00850E4F"/>
    <w:rsid w:val="00860FCE"/>
    <w:rsid w:val="00867657"/>
    <w:rsid w:val="008A4E74"/>
    <w:rsid w:val="008F1C6F"/>
    <w:rsid w:val="009460F2"/>
    <w:rsid w:val="0095598E"/>
    <w:rsid w:val="00973568"/>
    <w:rsid w:val="00975549"/>
    <w:rsid w:val="00994C2F"/>
    <w:rsid w:val="009951F8"/>
    <w:rsid w:val="009A64F8"/>
    <w:rsid w:val="009B42F9"/>
    <w:rsid w:val="009C0D52"/>
    <w:rsid w:val="009D6546"/>
    <w:rsid w:val="009E423B"/>
    <w:rsid w:val="00A2247D"/>
    <w:rsid w:val="00A3110E"/>
    <w:rsid w:val="00A4502E"/>
    <w:rsid w:val="00A50728"/>
    <w:rsid w:val="00A50FEC"/>
    <w:rsid w:val="00A673F4"/>
    <w:rsid w:val="00A70AA3"/>
    <w:rsid w:val="00A70CD1"/>
    <w:rsid w:val="00A73809"/>
    <w:rsid w:val="00A82406"/>
    <w:rsid w:val="00AA07FC"/>
    <w:rsid w:val="00AA3A8D"/>
    <w:rsid w:val="00AB1CC9"/>
    <w:rsid w:val="00AB6ED6"/>
    <w:rsid w:val="00AB76BF"/>
    <w:rsid w:val="00AC0FAD"/>
    <w:rsid w:val="00AD488E"/>
    <w:rsid w:val="00AD7DF2"/>
    <w:rsid w:val="00B1016F"/>
    <w:rsid w:val="00B359D6"/>
    <w:rsid w:val="00B36F1F"/>
    <w:rsid w:val="00B40822"/>
    <w:rsid w:val="00B43A7D"/>
    <w:rsid w:val="00B537F7"/>
    <w:rsid w:val="00B7759C"/>
    <w:rsid w:val="00B820EA"/>
    <w:rsid w:val="00B94FA0"/>
    <w:rsid w:val="00BA3390"/>
    <w:rsid w:val="00BB08FC"/>
    <w:rsid w:val="00BB1C98"/>
    <w:rsid w:val="00BC0B44"/>
    <w:rsid w:val="00BC3925"/>
    <w:rsid w:val="00BC4A30"/>
    <w:rsid w:val="00BC7C23"/>
    <w:rsid w:val="00BD0A77"/>
    <w:rsid w:val="00BD7EC2"/>
    <w:rsid w:val="00BE2DFF"/>
    <w:rsid w:val="00BE46C2"/>
    <w:rsid w:val="00BE69B6"/>
    <w:rsid w:val="00BF783A"/>
    <w:rsid w:val="00C04A36"/>
    <w:rsid w:val="00C4002C"/>
    <w:rsid w:val="00C52D5D"/>
    <w:rsid w:val="00C927BA"/>
    <w:rsid w:val="00CA796F"/>
    <w:rsid w:val="00CB2F26"/>
    <w:rsid w:val="00CB677F"/>
    <w:rsid w:val="00CD0680"/>
    <w:rsid w:val="00CF49F8"/>
    <w:rsid w:val="00D23145"/>
    <w:rsid w:val="00D47717"/>
    <w:rsid w:val="00D52203"/>
    <w:rsid w:val="00D90F02"/>
    <w:rsid w:val="00D979E4"/>
    <w:rsid w:val="00DB6813"/>
    <w:rsid w:val="00DD4A28"/>
    <w:rsid w:val="00E07D66"/>
    <w:rsid w:val="00E1750A"/>
    <w:rsid w:val="00E312B9"/>
    <w:rsid w:val="00E31E18"/>
    <w:rsid w:val="00E37226"/>
    <w:rsid w:val="00E4461C"/>
    <w:rsid w:val="00E47B2C"/>
    <w:rsid w:val="00E63849"/>
    <w:rsid w:val="00E718D4"/>
    <w:rsid w:val="00E77C66"/>
    <w:rsid w:val="00E81295"/>
    <w:rsid w:val="00E94BA0"/>
    <w:rsid w:val="00EB7D61"/>
    <w:rsid w:val="00EC0E2E"/>
    <w:rsid w:val="00ED049A"/>
    <w:rsid w:val="00F33D3E"/>
    <w:rsid w:val="00F43BCE"/>
    <w:rsid w:val="00F468AC"/>
    <w:rsid w:val="00F643D6"/>
    <w:rsid w:val="00F70EC7"/>
    <w:rsid w:val="00FB004E"/>
    <w:rsid w:val="00FD5EC5"/>
    <w:rsid w:val="00FE70F6"/>
    <w:rsid w:val="00FF1FA4"/>
    <w:rsid w:val="016563CB"/>
    <w:rsid w:val="0181381B"/>
    <w:rsid w:val="018F2EE2"/>
    <w:rsid w:val="01BD30C0"/>
    <w:rsid w:val="02072A88"/>
    <w:rsid w:val="029452F5"/>
    <w:rsid w:val="029B1E28"/>
    <w:rsid w:val="02F63611"/>
    <w:rsid w:val="03A95506"/>
    <w:rsid w:val="041B315D"/>
    <w:rsid w:val="042302EC"/>
    <w:rsid w:val="042F236B"/>
    <w:rsid w:val="04DA0302"/>
    <w:rsid w:val="05E80062"/>
    <w:rsid w:val="05F62C36"/>
    <w:rsid w:val="060E32D9"/>
    <w:rsid w:val="079E283E"/>
    <w:rsid w:val="08760D59"/>
    <w:rsid w:val="088848BF"/>
    <w:rsid w:val="08A65B8C"/>
    <w:rsid w:val="08AB1493"/>
    <w:rsid w:val="092C49E9"/>
    <w:rsid w:val="095C00D8"/>
    <w:rsid w:val="097733BB"/>
    <w:rsid w:val="0996224B"/>
    <w:rsid w:val="09C2387B"/>
    <w:rsid w:val="09E679B4"/>
    <w:rsid w:val="0AA952F5"/>
    <w:rsid w:val="0AD73FD1"/>
    <w:rsid w:val="0B4821A6"/>
    <w:rsid w:val="0B7A0856"/>
    <w:rsid w:val="0B8045DE"/>
    <w:rsid w:val="0B8719AD"/>
    <w:rsid w:val="0BE97476"/>
    <w:rsid w:val="0C4B7916"/>
    <w:rsid w:val="0C894946"/>
    <w:rsid w:val="0CA248E3"/>
    <w:rsid w:val="0CC2550D"/>
    <w:rsid w:val="0D0566C3"/>
    <w:rsid w:val="0D5626AD"/>
    <w:rsid w:val="0D572EFA"/>
    <w:rsid w:val="0D620389"/>
    <w:rsid w:val="0D795E37"/>
    <w:rsid w:val="0D7D3ED7"/>
    <w:rsid w:val="0D851A98"/>
    <w:rsid w:val="0DBC069B"/>
    <w:rsid w:val="0E3B0011"/>
    <w:rsid w:val="0E9D04B1"/>
    <w:rsid w:val="0ECD6393"/>
    <w:rsid w:val="0F644B28"/>
    <w:rsid w:val="0F7C2CF7"/>
    <w:rsid w:val="0FC26C4C"/>
    <w:rsid w:val="100E52E5"/>
    <w:rsid w:val="10885C21"/>
    <w:rsid w:val="109D38CF"/>
    <w:rsid w:val="10CC7661"/>
    <w:rsid w:val="10CF662A"/>
    <w:rsid w:val="110537E2"/>
    <w:rsid w:val="11353A7A"/>
    <w:rsid w:val="11513CE7"/>
    <w:rsid w:val="1184614B"/>
    <w:rsid w:val="11927CD1"/>
    <w:rsid w:val="1212349F"/>
    <w:rsid w:val="1228371E"/>
    <w:rsid w:val="125118EB"/>
    <w:rsid w:val="12597DAE"/>
    <w:rsid w:val="127B100E"/>
    <w:rsid w:val="12B70506"/>
    <w:rsid w:val="133814D1"/>
    <w:rsid w:val="13486233"/>
    <w:rsid w:val="140B15EB"/>
    <w:rsid w:val="146F6754"/>
    <w:rsid w:val="15152451"/>
    <w:rsid w:val="156E727B"/>
    <w:rsid w:val="15952A5A"/>
    <w:rsid w:val="15987567"/>
    <w:rsid w:val="15B8726A"/>
    <w:rsid w:val="15FD2AA2"/>
    <w:rsid w:val="17015024"/>
    <w:rsid w:val="1719707D"/>
    <w:rsid w:val="17962C62"/>
    <w:rsid w:val="180215D0"/>
    <w:rsid w:val="180C00E8"/>
    <w:rsid w:val="18441ED8"/>
    <w:rsid w:val="184C3C60"/>
    <w:rsid w:val="18B320B6"/>
    <w:rsid w:val="19025DAB"/>
    <w:rsid w:val="194407F8"/>
    <w:rsid w:val="19535178"/>
    <w:rsid w:val="1954346D"/>
    <w:rsid w:val="19BA7045"/>
    <w:rsid w:val="19C92FDD"/>
    <w:rsid w:val="1A694A3A"/>
    <w:rsid w:val="1A886463"/>
    <w:rsid w:val="1ACD5720"/>
    <w:rsid w:val="1B0353F5"/>
    <w:rsid w:val="1B2E0C3A"/>
    <w:rsid w:val="1B4D3BD8"/>
    <w:rsid w:val="1B5C3690"/>
    <w:rsid w:val="1BED3D57"/>
    <w:rsid w:val="1C110797"/>
    <w:rsid w:val="1C223919"/>
    <w:rsid w:val="1CC47299"/>
    <w:rsid w:val="1CD5487C"/>
    <w:rsid w:val="1D1D43EC"/>
    <w:rsid w:val="1D3B5982"/>
    <w:rsid w:val="1E4E3B78"/>
    <w:rsid w:val="1E837A06"/>
    <w:rsid w:val="1F033484"/>
    <w:rsid w:val="1FC1103B"/>
    <w:rsid w:val="1FF1184A"/>
    <w:rsid w:val="1FF84581"/>
    <w:rsid w:val="20937BEA"/>
    <w:rsid w:val="209B49D7"/>
    <w:rsid w:val="2150457D"/>
    <w:rsid w:val="21792178"/>
    <w:rsid w:val="21C54432"/>
    <w:rsid w:val="22414A44"/>
    <w:rsid w:val="226100D3"/>
    <w:rsid w:val="228F0D42"/>
    <w:rsid w:val="22934974"/>
    <w:rsid w:val="22A77FCE"/>
    <w:rsid w:val="22DB6B32"/>
    <w:rsid w:val="22DF24D7"/>
    <w:rsid w:val="23666F53"/>
    <w:rsid w:val="23A7430D"/>
    <w:rsid w:val="23BE09CD"/>
    <w:rsid w:val="23C765CF"/>
    <w:rsid w:val="24500991"/>
    <w:rsid w:val="247E11DC"/>
    <w:rsid w:val="24817A29"/>
    <w:rsid w:val="24B7406E"/>
    <w:rsid w:val="252B34DB"/>
    <w:rsid w:val="256B5724"/>
    <w:rsid w:val="25B76FF0"/>
    <w:rsid w:val="25C42A83"/>
    <w:rsid w:val="25C470D2"/>
    <w:rsid w:val="25CF1779"/>
    <w:rsid w:val="262D4A31"/>
    <w:rsid w:val="262F31EA"/>
    <w:rsid w:val="26626F4A"/>
    <w:rsid w:val="270F7B55"/>
    <w:rsid w:val="27C27F3D"/>
    <w:rsid w:val="27F875EB"/>
    <w:rsid w:val="281C4C20"/>
    <w:rsid w:val="2827758D"/>
    <w:rsid w:val="285A69A0"/>
    <w:rsid w:val="291E6DE3"/>
    <w:rsid w:val="29FF1CA1"/>
    <w:rsid w:val="2A81030D"/>
    <w:rsid w:val="2A83362B"/>
    <w:rsid w:val="2BAA13E3"/>
    <w:rsid w:val="2BC5112A"/>
    <w:rsid w:val="2C3A54E5"/>
    <w:rsid w:val="2C475230"/>
    <w:rsid w:val="2CCC3965"/>
    <w:rsid w:val="2CF1512E"/>
    <w:rsid w:val="2D0B533D"/>
    <w:rsid w:val="2E24452B"/>
    <w:rsid w:val="2E3B6964"/>
    <w:rsid w:val="2E7B7456"/>
    <w:rsid w:val="2EE22C6E"/>
    <w:rsid w:val="2F7A2C23"/>
    <w:rsid w:val="2F7C47DF"/>
    <w:rsid w:val="2F937FAD"/>
    <w:rsid w:val="300275EE"/>
    <w:rsid w:val="30474EA0"/>
    <w:rsid w:val="304F63CF"/>
    <w:rsid w:val="30C62B96"/>
    <w:rsid w:val="30D56B76"/>
    <w:rsid w:val="30E15E36"/>
    <w:rsid w:val="30F76FBF"/>
    <w:rsid w:val="315D247C"/>
    <w:rsid w:val="316514BA"/>
    <w:rsid w:val="31944403"/>
    <w:rsid w:val="31AB3731"/>
    <w:rsid w:val="31C1508A"/>
    <w:rsid w:val="333B2CCF"/>
    <w:rsid w:val="34054F8D"/>
    <w:rsid w:val="346534AA"/>
    <w:rsid w:val="3471071D"/>
    <w:rsid w:val="34743D78"/>
    <w:rsid w:val="3474741B"/>
    <w:rsid w:val="34DB0DB0"/>
    <w:rsid w:val="35453A78"/>
    <w:rsid w:val="359D54D1"/>
    <w:rsid w:val="35CE1755"/>
    <w:rsid w:val="36317AE8"/>
    <w:rsid w:val="36923616"/>
    <w:rsid w:val="373E09A4"/>
    <w:rsid w:val="375F0BD0"/>
    <w:rsid w:val="37B77EB4"/>
    <w:rsid w:val="37C17C4E"/>
    <w:rsid w:val="37E961A0"/>
    <w:rsid w:val="37FE4645"/>
    <w:rsid w:val="38290A28"/>
    <w:rsid w:val="387F24D2"/>
    <w:rsid w:val="388A2807"/>
    <w:rsid w:val="388F1372"/>
    <w:rsid w:val="391B3E5D"/>
    <w:rsid w:val="394D7849"/>
    <w:rsid w:val="396A68A4"/>
    <w:rsid w:val="396F3934"/>
    <w:rsid w:val="3B0D7624"/>
    <w:rsid w:val="3B8C1B5A"/>
    <w:rsid w:val="3B974146"/>
    <w:rsid w:val="3C324B34"/>
    <w:rsid w:val="3C5033A1"/>
    <w:rsid w:val="3C67027A"/>
    <w:rsid w:val="3C6D1BB4"/>
    <w:rsid w:val="3CA37C09"/>
    <w:rsid w:val="3CE2438D"/>
    <w:rsid w:val="3DA35F4B"/>
    <w:rsid w:val="3E820ACB"/>
    <w:rsid w:val="3EBE27DA"/>
    <w:rsid w:val="3EF36CB8"/>
    <w:rsid w:val="3F194811"/>
    <w:rsid w:val="3F2E2EAB"/>
    <w:rsid w:val="40BC6ADD"/>
    <w:rsid w:val="41432826"/>
    <w:rsid w:val="43321C60"/>
    <w:rsid w:val="43797B09"/>
    <w:rsid w:val="437E0536"/>
    <w:rsid w:val="438548EA"/>
    <w:rsid w:val="438621C6"/>
    <w:rsid w:val="43C035D5"/>
    <w:rsid w:val="443F2FD9"/>
    <w:rsid w:val="44B73CC9"/>
    <w:rsid w:val="44C66A64"/>
    <w:rsid w:val="44E22E12"/>
    <w:rsid w:val="44E70410"/>
    <w:rsid w:val="45131EB6"/>
    <w:rsid w:val="451B01D2"/>
    <w:rsid w:val="458610A1"/>
    <w:rsid w:val="463740CD"/>
    <w:rsid w:val="46430692"/>
    <w:rsid w:val="474B0490"/>
    <w:rsid w:val="47C46588"/>
    <w:rsid w:val="480635EE"/>
    <w:rsid w:val="493734E8"/>
    <w:rsid w:val="4950681A"/>
    <w:rsid w:val="49F5497F"/>
    <w:rsid w:val="4A1157E5"/>
    <w:rsid w:val="4A647801"/>
    <w:rsid w:val="4AFB1112"/>
    <w:rsid w:val="4AFF5195"/>
    <w:rsid w:val="4B034AFC"/>
    <w:rsid w:val="4B157F78"/>
    <w:rsid w:val="4B95246F"/>
    <w:rsid w:val="4B9A7A86"/>
    <w:rsid w:val="4D1312F4"/>
    <w:rsid w:val="4D337926"/>
    <w:rsid w:val="4D636DA2"/>
    <w:rsid w:val="4D804F8C"/>
    <w:rsid w:val="4E0644D5"/>
    <w:rsid w:val="4E0D199A"/>
    <w:rsid w:val="4E1546AA"/>
    <w:rsid w:val="4E4B708E"/>
    <w:rsid w:val="4E6D2CB8"/>
    <w:rsid w:val="4E6D653B"/>
    <w:rsid w:val="4E8770E5"/>
    <w:rsid w:val="4F0B0999"/>
    <w:rsid w:val="4FDE096F"/>
    <w:rsid w:val="50150285"/>
    <w:rsid w:val="507F05B9"/>
    <w:rsid w:val="50873EB1"/>
    <w:rsid w:val="512B18B7"/>
    <w:rsid w:val="518344B6"/>
    <w:rsid w:val="51B22A95"/>
    <w:rsid w:val="51EB79F7"/>
    <w:rsid w:val="520F0FD3"/>
    <w:rsid w:val="524501AB"/>
    <w:rsid w:val="524D0715"/>
    <w:rsid w:val="527B6E46"/>
    <w:rsid w:val="527E22D2"/>
    <w:rsid w:val="531D43A7"/>
    <w:rsid w:val="537D4134"/>
    <w:rsid w:val="538E529C"/>
    <w:rsid w:val="53F670C6"/>
    <w:rsid w:val="54090F9F"/>
    <w:rsid w:val="5419289B"/>
    <w:rsid w:val="541E2156"/>
    <w:rsid w:val="549405AA"/>
    <w:rsid w:val="54C94247"/>
    <w:rsid w:val="55E10725"/>
    <w:rsid w:val="561C63EF"/>
    <w:rsid w:val="561F6662"/>
    <w:rsid w:val="56D111FE"/>
    <w:rsid w:val="5812316E"/>
    <w:rsid w:val="58303BD2"/>
    <w:rsid w:val="583C7CF4"/>
    <w:rsid w:val="58413510"/>
    <w:rsid w:val="58985102"/>
    <w:rsid w:val="58A8308F"/>
    <w:rsid w:val="58D42FC5"/>
    <w:rsid w:val="59463C38"/>
    <w:rsid w:val="59A66224"/>
    <w:rsid w:val="59E572E5"/>
    <w:rsid w:val="59F60D1E"/>
    <w:rsid w:val="5A0873AD"/>
    <w:rsid w:val="5A543134"/>
    <w:rsid w:val="5B536EF7"/>
    <w:rsid w:val="5C2017C7"/>
    <w:rsid w:val="5C6336F0"/>
    <w:rsid w:val="5C8625B9"/>
    <w:rsid w:val="5CB61265"/>
    <w:rsid w:val="5CBF1043"/>
    <w:rsid w:val="5CE05C01"/>
    <w:rsid w:val="5D494E68"/>
    <w:rsid w:val="5D7B386B"/>
    <w:rsid w:val="5D8361EC"/>
    <w:rsid w:val="5E17116A"/>
    <w:rsid w:val="5E7D1355"/>
    <w:rsid w:val="5E895323"/>
    <w:rsid w:val="5ED3185F"/>
    <w:rsid w:val="5F257D99"/>
    <w:rsid w:val="5F3D1478"/>
    <w:rsid w:val="5F663035"/>
    <w:rsid w:val="5FE14C59"/>
    <w:rsid w:val="60076EBB"/>
    <w:rsid w:val="602649EE"/>
    <w:rsid w:val="6029445F"/>
    <w:rsid w:val="603933F6"/>
    <w:rsid w:val="603C381B"/>
    <w:rsid w:val="60B27CB3"/>
    <w:rsid w:val="60C34820"/>
    <w:rsid w:val="60E37357"/>
    <w:rsid w:val="60E711EF"/>
    <w:rsid w:val="61B60576"/>
    <w:rsid w:val="62C25396"/>
    <w:rsid w:val="62D263B3"/>
    <w:rsid w:val="631025D8"/>
    <w:rsid w:val="635D4DAD"/>
    <w:rsid w:val="63FE72D7"/>
    <w:rsid w:val="643B254E"/>
    <w:rsid w:val="64430D0B"/>
    <w:rsid w:val="6481374C"/>
    <w:rsid w:val="64B570EE"/>
    <w:rsid w:val="64F63411"/>
    <w:rsid w:val="651048EE"/>
    <w:rsid w:val="65323CE2"/>
    <w:rsid w:val="653861B5"/>
    <w:rsid w:val="656012B4"/>
    <w:rsid w:val="656A493F"/>
    <w:rsid w:val="65A8061B"/>
    <w:rsid w:val="65B52F43"/>
    <w:rsid w:val="6607497C"/>
    <w:rsid w:val="661D4F4D"/>
    <w:rsid w:val="667563F2"/>
    <w:rsid w:val="667B1DE1"/>
    <w:rsid w:val="678F190A"/>
    <w:rsid w:val="682011D8"/>
    <w:rsid w:val="68240EE3"/>
    <w:rsid w:val="688953C8"/>
    <w:rsid w:val="68CB5C7C"/>
    <w:rsid w:val="68F642CB"/>
    <w:rsid w:val="68F837B5"/>
    <w:rsid w:val="69660703"/>
    <w:rsid w:val="6A794401"/>
    <w:rsid w:val="6A9520BF"/>
    <w:rsid w:val="6AB60FA3"/>
    <w:rsid w:val="6ABE02FD"/>
    <w:rsid w:val="6AF23C37"/>
    <w:rsid w:val="6B1E73CA"/>
    <w:rsid w:val="6B433904"/>
    <w:rsid w:val="6B4E15AA"/>
    <w:rsid w:val="6B5573B3"/>
    <w:rsid w:val="6C903177"/>
    <w:rsid w:val="6CE636BA"/>
    <w:rsid w:val="6D42174D"/>
    <w:rsid w:val="6DD62703"/>
    <w:rsid w:val="6DE13755"/>
    <w:rsid w:val="6E986EC2"/>
    <w:rsid w:val="6ED17345"/>
    <w:rsid w:val="6EE251B7"/>
    <w:rsid w:val="6EFD73A5"/>
    <w:rsid w:val="6FE50BBF"/>
    <w:rsid w:val="70223B81"/>
    <w:rsid w:val="71EE38D0"/>
    <w:rsid w:val="72292215"/>
    <w:rsid w:val="72377F19"/>
    <w:rsid w:val="72513C28"/>
    <w:rsid w:val="72EC58DF"/>
    <w:rsid w:val="730A44CC"/>
    <w:rsid w:val="731F06C4"/>
    <w:rsid w:val="73863AF2"/>
    <w:rsid w:val="738810A4"/>
    <w:rsid w:val="73B37544"/>
    <w:rsid w:val="742D6C9B"/>
    <w:rsid w:val="748E4ACA"/>
    <w:rsid w:val="74BD3ECC"/>
    <w:rsid w:val="74C0033E"/>
    <w:rsid w:val="74E9216D"/>
    <w:rsid w:val="75BB6901"/>
    <w:rsid w:val="75DE6E02"/>
    <w:rsid w:val="76437C41"/>
    <w:rsid w:val="7661521B"/>
    <w:rsid w:val="76A02D08"/>
    <w:rsid w:val="76FC2F75"/>
    <w:rsid w:val="770E38E2"/>
    <w:rsid w:val="77835070"/>
    <w:rsid w:val="77D82FAB"/>
    <w:rsid w:val="783B7889"/>
    <w:rsid w:val="78433D4E"/>
    <w:rsid w:val="78A9267C"/>
    <w:rsid w:val="78CA265C"/>
    <w:rsid w:val="78CC6BCA"/>
    <w:rsid w:val="78D05741"/>
    <w:rsid w:val="799F4B15"/>
    <w:rsid w:val="79FF056E"/>
    <w:rsid w:val="7A2C1281"/>
    <w:rsid w:val="7AA037BE"/>
    <w:rsid w:val="7AFD0B4D"/>
    <w:rsid w:val="7B47744F"/>
    <w:rsid w:val="7B56391E"/>
    <w:rsid w:val="7B9D60FC"/>
    <w:rsid w:val="7C6D1A77"/>
    <w:rsid w:val="7C9F3284"/>
    <w:rsid w:val="7CAD0D43"/>
    <w:rsid w:val="7E2A2A0B"/>
    <w:rsid w:val="7F5B0B7E"/>
    <w:rsid w:val="DF7F45E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qFormat/>
    <w:uiPriority w:val="0"/>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Balloon Text"/>
    <w:basedOn w:val="1"/>
    <w:next w:val="3"/>
    <w:semiHidden/>
    <w:qFormat/>
    <w:uiPriority w:val="0"/>
    <w:rPr>
      <w:sz w:val="18"/>
      <w:szCs w:val="18"/>
    </w:rPr>
  </w:style>
  <w:style w:type="paragraph" w:styleId="3">
    <w:name w:val="footer"/>
    <w:basedOn w:val="1"/>
    <w:qFormat/>
    <w:uiPriority w:val="0"/>
    <w:pPr>
      <w:tabs>
        <w:tab w:val="center" w:pos="4153"/>
        <w:tab w:val="right" w:pos="8306"/>
      </w:tabs>
      <w:snapToGrid w:val="0"/>
      <w:jc w:val="left"/>
    </w:pPr>
    <w:rPr>
      <w:sz w:val="18"/>
    </w:rPr>
  </w:style>
  <w:style w:type="paragraph" w:styleId="4">
    <w:name w:val="index 5"/>
    <w:next w:val="1"/>
    <w:qFormat/>
    <w:uiPriority w:val="0"/>
    <w:pPr>
      <w:widowControl w:val="0"/>
      <w:ind w:left="1680"/>
      <w:jc w:val="both"/>
    </w:pPr>
    <w:rPr>
      <w:rFonts w:ascii="Times New Roman" w:hAnsi="Times New Roman" w:eastAsia="仿宋_GB2312" w:cs="Times New Roman"/>
      <w:kern w:val="2"/>
      <w:sz w:val="32"/>
      <w:lang w:val="en-US" w:eastAsia="zh-CN" w:bidi="ar-SA"/>
    </w:rPr>
  </w:style>
  <w:style w:type="paragraph" w:styleId="5">
    <w:name w:val="Date"/>
    <w:basedOn w:val="1"/>
    <w:next w:val="1"/>
    <w:link w:val="20"/>
    <w:unhideWhenUsed/>
    <w:qFormat/>
    <w:uiPriority w:val="99"/>
    <w:pPr>
      <w:ind w:left="100" w:leftChars="2500"/>
    </w:p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character" w:styleId="9">
    <w:name w:val="Strong"/>
    <w:qFormat/>
    <w:uiPriority w:val="0"/>
    <w:rPr>
      <w:b/>
      <w:bCs/>
    </w:rPr>
  </w:style>
  <w:style w:type="character" w:styleId="10">
    <w:name w:val="page number"/>
    <w:basedOn w:val="8"/>
    <w:qFormat/>
    <w:uiPriority w:val="0"/>
  </w:style>
  <w:style w:type="character" w:styleId="11">
    <w:name w:val="FollowedHyperlink"/>
    <w:basedOn w:val="8"/>
    <w:unhideWhenUsed/>
    <w:qFormat/>
    <w:uiPriority w:val="99"/>
    <w:rPr>
      <w:color w:val="338DE6"/>
      <w:u w:val="none"/>
    </w:rPr>
  </w:style>
  <w:style w:type="character" w:styleId="12">
    <w:name w:val="Emphasis"/>
    <w:basedOn w:val="8"/>
    <w:qFormat/>
    <w:uiPriority w:val="20"/>
    <w:rPr>
      <w:color w:val="CC0000"/>
    </w:rPr>
  </w:style>
  <w:style w:type="character" w:styleId="13">
    <w:name w:val="HTML Definition"/>
    <w:basedOn w:val="8"/>
    <w:unhideWhenUsed/>
    <w:qFormat/>
    <w:uiPriority w:val="99"/>
  </w:style>
  <w:style w:type="character" w:styleId="14">
    <w:name w:val="HTML Variable"/>
    <w:basedOn w:val="8"/>
    <w:unhideWhenUsed/>
    <w:qFormat/>
    <w:uiPriority w:val="99"/>
  </w:style>
  <w:style w:type="character" w:styleId="15">
    <w:name w:val="Hyperlink"/>
    <w:basedOn w:val="8"/>
    <w:unhideWhenUsed/>
    <w:qFormat/>
    <w:uiPriority w:val="99"/>
    <w:rPr>
      <w:color w:val="338DE6"/>
      <w:u w:val="none"/>
    </w:rPr>
  </w:style>
  <w:style w:type="character" w:styleId="16">
    <w:name w:val="HTML Code"/>
    <w:basedOn w:val="8"/>
    <w:unhideWhenUsed/>
    <w:qFormat/>
    <w:uiPriority w:val="99"/>
    <w:rPr>
      <w:rFonts w:hint="default" w:ascii="serif" w:hAnsi="serif" w:eastAsia="serif" w:cs="serif"/>
      <w:sz w:val="21"/>
      <w:szCs w:val="21"/>
    </w:rPr>
  </w:style>
  <w:style w:type="character" w:styleId="17">
    <w:name w:val="HTML Cite"/>
    <w:basedOn w:val="8"/>
    <w:unhideWhenUsed/>
    <w:qFormat/>
    <w:uiPriority w:val="99"/>
    <w:rPr>
      <w:color w:val="008000"/>
    </w:rPr>
  </w:style>
  <w:style w:type="character" w:styleId="18">
    <w:name w:val="HTML Keyboard"/>
    <w:basedOn w:val="8"/>
    <w:unhideWhenUsed/>
    <w:qFormat/>
    <w:uiPriority w:val="99"/>
    <w:rPr>
      <w:rFonts w:ascii="serif" w:hAnsi="serif" w:eastAsia="serif" w:cs="serif"/>
      <w:sz w:val="21"/>
      <w:szCs w:val="21"/>
    </w:rPr>
  </w:style>
  <w:style w:type="character" w:styleId="19">
    <w:name w:val="HTML Sample"/>
    <w:basedOn w:val="8"/>
    <w:unhideWhenUsed/>
    <w:qFormat/>
    <w:uiPriority w:val="99"/>
    <w:rPr>
      <w:rFonts w:hint="default" w:ascii="serif" w:hAnsi="serif" w:eastAsia="serif" w:cs="serif"/>
      <w:sz w:val="21"/>
      <w:szCs w:val="21"/>
    </w:rPr>
  </w:style>
  <w:style w:type="character" w:customStyle="1" w:styleId="20">
    <w:name w:val="日期 Char"/>
    <w:basedOn w:val="8"/>
    <w:link w:val="5"/>
    <w:semiHidden/>
    <w:qFormat/>
    <w:uiPriority w:val="99"/>
    <w:rPr>
      <w:kern w:val="2"/>
      <w:sz w:val="21"/>
    </w:rPr>
  </w:style>
  <w:style w:type="character" w:customStyle="1" w:styleId="21">
    <w:name w:val="fontstrikethrough"/>
    <w:basedOn w:val="8"/>
    <w:qFormat/>
    <w:uiPriority w:val="0"/>
    <w:rPr>
      <w:strike/>
    </w:rPr>
  </w:style>
  <w:style w:type="character" w:customStyle="1" w:styleId="22">
    <w:name w:val="fontborder"/>
    <w:basedOn w:val="8"/>
    <w:qFormat/>
    <w:uiPriority w:val="0"/>
    <w:rPr>
      <w:bdr w:val="single" w:color="000000" w:sz="6" w:space="0"/>
    </w:rPr>
  </w:style>
  <w:style w:type="character" w:customStyle="1" w:styleId="23">
    <w:name w:val="font71"/>
    <w:basedOn w:val="8"/>
    <w:qFormat/>
    <w:uiPriority w:val="0"/>
    <w:rPr>
      <w:rFonts w:hint="eastAsia" w:ascii="宋体" w:hAnsi="宋体" w:eastAsia="宋体" w:cs="宋体"/>
      <w:b/>
      <w:bCs/>
      <w:color w:val="000000"/>
      <w:sz w:val="28"/>
      <w:szCs w:val="28"/>
      <w:u w:val="none"/>
    </w:rPr>
  </w:style>
  <w:style w:type="character" w:customStyle="1" w:styleId="24">
    <w:name w:val="font41"/>
    <w:basedOn w:val="8"/>
    <w:qFormat/>
    <w:uiPriority w:val="0"/>
    <w:rPr>
      <w:rFonts w:hint="eastAsia" w:ascii="宋体" w:hAnsi="宋体" w:eastAsia="宋体" w:cs="宋体"/>
      <w:color w:val="000000"/>
      <w:sz w:val="28"/>
      <w:szCs w:val="28"/>
      <w:u w:val="none"/>
    </w:rPr>
  </w:style>
  <w:style w:type="character" w:customStyle="1" w:styleId="25">
    <w:name w:val="font31"/>
    <w:basedOn w:val="8"/>
    <w:qFormat/>
    <w:uiPriority w:val="0"/>
    <w:rPr>
      <w:rFonts w:hint="eastAsia" w:ascii="宋体" w:hAnsi="宋体" w:eastAsia="宋体" w:cs="宋体"/>
      <w:color w:val="000000"/>
      <w:sz w:val="28"/>
      <w:szCs w:val="28"/>
      <w:u w:val="none"/>
    </w:rPr>
  </w:style>
  <w:style w:type="character" w:customStyle="1" w:styleId="26">
    <w:name w:val="font51"/>
    <w:basedOn w:val="8"/>
    <w:qFormat/>
    <w:uiPriority w:val="0"/>
    <w:rPr>
      <w:rFonts w:hint="eastAsia" w:ascii="宋体" w:hAnsi="宋体" w:eastAsia="宋体" w:cs="宋体"/>
      <w:color w:val="000000"/>
      <w:sz w:val="24"/>
      <w:szCs w:val="24"/>
      <w:u w:val="none"/>
    </w:rPr>
  </w:style>
  <w:style w:type="character" w:customStyle="1" w:styleId="27">
    <w:name w:val="font81"/>
    <w:basedOn w:val="8"/>
    <w:qFormat/>
    <w:uiPriority w:val="0"/>
    <w:rPr>
      <w:rFonts w:hint="eastAsia" w:ascii="宋体" w:hAnsi="宋体" w:eastAsia="宋体" w:cs="宋体"/>
      <w:b/>
      <w:bCs/>
      <w:color w:val="000000"/>
      <w:sz w:val="28"/>
      <w:szCs w:val="28"/>
      <w:u w:val="none"/>
    </w:rPr>
  </w:style>
  <w:style w:type="character" w:customStyle="1" w:styleId="28">
    <w:name w:val="font61"/>
    <w:basedOn w:val="8"/>
    <w:qFormat/>
    <w:uiPriority w:val="0"/>
    <w:rPr>
      <w:rFonts w:hint="eastAsia" w:ascii="宋体" w:hAnsi="宋体" w:eastAsia="宋体" w:cs="宋体"/>
      <w:color w:val="000000"/>
      <w:sz w:val="28"/>
      <w:szCs w:val="28"/>
      <w:u w:val="none"/>
    </w:rPr>
  </w:style>
  <w:style w:type="paragraph" w:customStyle="1" w:styleId="29">
    <w:name w:val="BodyText1I2"/>
    <w:next w:val="4"/>
    <w:qFormat/>
    <w:uiPriority w:val="0"/>
    <w:pPr>
      <w:widowControl w:val="0"/>
      <w:suppressAutoHyphens/>
      <w:ind w:firstLine="420" w:firstLineChars="200"/>
      <w:jc w:val="both"/>
      <w:textAlignment w:val="baseline"/>
    </w:pPr>
    <w:rPr>
      <w:rFonts w:ascii="仿宋_GB2312" w:hAnsi="Calibri" w:eastAsia="仿宋_GB2312"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4540</Words>
  <Characters>4873</Characters>
  <Lines>8</Lines>
  <Paragraphs>2</Paragraphs>
  <TotalTime>3</TotalTime>
  <ScaleCrop>false</ScaleCrop>
  <LinksUpToDate>false</LinksUpToDate>
  <CharactersWithSpaces>5022</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2020-06-08T17:55:00Z</dcterms:created>
  <dc:creator>微软用户</dc:creator>
  <cp:lastModifiedBy>Administrator</cp:lastModifiedBy>
  <cp:lastPrinted>2026-05-09T07:13:00Z</cp:lastPrinted>
  <dcterms:modified xsi:type="dcterms:W3CDTF">2026-05-22T07:31:22Z</dcterms:modified>
  <dc:title>永嘉县环境保护局</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797EFDD9291143FFB68154CC826CF82C_12</vt:lpwstr>
  </property>
  <property fmtid="{D5CDD505-2E9C-101B-9397-08002B2CF9AE}" pid="4" name="KSOTemplateDocerSaveRecord">
    <vt:lpwstr>eyJoZGlkIjoiODc2ZTUwMDZlMWVhNmU3ZWFlZTRhNzc0NDhiZjJhMWYiLCJ1c2VySWQiOiI2Njg4MDc2OTYifQ==</vt:lpwstr>
  </property>
</Properties>
</file>