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1678"/>
        <w:textAlignment w:val="auto"/>
        <w:rPr>
          <w:rFonts w:hint="eastAsia"/>
          <w:lang w:val="en-US" w:eastAsia="zh-CN"/>
        </w:rPr>
      </w:pPr>
    </w:p>
    <w:p>
      <w:pPr>
        <w:pStyle w:val="7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企业环境信用信息修复权益告知书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8"/>
        <w:textAlignment w:val="auto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hint="eastAsia"/>
        </w:rPr>
      </w:pPr>
      <w:r>
        <w:rPr>
          <w:rFonts w:hint="eastAsia" w:hAnsi="宋体" w:cs="Times New Roman"/>
          <w:sz w:val="32"/>
          <w:szCs w:val="32"/>
          <w:lang w:eastAsia="zh-CN"/>
        </w:rPr>
        <w:t>沙县涌溪丰登畜牧有限公司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  <w:r>
        <w:rPr>
          <w:rFonts w:hint="eastAsia"/>
        </w:rPr>
        <w:t>为构建自主自新的信用修复机制，营造诚实守信的社会环境，现将企业环境信用修复有关事项告知如下：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  <w:r>
        <w:rPr>
          <w:rFonts w:hint="eastAsia"/>
        </w:rPr>
        <w:t>一、根据《中华人民共和国行政处罚法》以及国家、省关于做好行政许可和行政处罚等信用信息公示的工作要求，</w:t>
      </w:r>
      <w:r>
        <w:rPr>
          <w:rFonts w:hint="eastAsia"/>
          <w:lang w:eastAsia="zh-CN"/>
        </w:rPr>
        <w:t>你公司</w:t>
      </w:r>
      <w:r>
        <w:rPr>
          <w:rFonts w:hint="eastAsia"/>
        </w:rPr>
        <w:t>行政处罚信息将在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个工作日内在“信用中国”网站、国家企业信用信息公示系统等平台公示。同时，根据《福建省生态环境厅、福建省发展和改革委员会、中国人民银行福建省分行、国家金融监督管理总局福建监管局关于印发〈福建省企业环境信用评价实施方案〉的通知》（闽环规〔2025〕1号，以下简称《实施方案》），也将影响</w:t>
      </w:r>
      <w:r>
        <w:rPr>
          <w:rFonts w:hint="eastAsia"/>
          <w:lang w:eastAsia="zh-CN"/>
        </w:rPr>
        <w:t>你公司</w:t>
      </w:r>
      <w:r>
        <w:rPr>
          <w:rFonts w:hint="eastAsia"/>
        </w:rPr>
        <w:t>的环境信用评价分值。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  <w:r>
        <w:rPr>
          <w:rFonts w:hint="eastAsia"/>
        </w:rPr>
        <w:t>二、根据《失信行为纠正后的信用信息修复管理办法（试行）》（2023年国家发展改革委令第58号）规定，认为信用平台网站对其行政处罚信息的公示内容有误、公示期限不符合规定或者行政处罚决定被依法撤销或变更的，可通过原处罚机关提出申诉。在完全履行行政处罚规定的义务、纠正违法行为，满足最短公示期后，可按照规定在“信用中国”网站（</w:t>
      </w:r>
      <w:r>
        <w:t>www.creditchina.gov.cn</w:t>
      </w:r>
      <w:r>
        <w:rPr>
          <w:rFonts w:hint="eastAsia"/>
        </w:rPr>
        <w:t>）申请修复。同时，根据《实施方案》规定，在达到企业环境信用修复条件后，向原处罚机关提出修复申请。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  <w:r>
        <w:rPr>
          <w:rFonts w:hint="eastAsia"/>
        </w:rPr>
        <w:t>三、开展信用修复不收取任何费用，如有社会相关中介机构、个人或政府工作人员等，以提出可以帮助加快修复时间、帮助填写提交修复材料等任何借口或理由收取费用或索要财物、购物卡等，均为行骗或违法违纪行为，可以通过电话、信函等方式向相关部门举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</w:pPr>
      <w:r>
        <w:rPr>
          <w:rFonts w:hint="eastAsia"/>
        </w:rPr>
        <w:t>企业信用信息修复咨询电话：0598-582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01</w:t>
      </w:r>
      <w:r>
        <w:rPr>
          <w:rFonts w:hint="eastAsia"/>
          <w:lang w:val="en-US" w:eastAsia="zh-CN"/>
        </w:rPr>
        <w:t>3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F0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7">
    <w:name w:val="BodyText1I2"/>
    <w:next w:val="4"/>
    <w:qFormat/>
    <w:uiPriority w:val="0"/>
    <w:pPr>
      <w:widowControl w:val="0"/>
      <w:suppressAutoHyphens/>
      <w:ind w:firstLine="420" w:firstLineChars="200"/>
      <w:jc w:val="both"/>
      <w:textAlignment w:val="baseline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2026-01-28T07:36:05Z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