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845DD">
      <w:pPr>
        <w:spacing w:line="580" w:lineRule="exact"/>
        <w:ind w:firstLine="0" w:firstLineChars="0"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</w:rPr>
        <w:t>附件</w:t>
      </w:r>
    </w:p>
    <w:p w14:paraId="22F05DE3">
      <w:pPr>
        <w:spacing w:line="5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  <w:lang w:val="en-US" w:eastAsia="zh-CN"/>
        </w:rPr>
        <w:t>仪器分项报价、报参数表</w:t>
      </w:r>
    </w:p>
    <w:p w14:paraId="3AD85B05">
      <w:pPr>
        <w:spacing w:line="5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  <w:lang w:val="en-US" w:eastAsia="zh-CN"/>
        </w:rPr>
      </w:pPr>
    </w:p>
    <w:tbl>
      <w:tblPr>
        <w:tblStyle w:val="4"/>
        <w:tblW w:w="13971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880"/>
        <w:gridCol w:w="5796"/>
        <w:gridCol w:w="1272"/>
        <w:gridCol w:w="1164"/>
        <w:gridCol w:w="1116"/>
        <w:gridCol w:w="998"/>
      </w:tblGrid>
      <w:tr w14:paraId="1109A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EC36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序号</w:t>
            </w:r>
          </w:p>
        </w:tc>
        <w:tc>
          <w:tcPr>
            <w:tcW w:w="288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C8B9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仪器名称</w:t>
            </w:r>
          </w:p>
        </w:tc>
        <w:tc>
          <w:tcPr>
            <w:tcW w:w="579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C334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仪器设备基本需求</w:t>
            </w:r>
          </w:p>
        </w:tc>
        <w:tc>
          <w:tcPr>
            <w:tcW w:w="127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6D89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数量</w:t>
            </w:r>
          </w:p>
        </w:tc>
        <w:tc>
          <w:tcPr>
            <w:tcW w:w="116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C5C3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参数</w:t>
            </w:r>
          </w:p>
        </w:tc>
        <w:tc>
          <w:tcPr>
            <w:tcW w:w="111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9911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单价</w:t>
            </w:r>
          </w:p>
          <w:p w14:paraId="7A73495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（万元）</w:t>
            </w:r>
          </w:p>
        </w:tc>
        <w:tc>
          <w:tcPr>
            <w:tcW w:w="99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0EDD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备注</w:t>
            </w:r>
          </w:p>
        </w:tc>
      </w:tr>
      <w:tr w14:paraId="594D2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BD73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70C2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便携式傅立叶红外光谱仪</w:t>
            </w:r>
          </w:p>
        </w:tc>
        <w:tc>
          <w:tcPr>
            <w:tcW w:w="5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908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设备要求：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用于水泥厂、垃圾焚烧电厂等各种固定污染源废气排放监测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及环境空气应急监测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。符合《固定污染源废气 气态污染物(SO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、NO、NO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、CO、CO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)的测定 便携式傅立叶变换红外光谱法》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HJ 1240-2021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、《固定污染源废气 氨和氯化氢的测定便携式傅立叶变换红外光谱法》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HJ 1330-2023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、《环境空气和废气 挥发性有机物组分便携式傅里叶红外监测仪技术要求及检测方法》（HJ1011-2018）、《环境空气 挥发性有机物的测定 便携式傅里叶红外仪法》（HJ919-2017）《环境空气 无机有害气体的应急监测 便携式傅里叶红外仪法》（HJ920-2017）等规范要求。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F981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2E5C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84EE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E9FA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6D7FA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7173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8BCB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大流量低浓度自动烟尘（气）测试仪</w:t>
            </w:r>
          </w:p>
          <w:p w14:paraId="03EE62F5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(直读)</w:t>
            </w:r>
          </w:p>
        </w:tc>
        <w:tc>
          <w:tcPr>
            <w:tcW w:w="579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5956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设备要求：仪器应用皮托管平行等速采样法采集固定污染源排气中的颗粒物，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采用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β射线直读法测定烟尘浓度，应用于各种锅炉、烟道、工业炉窑等固定污染源颗粒物的排放浓度、折算浓度的测定，符合</w:t>
            </w:r>
            <w:r>
              <w:rPr>
                <w:rFonts w:ascii="宋体" w:hAnsi="宋体" w:eastAsia="宋体" w:cs="宋体"/>
                <w:color w:val="auto"/>
                <w:kern w:val="0"/>
                <w:sz w:val="22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固定污染源废气低浓度颗粒物的测定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 xml:space="preserve"> 便携式β射线法</w:t>
            </w:r>
            <w:r>
              <w:rPr>
                <w:rFonts w:ascii="宋体" w:hAnsi="宋体" w:eastAsia="宋体" w:cs="宋体"/>
                <w:color w:val="auto"/>
                <w:kern w:val="0"/>
                <w:sz w:val="22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HJ1457-2026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）</w:t>
            </w:r>
            <w:r>
              <w:rPr>
                <w:rFonts w:ascii="宋体" w:hAnsi="宋体" w:eastAsia="宋体" w:cs="宋体"/>
                <w:color w:val="auto"/>
                <w:kern w:val="0"/>
                <w:sz w:val="22"/>
              </w:rPr>
              <w:t>《固定污染源排气中颗粒物和气态污染物采样方法》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</w:t>
            </w:r>
            <w:r>
              <w:rPr>
                <w:rFonts w:ascii="宋体" w:hAnsi="宋体" w:eastAsia="宋体" w:cs="宋体"/>
                <w:color w:val="auto"/>
                <w:kern w:val="0"/>
                <w:sz w:val="22"/>
              </w:rPr>
              <w:t>GB/T 16157-1996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）</w:t>
            </w:r>
            <w:r>
              <w:rPr>
                <w:rFonts w:ascii="宋体" w:hAnsi="宋体" w:eastAsia="宋体" w:cs="宋体"/>
                <w:color w:val="auto"/>
                <w:kern w:val="0"/>
                <w:sz w:val="22"/>
              </w:rPr>
              <w:t>、《烟尘采样器技术条件》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</w:t>
            </w:r>
            <w:r>
              <w:rPr>
                <w:rFonts w:ascii="宋体" w:hAnsi="宋体" w:eastAsia="宋体" w:cs="宋体"/>
                <w:color w:val="auto"/>
                <w:kern w:val="0"/>
                <w:sz w:val="22"/>
              </w:rPr>
              <w:t>HJ/T 48-1999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）</w:t>
            </w:r>
            <w:r>
              <w:rPr>
                <w:rFonts w:ascii="宋体" w:hAnsi="宋体" w:eastAsia="宋体" w:cs="宋体"/>
                <w:color w:val="auto"/>
                <w:kern w:val="0"/>
                <w:sz w:val="22"/>
              </w:rPr>
              <w:t>对烟气流速、烟温与烟气湿度的测量要求。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仪器有自动测量烟气动压、烟气静压、流速、流量计前压力、流量计前温度、烟气温度、含湿量、O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等参数。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F9AC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8865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61BC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D7E1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</w:tbl>
    <w:p w14:paraId="0E747D75"/>
    <w:tbl>
      <w:tblPr>
        <w:tblStyle w:val="4"/>
        <w:tblW w:w="13971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880"/>
        <w:gridCol w:w="5796"/>
        <w:gridCol w:w="1272"/>
        <w:gridCol w:w="1164"/>
        <w:gridCol w:w="1116"/>
        <w:gridCol w:w="998"/>
      </w:tblGrid>
      <w:tr w14:paraId="18254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30C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7EB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便携式非甲烷总烃测试仪</w:t>
            </w:r>
          </w:p>
        </w:tc>
        <w:tc>
          <w:tcPr>
            <w:tcW w:w="5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9B3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设备要求：便携式甲烷非甲烷总烃分析仪采用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色谱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+FID检测技术测定固定污染源废气中总烃、甲烷以及非甲烷总烃值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。仪器满足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instrText xml:space="preserve"> HYPERLINK "http://www.mee.gov.cn/ywgz/fgbz/bz/bzwb/jcffbz/202312/t20231229_1060272.shtml" \t "https://www.mee.gov.cn/searchnew/_blank"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固定污染源废气　总烃、甲烷和非甲烷总烃的测定　便携式气相色谱-氢火焰离子化检测器法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》（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HJ 1332—2023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）、《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instrText xml:space="preserve"> HYPERLINK "https://www.mee.gov.cn/ywgz/fgbz/bz/bzwb/jcffbz/201901/W020190105748488209443.pdf"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环境空气和废气 总烃、甲烷和非甲烷总烃便携式监测仪技术要求及检测方法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（HJ 1012-2018）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规范要求。仪器能显示进样流量；能设定、调节并显示采样管和伴热管加热温度；参考 HJ 38 内置校准曲线，相关系数应大于等于 0.995；能显示并自动记录样品测定谱图以及摩尔分数浓度、质量浓度结果。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fldChar w:fldCharType="end"/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EE0C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C5244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0E20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A411E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</w:p>
        </w:tc>
      </w:tr>
      <w:tr w14:paraId="623F6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A442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林格曼望远镜</w:t>
            </w:r>
          </w:p>
        </w:tc>
        <w:tc>
          <w:tcPr>
            <w:tcW w:w="5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096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设备要求：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用于企业废气林格曼黑度监测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。仪器符合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《HJ 1287-2023  固定污染源废气 烟气黑度的测定 林格曼望远镜法》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规范要求。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016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B06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BECF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909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16D8C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50A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6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真空采样箱</w:t>
            </w:r>
          </w:p>
        </w:tc>
        <w:tc>
          <w:tcPr>
            <w:tcW w:w="5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FA12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用于企业废气挥发性有机物采样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满足《固定污染源废气 挥发性有机物的采样 气袋法》（HJ 732-2025）规范要求，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可设置并显示气密性检查、采样流量、加热温度、采样时间、采样地点和样品编号等关键参数，具备数据记录、存储、打印和断电保护等功能。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7CF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B8B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5D7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8615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2D266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4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82C2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288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C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苏玛罐</w:t>
            </w:r>
          </w:p>
        </w:tc>
        <w:tc>
          <w:tcPr>
            <w:tcW w:w="579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88094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</w:rPr>
              <w:t>用于环境空气挥发性有机物采样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罐体采用不锈钢材质，内壁涂覆惰性化处理；密闭性好，满足正负压检查要求。</w:t>
            </w:r>
          </w:p>
        </w:tc>
        <w:tc>
          <w:tcPr>
            <w:tcW w:w="127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85F81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16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85D5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3781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A266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3A084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5974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FC68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环境空气综合采样器</w:t>
            </w:r>
          </w:p>
        </w:tc>
        <w:tc>
          <w:tcPr>
            <w:tcW w:w="5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FC46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用于大气中的总悬浮微粒(TSP)和可吸入微粒(PM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vertAlign w:val="subscript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)或细颗粒物(PM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vertAlign w:val="subscript"/>
                <w:lang w:val="en-US" w:eastAsia="zh-CN"/>
              </w:rPr>
              <w:t>2.5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)采样；用溶液吸收法采集环境大气、室内空气中各种污染性气体成份(SO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vertAlign w:val="sub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、NO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vertAlign w:val="subscript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等)，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保温箱标配恒温功能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；也可应用于环境空气中VOCs的采样。具有5气路同时采样功能，每路采样流量分别设置并独自恒流控制。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972D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94E2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7DC3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FAD9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</w:tbl>
    <w:p w14:paraId="3143D0FA"/>
    <w:p w14:paraId="494928B1"/>
    <w:tbl>
      <w:tblPr>
        <w:tblStyle w:val="4"/>
        <w:tblW w:w="13971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880"/>
        <w:gridCol w:w="5796"/>
        <w:gridCol w:w="1272"/>
        <w:gridCol w:w="1164"/>
        <w:gridCol w:w="1116"/>
        <w:gridCol w:w="998"/>
      </w:tblGrid>
      <w:tr w14:paraId="6767D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1B26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9CF0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小流量采样器</w:t>
            </w:r>
          </w:p>
        </w:tc>
        <w:tc>
          <w:tcPr>
            <w:tcW w:w="5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6A1B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用于空气氟化物、重金属、SVOCs的采样，同时可以采集大气颗粒物(TSP、PM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vertAlign w:val="subscript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、PM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vertAlign w:val="subscript"/>
                <w:lang w:val="en-US" w:eastAsia="zh-CN"/>
              </w:rPr>
              <w:t>2.5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)。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32BD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BE38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756F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BC4E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1C727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8C7B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9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B465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废气盐酸雾/硫酸雾/氟化物采样枪</w:t>
            </w:r>
          </w:p>
        </w:tc>
        <w:tc>
          <w:tcPr>
            <w:tcW w:w="5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727F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可满足硫酸雾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盐酸雾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、氟化物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等多种气体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的采样枪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气路采用聚四氟乙烯材料，有效降低吸附。配有单向阀，防止采样时吸收液回流。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9C2C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D9BA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D880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148A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5B9B6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DEEAD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10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287F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大气颗粒物无机成分分析仪系统（1套阴阳离子色谱仪、3套大气降水采样器）</w:t>
            </w:r>
          </w:p>
        </w:tc>
        <w:tc>
          <w:tcPr>
            <w:tcW w:w="57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B8F5F"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用于大气颗粒物无机成分采样及分析，包括阴阳离子色谱仪1套、大气降水采样器3套。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370BD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4564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5D61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AA26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7C20B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4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E0C27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11</w:t>
            </w:r>
          </w:p>
        </w:tc>
        <w:tc>
          <w:tcPr>
            <w:tcW w:w="288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A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红外热成像气体泄漏检测仪</w:t>
            </w:r>
          </w:p>
        </w:tc>
        <w:tc>
          <w:tcPr>
            <w:tcW w:w="579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8051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针对挥发性有机气体的非接触式检测仪，以图像形式快速发现挥发性有机气体泄漏，并能精准定位泄漏或排放源头。</w:t>
            </w:r>
          </w:p>
        </w:tc>
        <w:tc>
          <w:tcPr>
            <w:tcW w:w="127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1A5A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BC8C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8EAC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5DEF2"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0EC1F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67CE1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F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便携式油烟快速检测仪</w:t>
            </w:r>
          </w:p>
        </w:tc>
        <w:tc>
          <w:tcPr>
            <w:tcW w:w="5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1F8C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用于餐饮行业餐饮油烟污染的常规检测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检测仪能在现场完成从油烟各组分浓度检测、数据处理、分析显示到记录传输的全过程。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BAA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58CB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04D4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45F3D"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4FF8F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09C96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13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1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无人机载多气体监测系统</w:t>
            </w:r>
          </w:p>
        </w:tc>
        <w:tc>
          <w:tcPr>
            <w:tcW w:w="5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05C91"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用于环境空气样品监测及突发环境事件航拍勘察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污染带追踪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、无人机采水。包括无人机一台，气体监测模块一套（</w:t>
            </w:r>
            <w:r>
              <w:rPr>
                <w:rFonts w:hint="default" w:ascii="宋体" w:hAnsi="宋体" w:eastAsia="宋体" w:cs="宋体"/>
                <w:lang w:val="en-US" w:eastAsia="zh-CN"/>
              </w:rPr>
              <w:t>PM</w:t>
            </w:r>
            <w:r>
              <w:rPr>
                <w:rFonts w:hint="default" w:ascii="宋体" w:hAnsi="宋体" w:eastAsia="宋体" w:cs="宋体"/>
                <w:vertAlign w:val="subscript"/>
                <w:lang w:val="en-US" w:eastAsia="zh-CN"/>
              </w:rPr>
              <w:t>2.5</w:t>
            </w:r>
            <w:r>
              <w:rPr>
                <w:rFonts w:hint="default" w:ascii="宋体" w:hAnsi="宋体" w:eastAsia="宋体" w:cs="宋体"/>
                <w:lang w:val="en-US" w:eastAsia="zh-CN"/>
              </w:rPr>
              <w:t>、PM</w:t>
            </w:r>
            <w:r>
              <w:rPr>
                <w:rFonts w:hint="default" w:ascii="宋体" w:hAnsi="宋体" w:eastAsia="宋体" w:cs="宋体"/>
                <w:vertAlign w:val="subscript"/>
                <w:lang w:val="en-US" w:eastAsia="zh-CN"/>
              </w:rPr>
              <w:t>10</w:t>
            </w:r>
            <w:r>
              <w:rPr>
                <w:rFonts w:hint="default" w:ascii="宋体" w:hAnsi="宋体" w:eastAsia="宋体" w:cs="宋体"/>
                <w:lang w:val="en-US" w:eastAsia="zh-CN"/>
              </w:rPr>
              <w:t>、O</w:t>
            </w:r>
            <w:r>
              <w:rPr>
                <w:rFonts w:hint="default" w:ascii="宋体" w:hAnsi="宋体" w:eastAsia="宋体" w:cs="宋体"/>
                <w:vertAlign w:val="subscript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lang w:val="en-US" w:eastAsia="zh-CN"/>
              </w:rPr>
              <w:t>、NO</w:t>
            </w:r>
            <w:r>
              <w:rPr>
                <w:rFonts w:hint="default" w:ascii="宋体" w:hAnsi="宋体" w:eastAsia="宋体" w:cs="宋体"/>
                <w:vertAlign w:val="subscript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lang w:val="en-US" w:eastAsia="zh-CN"/>
              </w:rPr>
              <w:t>、CO、SO</w:t>
            </w:r>
            <w:r>
              <w:rPr>
                <w:rFonts w:hint="default" w:ascii="宋体" w:hAnsi="宋体" w:eastAsia="宋体" w:cs="宋体"/>
                <w:vertAlign w:val="subscript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lang w:val="en-US" w:eastAsia="zh-CN"/>
              </w:rPr>
              <w:t>、TVOC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等气体监</w:t>
            </w:r>
            <w:r>
              <w:rPr>
                <w:rFonts w:hint="default" w:ascii="宋体" w:hAnsi="宋体" w:eastAsia="宋体" w:cs="宋体"/>
                <w:lang w:val="en-US" w:eastAsia="zh-CN"/>
              </w:rPr>
              <w:t>测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、采水装置一套，无人机五年保养及耗材、相关规格操手培训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2人，第三责任险等。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9754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8B49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E4E3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A1DB7"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38C65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7D70A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14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EF387">
            <w:pPr>
              <w:widowControl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气体稀释仪</w:t>
            </w:r>
          </w:p>
        </w:tc>
        <w:tc>
          <w:tcPr>
            <w:tcW w:w="5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B84C8">
            <w:pPr>
              <w:widowControl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用于固定污染源废气执法监测标准气体样品稀释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C560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35B9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94F4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48CBF"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</w:tbl>
    <w:p w14:paraId="5B942C1F">
      <w:pPr>
        <w:pStyle w:val="2"/>
        <w:spacing w:line="20" w:lineRule="exact"/>
        <w:rPr>
          <w:strike/>
          <w:color w:val="auto"/>
          <w:sz w:val="28"/>
          <w:szCs w:val="28"/>
        </w:rPr>
      </w:pPr>
    </w:p>
    <w:p w14:paraId="3A8D9634">
      <w:bookmarkStart w:id="0" w:name="_GoBack"/>
      <w:bookmarkEnd w:id="0"/>
    </w:p>
    <w:sectPr>
      <w:pgSz w:w="16838" w:h="11906" w:orient="landscape"/>
      <w:pgMar w:top="117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A3FE9"/>
    <w:rsid w:val="08B65C4C"/>
    <w:rsid w:val="0E5A4EC8"/>
    <w:rsid w:val="164C2821"/>
    <w:rsid w:val="198F1B0F"/>
    <w:rsid w:val="34C64772"/>
    <w:rsid w:val="6DCA3FE9"/>
    <w:rsid w:val="75061B64"/>
    <w:rsid w:val="7B30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100" w:beforeAutospacing="1" w:after="100" w:afterAutospacing="1" w:line="560" w:lineRule="exact"/>
      <w:ind w:firstLine="600" w:firstLineChars="200"/>
    </w:pPr>
    <w:rPr>
      <w:rFonts w:ascii="Times New Roman" w:hAnsi="Times New Roman" w:eastAsia="仿宋_GB2312"/>
      <w:sz w:val="32"/>
      <w:szCs w:val="32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2026-04-21T09:16:00Z</dcterms:created>
  <dc:creator>WPS</dc:creator>
  <cp:lastModifiedBy>WPS</cp:lastModifiedBy>
  <dcterms:modified xsi:type="dcterms:W3CDTF">2026-04-21T09:17:36Z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D3508C4F5927449BA6EB2EAE2269A803_11</vt:lpwstr>
  </property>
</Properties>
</file>